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847149F">
      <w:pPr>
        <w:autoSpaceDE/>
        <w:autoSpaceDN/>
        <w:jc w:val="center"/>
        <w:outlineLvl w:val="0"/>
        <w:rPr>
          <w:b/>
          <w:bCs/>
          <w:sz w:val="24"/>
          <w:szCs w:val="24"/>
          <w:lang w:eastAsia="zh-CN"/>
        </w:rPr>
      </w:pPr>
      <w:r>
        <w:rPr>
          <w:rFonts w:hint="eastAsia"/>
          <w:b/>
          <w:bCs/>
          <w:sz w:val="24"/>
          <w:szCs w:val="24"/>
          <w:lang w:eastAsia="zh-CN"/>
        </w:rPr>
        <w:t>采购需求</w:t>
      </w:r>
    </w:p>
    <w:p w14:paraId="24CA22B3">
      <w:pPr>
        <w:pStyle w:val="9"/>
        <w:autoSpaceDE/>
        <w:autoSpaceDN/>
        <w:rPr>
          <w:sz w:val="21"/>
          <w:szCs w:val="21"/>
          <w:lang w:eastAsia="zh-CN"/>
        </w:rPr>
      </w:pPr>
      <w:bookmarkStart w:id="0" w:name="_Toc103462393"/>
      <w:bookmarkStart w:id="1" w:name="_Toc103462489"/>
      <w:bookmarkStart w:id="2" w:name="_Toc103461607"/>
      <w:bookmarkStart w:id="3" w:name="_Toc103461378"/>
      <w:bookmarkStart w:id="4" w:name="_Toc27074"/>
      <w:bookmarkStart w:id="5" w:name="_Toc103462367"/>
      <w:bookmarkStart w:id="11" w:name="_GoBack"/>
      <w:bookmarkEnd w:id="11"/>
      <w:r>
        <w:rPr>
          <w:rFonts w:hint="eastAsia"/>
          <w:sz w:val="21"/>
          <w:szCs w:val="21"/>
          <w:lang w:eastAsia="zh-CN"/>
        </w:rPr>
        <w:t>一、项目概况</w:t>
      </w:r>
      <w:bookmarkEnd w:id="0"/>
      <w:bookmarkEnd w:id="1"/>
      <w:bookmarkEnd w:id="2"/>
      <w:bookmarkEnd w:id="3"/>
      <w:bookmarkEnd w:id="4"/>
      <w:bookmarkEnd w:id="5"/>
    </w:p>
    <w:p w14:paraId="79A202E4">
      <w:pPr>
        <w:pStyle w:val="11"/>
        <w:autoSpaceDE/>
        <w:autoSpaceDN/>
        <w:ind w:firstLine="420"/>
        <w:rPr>
          <w:sz w:val="21"/>
          <w:szCs w:val="21"/>
        </w:rPr>
      </w:pPr>
      <w:bookmarkStart w:id="6" w:name="_Hlk104035686"/>
      <w:r>
        <w:rPr>
          <w:rFonts w:hint="eastAsia"/>
          <w:sz w:val="21"/>
          <w:szCs w:val="21"/>
        </w:rPr>
        <w:t>为满足北师大珠海校区宿舍使用需求，拟采购一批上床下桌家具。</w:t>
      </w:r>
    </w:p>
    <w:p w14:paraId="5755EB2C">
      <w:pPr>
        <w:pStyle w:val="11"/>
        <w:autoSpaceDE/>
        <w:autoSpaceDN/>
        <w:ind w:firstLine="420"/>
        <w:rPr>
          <w:sz w:val="21"/>
          <w:szCs w:val="21"/>
        </w:rPr>
      </w:pPr>
      <w:r>
        <w:rPr>
          <w:rFonts w:hint="eastAsia"/>
          <w:sz w:val="21"/>
          <w:szCs w:val="21"/>
        </w:rPr>
        <w:t>本项目</w:t>
      </w:r>
      <w:r>
        <w:rPr>
          <w:rFonts w:hint="eastAsia"/>
          <w:b/>
          <w:bCs/>
          <w:sz w:val="21"/>
          <w:szCs w:val="21"/>
        </w:rPr>
        <w:t>最高投标限价</w:t>
      </w:r>
      <w:r>
        <w:rPr>
          <w:rFonts w:hint="eastAsia"/>
          <w:sz w:val="21"/>
          <w:szCs w:val="21"/>
        </w:rPr>
        <w:t>为</w:t>
      </w:r>
      <w:r>
        <w:rPr>
          <w:rFonts w:hint="eastAsia"/>
          <w:sz w:val="21"/>
          <w:szCs w:val="21"/>
          <w:lang w:eastAsia="zh-CN"/>
        </w:rPr>
        <w:t>911188.17</w:t>
      </w:r>
      <w:r>
        <w:rPr>
          <w:rFonts w:hint="eastAsia"/>
          <w:sz w:val="21"/>
          <w:szCs w:val="21"/>
        </w:rPr>
        <w:t>元，供应商报价不得高于采购文件规定的最高限价，否则按投标无效处理。</w:t>
      </w:r>
    </w:p>
    <w:p w14:paraId="162BEB0D">
      <w:pPr>
        <w:pStyle w:val="11"/>
        <w:autoSpaceDE/>
        <w:autoSpaceDN/>
        <w:ind w:firstLine="422"/>
        <w:rPr>
          <w:sz w:val="21"/>
          <w:szCs w:val="21"/>
        </w:rPr>
      </w:pPr>
      <w:r>
        <w:rPr>
          <w:rFonts w:hint="eastAsia"/>
          <w:b/>
          <w:bCs/>
          <w:sz w:val="21"/>
          <w:szCs w:val="21"/>
        </w:rPr>
        <w:t>中小企业声明函填写注意事项：</w:t>
      </w:r>
      <w:r>
        <w:rPr>
          <w:rFonts w:hint="eastAsia"/>
          <w:sz w:val="21"/>
          <w:szCs w:val="21"/>
        </w:rPr>
        <w:t>格式文件的《中小企业声明函》中“</w:t>
      </w:r>
      <w:r>
        <w:rPr>
          <w:rFonts w:hint="eastAsia"/>
          <w:sz w:val="21"/>
          <w:szCs w:val="21"/>
          <w:u w:val="single"/>
        </w:rPr>
        <w:t xml:space="preserve"> </w:t>
      </w:r>
      <w:r>
        <w:rPr>
          <w:sz w:val="21"/>
          <w:szCs w:val="21"/>
          <w:u w:val="single"/>
        </w:rPr>
        <w:t xml:space="preserve">   （标的名称）</w:t>
      </w:r>
      <w:r>
        <w:rPr>
          <w:rFonts w:hint="eastAsia"/>
          <w:sz w:val="21"/>
          <w:szCs w:val="21"/>
        </w:rPr>
        <w:t>”应当按详细标的物填写，本项目一共4种标的物，名称如下：</w:t>
      </w:r>
    </w:p>
    <w:tbl>
      <w:tblPr>
        <w:tblStyle w:val="6"/>
        <w:tblW w:w="6283" w:type="dxa"/>
        <w:jc w:val="center"/>
        <w:tblLayout w:type="autofit"/>
        <w:tblCellMar>
          <w:top w:w="0" w:type="dxa"/>
          <w:left w:w="108" w:type="dxa"/>
          <w:bottom w:w="0" w:type="dxa"/>
          <w:right w:w="108" w:type="dxa"/>
        </w:tblCellMar>
      </w:tblPr>
      <w:tblGrid>
        <w:gridCol w:w="1692"/>
        <w:gridCol w:w="4591"/>
      </w:tblGrid>
      <w:tr w14:paraId="046BCEB2">
        <w:tblPrEx>
          <w:tblCellMar>
            <w:top w:w="0" w:type="dxa"/>
            <w:left w:w="108" w:type="dxa"/>
            <w:bottom w:w="0" w:type="dxa"/>
            <w:right w:w="108" w:type="dxa"/>
          </w:tblCellMar>
        </w:tblPrEx>
        <w:trPr>
          <w:trHeight w:val="340" w:hRule="atLeast"/>
          <w:tblHeader/>
          <w:jc w:val="center"/>
        </w:trPr>
        <w:tc>
          <w:tcPr>
            <w:tcW w:w="1692" w:type="dxa"/>
            <w:tcBorders>
              <w:top w:val="single" w:color="000000" w:sz="4" w:space="0"/>
              <w:left w:val="single" w:color="000000" w:sz="4" w:space="0"/>
              <w:bottom w:val="single" w:color="000000" w:sz="4" w:space="0"/>
              <w:right w:val="single" w:color="000000" w:sz="4" w:space="0"/>
            </w:tcBorders>
            <w:shd w:val="clear" w:color="auto" w:fill="F1F1F1" w:themeFill="background1" w:themeFillShade="F2"/>
            <w:vAlign w:val="center"/>
          </w:tcPr>
          <w:p w14:paraId="2DE51310">
            <w:pPr>
              <w:spacing w:line="240" w:lineRule="auto"/>
              <w:jc w:val="center"/>
              <w:textAlignment w:val="center"/>
              <w:rPr>
                <w:b/>
                <w:bCs/>
                <w:szCs w:val="21"/>
              </w:rPr>
            </w:pPr>
            <w:r>
              <w:rPr>
                <w:rFonts w:hint="eastAsia"/>
                <w:b/>
                <w:bCs/>
                <w:szCs w:val="21"/>
                <w:lang w:eastAsia="zh-CN" w:bidi="ar"/>
              </w:rPr>
              <w:t>序号</w:t>
            </w:r>
          </w:p>
        </w:tc>
        <w:tc>
          <w:tcPr>
            <w:tcW w:w="4591" w:type="dxa"/>
            <w:tcBorders>
              <w:top w:val="single" w:color="000000" w:sz="4" w:space="0"/>
              <w:left w:val="single" w:color="000000" w:sz="4" w:space="0"/>
              <w:bottom w:val="single" w:color="000000" w:sz="4" w:space="0"/>
              <w:right w:val="single" w:color="000000" w:sz="4" w:space="0"/>
            </w:tcBorders>
            <w:shd w:val="clear" w:color="auto" w:fill="F1F1F1" w:themeFill="background1" w:themeFillShade="F2"/>
            <w:vAlign w:val="center"/>
          </w:tcPr>
          <w:p w14:paraId="48190F46">
            <w:pPr>
              <w:spacing w:line="240" w:lineRule="auto"/>
              <w:jc w:val="center"/>
              <w:textAlignment w:val="center"/>
              <w:rPr>
                <w:b/>
                <w:bCs/>
                <w:szCs w:val="21"/>
              </w:rPr>
            </w:pPr>
            <w:r>
              <w:rPr>
                <w:rFonts w:hint="eastAsia"/>
                <w:b/>
                <w:bCs/>
                <w:szCs w:val="21"/>
                <w:lang w:eastAsia="zh-CN" w:bidi="ar"/>
              </w:rPr>
              <w:t>标的名称</w:t>
            </w:r>
          </w:p>
        </w:tc>
      </w:tr>
      <w:tr w14:paraId="57C392E9">
        <w:tblPrEx>
          <w:tblCellMar>
            <w:top w:w="0" w:type="dxa"/>
            <w:left w:w="108" w:type="dxa"/>
            <w:bottom w:w="0" w:type="dxa"/>
            <w:right w:w="108" w:type="dxa"/>
          </w:tblCellMar>
        </w:tblPrEx>
        <w:trPr>
          <w:trHeight w:val="340" w:hRule="atLeast"/>
          <w:jc w:val="center"/>
        </w:trPr>
        <w:tc>
          <w:tcPr>
            <w:tcW w:w="16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E5231C">
            <w:pPr>
              <w:spacing w:line="240" w:lineRule="auto"/>
              <w:jc w:val="center"/>
              <w:textAlignment w:val="center"/>
              <w:rPr>
                <w:szCs w:val="21"/>
              </w:rPr>
            </w:pPr>
            <w:r>
              <w:rPr>
                <w:rFonts w:hint="eastAsia"/>
                <w:szCs w:val="21"/>
                <w:lang w:eastAsia="zh-CN" w:bidi="ar"/>
              </w:rPr>
              <w:t>1</w:t>
            </w:r>
          </w:p>
        </w:tc>
        <w:tc>
          <w:tcPr>
            <w:tcW w:w="45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80B59A">
            <w:pPr>
              <w:jc w:val="center"/>
              <w:textAlignment w:val="center"/>
              <w:rPr>
                <w:szCs w:val="21"/>
              </w:rPr>
            </w:pPr>
            <w:r>
              <w:rPr>
                <w:rFonts w:hint="eastAsia"/>
                <w:szCs w:val="21"/>
                <w:lang w:eastAsia="zh-CN" w:bidi="ar"/>
              </w:rPr>
              <w:t>单人位宿舍床架</w:t>
            </w:r>
          </w:p>
        </w:tc>
      </w:tr>
      <w:tr w14:paraId="1E532219">
        <w:tblPrEx>
          <w:tblCellMar>
            <w:top w:w="0" w:type="dxa"/>
            <w:left w:w="108" w:type="dxa"/>
            <w:bottom w:w="0" w:type="dxa"/>
            <w:right w:w="108" w:type="dxa"/>
          </w:tblCellMar>
        </w:tblPrEx>
        <w:trPr>
          <w:trHeight w:val="340" w:hRule="atLeast"/>
          <w:jc w:val="center"/>
        </w:trPr>
        <w:tc>
          <w:tcPr>
            <w:tcW w:w="16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E7D6CE">
            <w:pPr>
              <w:spacing w:line="240" w:lineRule="auto"/>
              <w:jc w:val="center"/>
              <w:textAlignment w:val="center"/>
              <w:rPr>
                <w:szCs w:val="21"/>
              </w:rPr>
            </w:pPr>
            <w:r>
              <w:rPr>
                <w:rFonts w:hint="eastAsia"/>
                <w:b/>
                <w:bCs/>
                <w:szCs w:val="21"/>
                <w:lang w:eastAsia="zh-CN"/>
              </w:rPr>
              <w:t>△</w:t>
            </w:r>
            <w:r>
              <w:rPr>
                <w:rFonts w:hint="eastAsia"/>
                <w:szCs w:val="21"/>
                <w:lang w:eastAsia="zh-CN" w:bidi="ar"/>
              </w:rPr>
              <w:t>2</w:t>
            </w:r>
          </w:p>
        </w:tc>
        <w:tc>
          <w:tcPr>
            <w:tcW w:w="45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284E5D">
            <w:pPr>
              <w:jc w:val="center"/>
              <w:textAlignment w:val="center"/>
              <w:rPr>
                <w:szCs w:val="21"/>
              </w:rPr>
            </w:pPr>
            <w:r>
              <w:rPr>
                <w:rFonts w:hint="eastAsia"/>
                <w:szCs w:val="21"/>
                <w:lang w:eastAsia="zh-CN" w:bidi="ar"/>
              </w:rPr>
              <w:t>两人位连体宿舍床架</w:t>
            </w:r>
          </w:p>
        </w:tc>
      </w:tr>
      <w:tr w14:paraId="5C383091">
        <w:tblPrEx>
          <w:tblCellMar>
            <w:top w:w="0" w:type="dxa"/>
            <w:left w:w="108" w:type="dxa"/>
            <w:bottom w:w="0" w:type="dxa"/>
            <w:right w:w="108" w:type="dxa"/>
          </w:tblCellMar>
        </w:tblPrEx>
        <w:trPr>
          <w:trHeight w:val="340" w:hRule="atLeast"/>
          <w:jc w:val="center"/>
        </w:trPr>
        <w:tc>
          <w:tcPr>
            <w:tcW w:w="16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4FEA87">
            <w:pPr>
              <w:spacing w:line="240" w:lineRule="auto"/>
              <w:jc w:val="center"/>
              <w:textAlignment w:val="center"/>
              <w:rPr>
                <w:szCs w:val="21"/>
              </w:rPr>
            </w:pPr>
            <w:r>
              <w:rPr>
                <w:rFonts w:hint="eastAsia"/>
                <w:szCs w:val="21"/>
                <w:lang w:eastAsia="zh-CN" w:bidi="ar"/>
              </w:rPr>
              <w:t>3</w:t>
            </w:r>
          </w:p>
        </w:tc>
        <w:tc>
          <w:tcPr>
            <w:tcW w:w="45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E527E3">
            <w:pPr>
              <w:jc w:val="center"/>
              <w:textAlignment w:val="center"/>
              <w:rPr>
                <w:szCs w:val="21"/>
              </w:rPr>
            </w:pPr>
            <w:r>
              <w:rPr>
                <w:rFonts w:hint="eastAsia"/>
                <w:szCs w:val="21"/>
                <w:lang w:eastAsia="zh-CN" w:bidi="ar"/>
              </w:rPr>
              <w:t>床下组合柜</w:t>
            </w:r>
          </w:p>
        </w:tc>
      </w:tr>
      <w:tr w14:paraId="6C4EEE69">
        <w:tblPrEx>
          <w:tblCellMar>
            <w:top w:w="0" w:type="dxa"/>
            <w:left w:w="108" w:type="dxa"/>
            <w:bottom w:w="0" w:type="dxa"/>
            <w:right w:w="108" w:type="dxa"/>
          </w:tblCellMar>
        </w:tblPrEx>
        <w:trPr>
          <w:trHeight w:val="340" w:hRule="atLeast"/>
          <w:jc w:val="center"/>
        </w:trPr>
        <w:tc>
          <w:tcPr>
            <w:tcW w:w="16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AC0350">
            <w:pPr>
              <w:spacing w:line="240" w:lineRule="auto"/>
              <w:jc w:val="center"/>
              <w:textAlignment w:val="center"/>
              <w:rPr>
                <w:szCs w:val="21"/>
              </w:rPr>
            </w:pPr>
            <w:r>
              <w:rPr>
                <w:rFonts w:hint="eastAsia"/>
                <w:szCs w:val="21"/>
                <w:lang w:eastAsia="zh-CN" w:bidi="ar"/>
              </w:rPr>
              <w:t>4</w:t>
            </w:r>
          </w:p>
        </w:tc>
        <w:tc>
          <w:tcPr>
            <w:tcW w:w="45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080FB2">
            <w:pPr>
              <w:jc w:val="center"/>
              <w:textAlignment w:val="center"/>
              <w:rPr>
                <w:szCs w:val="21"/>
              </w:rPr>
            </w:pPr>
            <w:r>
              <w:rPr>
                <w:rFonts w:hint="eastAsia"/>
                <w:szCs w:val="21"/>
                <w:lang w:eastAsia="zh-CN" w:bidi="ar"/>
              </w:rPr>
              <w:t>学生椅</w:t>
            </w:r>
          </w:p>
        </w:tc>
      </w:tr>
      <w:tr w14:paraId="1994787E">
        <w:tblPrEx>
          <w:tblCellMar>
            <w:top w:w="0" w:type="dxa"/>
            <w:left w:w="108" w:type="dxa"/>
            <w:bottom w:w="0" w:type="dxa"/>
            <w:right w:w="108" w:type="dxa"/>
          </w:tblCellMar>
        </w:tblPrEx>
        <w:trPr>
          <w:trHeight w:val="340" w:hRule="atLeast"/>
          <w:jc w:val="center"/>
        </w:trPr>
        <w:tc>
          <w:tcPr>
            <w:tcW w:w="6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B1D2EAD">
            <w:pPr>
              <w:textAlignment w:val="center"/>
              <w:rPr>
                <w:szCs w:val="21"/>
                <w:lang w:eastAsia="zh-CN" w:bidi="ar"/>
              </w:rPr>
            </w:pPr>
            <w:r>
              <w:rPr>
                <w:rFonts w:hint="eastAsia"/>
                <w:szCs w:val="21"/>
                <w:lang w:eastAsia="zh-CN" w:bidi="ar"/>
              </w:rPr>
              <w:t>标注“△”为核心产品。</w:t>
            </w:r>
          </w:p>
        </w:tc>
      </w:tr>
    </w:tbl>
    <w:p w14:paraId="6FDF44D9">
      <w:pPr>
        <w:pStyle w:val="11"/>
        <w:autoSpaceDE/>
        <w:autoSpaceDN/>
        <w:ind w:firstLine="0" w:firstLineChars="0"/>
        <w:jc w:val="center"/>
        <w:rPr>
          <w:sz w:val="21"/>
          <w:szCs w:val="21"/>
        </w:rPr>
      </w:pPr>
    </w:p>
    <w:p w14:paraId="6361392F">
      <w:pPr>
        <w:pStyle w:val="9"/>
        <w:rPr>
          <w:sz w:val="21"/>
          <w:szCs w:val="21"/>
          <w:lang w:eastAsia="zh-CN"/>
        </w:rPr>
      </w:pPr>
      <w:bookmarkStart w:id="7" w:name="_Toc24444"/>
      <w:r>
        <w:rPr>
          <w:rFonts w:hint="eastAsia"/>
          <w:sz w:val="21"/>
          <w:szCs w:val="21"/>
          <w:lang w:eastAsia="zh-CN"/>
        </w:rPr>
        <w:t>二、样品清单</w:t>
      </w:r>
      <w:bookmarkEnd w:id="7"/>
    </w:p>
    <w:tbl>
      <w:tblPr>
        <w:tblStyle w:val="7"/>
        <w:tblW w:w="499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87"/>
        <w:gridCol w:w="1344"/>
        <w:gridCol w:w="1810"/>
        <w:gridCol w:w="1005"/>
        <w:gridCol w:w="4888"/>
      </w:tblGrid>
      <w:tr w14:paraId="6AE5AD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00" w:type="pct"/>
            <w:vAlign w:val="center"/>
          </w:tcPr>
          <w:p w14:paraId="23DB9FC2">
            <w:pPr>
              <w:jc w:val="center"/>
              <w:rPr>
                <w:b/>
                <w:bCs/>
                <w:szCs w:val="21"/>
                <w:lang w:eastAsia="zh-CN"/>
              </w:rPr>
            </w:pPr>
            <w:r>
              <w:rPr>
                <w:rFonts w:hint="eastAsia"/>
                <w:b/>
                <w:bCs/>
                <w:szCs w:val="21"/>
                <w:lang w:eastAsia="zh-CN" w:bidi="ar"/>
              </w:rPr>
              <w:t>序号</w:t>
            </w:r>
          </w:p>
        </w:tc>
        <w:tc>
          <w:tcPr>
            <w:tcW w:w="683" w:type="pct"/>
            <w:vAlign w:val="center"/>
          </w:tcPr>
          <w:p w14:paraId="3B8CAD98">
            <w:pPr>
              <w:jc w:val="center"/>
              <w:rPr>
                <w:b/>
                <w:bCs/>
                <w:szCs w:val="21"/>
                <w:lang w:eastAsia="zh-CN"/>
              </w:rPr>
            </w:pPr>
            <w:r>
              <w:rPr>
                <w:rFonts w:hint="eastAsia"/>
                <w:b/>
                <w:bCs/>
                <w:szCs w:val="21"/>
                <w:lang w:eastAsia="zh-CN" w:bidi="ar"/>
              </w:rPr>
              <w:t>样品名称</w:t>
            </w:r>
          </w:p>
        </w:tc>
        <w:tc>
          <w:tcPr>
            <w:tcW w:w="920" w:type="pct"/>
            <w:vAlign w:val="center"/>
          </w:tcPr>
          <w:p w14:paraId="1EEC6B13">
            <w:pPr>
              <w:jc w:val="center"/>
              <w:rPr>
                <w:b/>
                <w:bCs/>
                <w:szCs w:val="21"/>
                <w:lang w:eastAsia="zh-CN"/>
              </w:rPr>
            </w:pPr>
            <w:r>
              <w:rPr>
                <w:rFonts w:hint="eastAsia"/>
                <w:b/>
                <w:bCs/>
                <w:szCs w:val="21"/>
                <w:lang w:eastAsia="zh-CN" w:bidi="ar"/>
              </w:rPr>
              <w:t>规格、制作要求</w:t>
            </w:r>
          </w:p>
        </w:tc>
        <w:tc>
          <w:tcPr>
            <w:tcW w:w="511" w:type="pct"/>
            <w:vAlign w:val="center"/>
          </w:tcPr>
          <w:p w14:paraId="6ED47CFC">
            <w:pPr>
              <w:jc w:val="center"/>
              <w:rPr>
                <w:b/>
                <w:bCs/>
                <w:szCs w:val="21"/>
                <w:lang w:eastAsia="zh-CN"/>
              </w:rPr>
            </w:pPr>
            <w:r>
              <w:rPr>
                <w:rFonts w:hint="eastAsia"/>
                <w:b/>
                <w:bCs/>
                <w:szCs w:val="21"/>
                <w:lang w:eastAsia="zh-CN" w:bidi="ar"/>
              </w:rPr>
              <w:t>数量</w:t>
            </w:r>
          </w:p>
        </w:tc>
        <w:tc>
          <w:tcPr>
            <w:tcW w:w="2484" w:type="pct"/>
            <w:vAlign w:val="center"/>
          </w:tcPr>
          <w:p w14:paraId="68CBBB84">
            <w:pPr>
              <w:jc w:val="center"/>
              <w:rPr>
                <w:b/>
                <w:bCs/>
                <w:szCs w:val="21"/>
                <w:lang w:eastAsia="zh-CN"/>
              </w:rPr>
            </w:pPr>
            <w:r>
              <w:rPr>
                <w:rFonts w:hint="eastAsia"/>
                <w:b/>
                <w:bCs/>
                <w:szCs w:val="21"/>
                <w:lang w:eastAsia="zh-CN" w:bidi="ar"/>
              </w:rPr>
              <w:t>备注</w:t>
            </w:r>
          </w:p>
        </w:tc>
      </w:tr>
      <w:tr w14:paraId="4850D7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00" w:type="pct"/>
            <w:vAlign w:val="center"/>
          </w:tcPr>
          <w:p w14:paraId="083A9C05">
            <w:pPr>
              <w:jc w:val="center"/>
              <w:rPr>
                <w:szCs w:val="21"/>
                <w:lang w:eastAsia="zh-CN"/>
              </w:rPr>
            </w:pPr>
            <w:r>
              <w:rPr>
                <w:rFonts w:hint="eastAsia"/>
                <w:szCs w:val="21"/>
                <w:lang w:eastAsia="zh-CN"/>
              </w:rPr>
              <w:t>1</w:t>
            </w:r>
          </w:p>
        </w:tc>
        <w:tc>
          <w:tcPr>
            <w:tcW w:w="683" w:type="pct"/>
            <w:vAlign w:val="center"/>
          </w:tcPr>
          <w:p w14:paraId="4B801D7E">
            <w:pPr>
              <w:jc w:val="center"/>
              <w:rPr>
                <w:szCs w:val="21"/>
                <w:lang w:eastAsia="zh-CN"/>
              </w:rPr>
            </w:pPr>
            <w:r>
              <w:rPr>
                <w:rFonts w:hint="eastAsia"/>
                <w:szCs w:val="21"/>
                <w:lang w:eastAsia="zh-CN"/>
              </w:rPr>
              <w:t>床立柱</w:t>
            </w:r>
          </w:p>
        </w:tc>
        <w:tc>
          <w:tcPr>
            <w:tcW w:w="920" w:type="pct"/>
            <w:vAlign w:val="center"/>
          </w:tcPr>
          <w:p w14:paraId="0CF85506">
            <w:pPr>
              <w:jc w:val="center"/>
              <w:rPr>
                <w:szCs w:val="21"/>
                <w:lang w:eastAsia="zh-CN"/>
              </w:rPr>
            </w:pPr>
            <w:r>
              <w:rPr>
                <w:rFonts w:hint="eastAsia"/>
                <w:szCs w:val="21"/>
                <w:lang w:eastAsia="zh-CN"/>
              </w:rPr>
              <w:t>长度≥350mm</w:t>
            </w:r>
          </w:p>
        </w:tc>
        <w:tc>
          <w:tcPr>
            <w:tcW w:w="511" w:type="pct"/>
            <w:vAlign w:val="center"/>
          </w:tcPr>
          <w:p w14:paraId="2DE29063">
            <w:pPr>
              <w:jc w:val="center"/>
              <w:rPr>
                <w:szCs w:val="21"/>
                <w:lang w:eastAsia="zh-CN"/>
              </w:rPr>
            </w:pPr>
            <w:r>
              <w:rPr>
                <w:rFonts w:hint="eastAsia"/>
                <w:szCs w:val="21"/>
                <w:lang w:eastAsia="zh-CN" w:bidi="ar"/>
              </w:rPr>
              <w:t>2根</w:t>
            </w:r>
          </w:p>
        </w:tc>
        <w:tc>
          <w:tcPr>
            <w:tcW w:w="2484" w:type="pct"/>
            <w:vAlign w:val="center"/>
          </w:tcPr>
          <w:p w14:paraId="67C9EB32">
            <w:pPr>
              <w:jc w:val="both"/>
              <w:rPr>
                <w:szCs w:val="21"/>
                <w:lang w:eastAsia="zh-CN"/>
              </w:rPr>
            </w:pPr>
            <w:r>
              <w:rPr>
                <w:rFonts w:hint="eastAsia"/>
                <w:szCs w:val="21"/>
                <w:lang w:eastAsia="zh-CN"/>
              </w:rPr>
              <w:t>1根喷涂，1根不喷涂，不喷涂的需要呈现酸洗后的效果；需配装立柱上下胶套，禁止拼焊打磨，3D打印无效。</w:t>
            </w:r>
          </w:p>
        </w:tc>
      </w:tr>
      <w:tr w14:paraId="769BF9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00" w:type="pct"/>
            <w:vAlign w:val="center"/>
          </w:tcPr>
          <w:p w14:paraId="6057BBAF">
            <w:pPr>
              <w:jc w:val="center"/>
              <w:rPr>
                <w:szCs w:val="21"/>
                <w:lang w:eastAsia="zh-CN"/>
              </w:rPr>
            </w:pPr>
            <w:r>
              <w:rPr>
                <w:rFonts w:hint="eastAsia"/>
                <w:szCs w:val="21"/>
                <w:lang w:eastAsia="zh-CN"/>
              </w:rPr>
              <w:t>2</w:t>
            </w:r>
          </w:p>
        </w:tc>
        <w:tc>
          <w:tcPr>
            <w:tcW w:w="683" w:type="pct"/>
            <w:vAlign w:val="center"/>
          </w:tcPr>
          <w:p w14:paraId="20C802DD">
            <w:pPr>
              <w:jc w:val="center"/>
              <w:rPr>
                <w:szCs w:val="21"/>
                <w:lang w:eastAsia="zh-CN"/>
              </w:rPr>
            </w:pPr>
            <w:r>
              <w:rPr>
                <w:rFonts w:hint="eastAsia"/>
                <w:szCs w:val="21"/>
                <w:lang w:eastAsia="zh-CN"/>
              </w:rPr>
              <w:t>床横梁</w:t>
            </w:r>
          </w:p>
        </w:tc>
        <w:tc>
          <w:tcPr>
            <w:tcW w:w="920" w:type="pct"/>
            <w:vAlign w:val="center"/>
          </w:tcPr>
          <w:p w14:paraId="3422AD68">
            <w:pPr>
              <w:jc w:val="center"/>
              <w:rPr>
                <w:szCs w:val="21"/>
                <w:lang w:eastAsia="zh-CN"/>
              </w:rPr>
            </w:pPr>
            <w:r>
              <w:rPr>
                <w:rFonts w:hint="eastAsia"/>
                <w:szCs w:val="21"/>
                <w:lang w:eastAsia="zh-CN"/>
              </w:rPr>
              <w:t>长度≥350mm</w:t>
            </w:r>
          </w:p>
        </w:tc>
        <w:tc>
          <w:tcPr>
            <w:tcW w:w="511" w:type="pct"/>
            <w:vAlign w:val="center"/>
          </w:tcPr>
          <w:p w14:paraId="31632F72">
            <w:pPr>
              <w:jc w:val="center"/>
              <w:rPr>
                <w:szCs w:val="21"/>
                <w:lang w:eastAsia="zh-CN"/>
              </w:rPr>
            </w:pPr>
            <w:r>
              <w:rPr>
                <w:rFonts w:hint="eastAsia"/>
                <w:szCs w:val="21"/>
                <w:lang w:eastAsia="zh-CN" w:bidi="ar"/>
              </w:rPr>
              <w:t>2根</w:t>
            </w:r>
          </w:p>
        </w:tc>
        <w:tc>
          <w:tcPr>
            <w:tcW w:w="2484" w:type="pct"/>
            <w:vAlign w:val="center"/>
          </w:tcPr>
          <w:p w14:paraId="451FF8E3">
            <w:pPr>
              <w:jc w:val="both"/>
              <w:rPr>
                <w:szCs w:val="21"/>
                <w:lang w:eastAsia="zh-CN"/>
              </w:rPr>
            </w:pPr>
            <w:r>
              <w:rPr>
                <w:rFonts w:hint="eastAsia"/>
                <w:szCs w:val="21"/>
                <w:lang w:eastAsia="zh-CN"/>
              </w:rPr>
              <w:t>1根喷涂，1根不喷涂，不喷涂的需要呈现酸洗后的效果；禁止拼焊打磨。</w:t>
            </w:r>
          </w:p>
        </w:tc>
      </w:tr>
      <w:tr w14:paraId="25A7D0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00" w:type="pct"/>
            <w:vAlign w:val="center"/>
          </w:tcPr>
          <w:p w14:paraId="58BD9A93">
            <w:pPr>
              <w:jc w:val="center"/>
              <w:rPr>
                <w:szCs w:val="21"/>
                <w:lang w:eastAsia="zh-CN"/>
              </w:rPr>
            </w:pPr>
            <w:r>
              <w:rPr>
                <w:rFonts w:hint="eastAsia"/>
                <w:szCs w:val="21"/>
                <w:lang w:eastAsia="zh-CN"/>
              </w:rPr>
              <w:t>3</w:t>
            </w:r>
          </w:p>
        </w:tc>
        <w:tc>
          <w:tcPr>
            <w:tcW w:w="683" w:type="pct"/>
            <w:vAlign w:val="center"/>
          </w:tcPr>
          <w:p w14:paraId="7CDFE585">
            <w:pPr>
              <w:jc w:val="center"/>
              <w:rPr>
                <w:szCs w:val="21"/>
                <w:lang w:eastAsia="zh-CN"/>
              </w:rPr>
            </w:pPr>
            <w:r>
              <w:rPr>
                <w:rFonts w:hint="eastAsia"/>
                <w:szCs w:val="21"/>
                <w:lang w:eastAsia="zh-CN"/>
              </w:rPr>
              <w:t>床板支撑梁</w:t>
            </w:r>
          </w:p>
        </w:tc>
        <w:tc>
          <w:tcPr>
            <w:tcW w:w="920" w:type="pct"/>
            <w:vAlign w:val="center"/>
          </w:tcPr>
          <w:p w14:paraId="347523A4">
            <w:pPr>
              <w:jc w:val="center"/>
              <w:rPr>
                <w:szCs w:val="21"/>
                <w:lang w:eastAsia="zh-CN"/>
              </w:rPr>
            </w:pPr>
            <w:r>
              <w:rPr>
                <w:rFonts w:hint="eastAsia"/>
                <w:szCs w:val="21"/>
                <w:lang w:eastAsia="zh-CN"/>
              </w:rPr>
              <w:t>长度≥350mm</w:t>
            </w:r>
          </w:p>
        </w:tc>
        <w:tc>
          <w:tcPr>
            <w:tcW w:w="511" w:type="pct"/>
            <w:vAlign w:val="center"/>
          </w:tcPr>
          <w:p w14:paraId="0CE51C07">
            <w:pPr>
              <w:jc w:val="center"/>
              <w:rPr>
                <w:szCs w:val="21"/>
                <w:lang w:eastAsia="zh-CN"/>
              </w:rPr>
            </w:pPr>
            <w:r>
              <w:rPr>
                <w:rFonts w:hint="eastAsia"/>
                <w:szCs w:val="21"/>
                <w:lang w:eastAsia="zh-CN" w:bidi="ar"/>
              </w:rPr>
              <w:t>1根</w:t>
            </w:r>
          </w:p>
        </w:tc>
        <w:tc>
          <w:tcPr>
            <w:tcW w:w="2484" w:type="pct"/>
            <w:vAlign w:val="center"/>
          </w:tcPr>
          <w:p w14:paraId="4C70FD07">
            <w:pPr>
              <w:jc w:val="both"/>
              <w:rPr>
                <w:szCs w:val="21"/>
                <w:lang w:eastAsia="zh-CN"/>
              </w:rPr>
            </w:pPr>
            <w:r>
              <w:rPr>
                <w:rFonts w:hint="eastAsia"/>
                <w:szCs w:val="21"/>
                <w:lang w:eastAsia="zh-CN"/>
              </w:rPr>
              <w:t>带静音条，禁止拼焊打磨，3D打印无效。</w:t>
            </w:r>
          </w:p>
        </w:tc>
      </w:tr>
      <w:tr w14:paraId="566F6A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00" w:type="pct"/>
            <w:vAlign w:val="center"/>
          </w:tcPr>
          <w:p w14:paraId="31E872FB">
            <w:pPr>
              <w:jc w:val="center"/>
              <w:rPr>
                <w:szCs w:val="21"/>
                <w:lang w:eastAsia="zh-CN"/>
              </w:rPr>
            </w:pPr>
            <w:r>
              <w:rPr>
                <w:rFonts w:hint="eastAsia"/>
                <w:szCs w:val="21"/>
                <w:lang w:eastAsia="zh-CN"/>
              </w:rPr>
              <w:t>4</w:t>
            </w:r>
          </w:p>
        </w:tc>
        <w:tc>
          <w:tcPr>
            <w:tcW w:w="683" w:type="pct"/>
            <w:vAlign w:val="center"/>
          </w:tcPr>
          <w:p w14:paraId="3D8FDDBA">
            <w:pPr>
              <w:jc w:val="center"/>
              <w:rPr>
                <w:szCs w:val="21"/>
                <w:lang w:eastAsia="zh-CN"/>
              </w:rPr>
            </w:pPr>
            <w:r>
              <w:rPr>
                <w:rFonts w:hint="eastAsia"/>
                <w:szCs w:val="21"/>
                <w:lang w:eastAsia="zh-CN"/>
              </w:rPr>
              <w:t>床爬梯</w:t>
            </w:r>
          </w:p>
        </w:tc>
        <w:tc>
          <w:tcPr>
            <w:tcW w:w="920" w:type="pct"/>
            <w:vAlign w:val="center"/>
          </w:tcPr>
          <w:p w14:paraId="5339FA8B">
            <w:pPr>
              <w:jc w:val="center"/>
              <w:rPr>
                <w:szCs w:val="21"/>
                <w:lang w:eastAsia="zh-CN"/>
              </w:rPr>
            </w:pPr>
            <w:r>
              <w:rPr>
                <w:rFonts w:hint="eastAsia"/>
                <w:szCs w:val="21"/>
                <w:lang w:eastAsia="zh-CN"/>
              </w:rPr>
              <w:t>尺寸≥W430mm*H720mm</w:t>
            </w:r>
          </w:p>
        </w:tc>
        <w:tc>
          <w:tcPr>
            <w:tcW w:w="511" w:type="pct"/>
            <w:vAlign w:val="center"/>
          </w:tcPr>
          <w:p w14:paraId="724D7565">
            <w:pPr>
              <w:jc w:val="center"/>
              <w:rPr>
                <w:szCs w:val="21"/>
                <w:lang w:eastAsia="zh-CN"/>
              </w:rPr>
            </w:pPr>
            <w:r>
              <w:rPr>
                <w:rFonts w:hint="eastAsia"/>
                <w:szCs w:val="21"/>
                <w:lang w:eastAsia="zh-CN" w:bidi="ar"/>
              </w:rPr>
              <w:t>1套</w:t>
            </w:r>
          </w:p>
        </w:tc>
        <w:tc>
          <w:tcPr>
            <w:tcW w:w="2484" w:type="pct"/>
            <w:vAlign w:val="center"/>
          </w:tcPr>
          <w:p w14:paraId="209D87CC">
            <w:pPr>
              <w:jc w:val="both"/>
              <w:rPr>
                <w:szCs w:val="21"/>
                <w:lang w:eastAsia="zh-CN"/>
              </w:rPr>
            </w:pPr>
            <w:r>
              <w:rPr>
                <w:rFonts w:hint="eastAsia"/>
                <w:szCs w:val="21"/>
                <w:lang w:eastAsia="zh-CN"/>
              </w:rPr>
              <w:t>要求与踏板焊接成整体，配装符合招标文件要求的塑料踏板，塑料踏板3D打印无效。</w:t>
            </w:r>
          </w:p>
        </w:tc>
      </w:tr>
    </w:tbl>
    <w:p w14:paraId="0B502FAE">
      <w:pPr>
        <w:pStyle w:val="11"/>
        <w:ind w:firstLine="420"/>
        <w:jc w:val="both"/>
        <w:rPr>
          <w:sz w:val="21"/>
          <w:szCs w:val="21"/>
        </w:rPr>
      </w:pPr>
      <w:r>
        <w:rPr>
          <w:rFonts w:hint="eastAsia"/>
          <w:sz w:val="21"/>
          <w:szCs w:val="21"/>
        </w:rPr>
        <w:t>1.投标人须在提交投标文件截止时间前提交投标样品，逾期送达的投标样品将不予接收，样品提交地址：珠海市唐家湾金凤路</w:t>
      </w:r>
      <w:r>
        <w:rPr>
          <w:sz w:val="21"/>
          <w:szCs w:val="21"/>
        </w:rPr>
        <w:t>18号，北京师范大学珠海校区开标室/评标室【京师家园二期裙楼37号</w:t>
      </w:r>
      <w:r>
        <w:rPr>
          <w:rFonts w:hint="eastAsia"/>
          <w:sz w:val="21"/>
          <w:szCs w:val="21"/>
          <w:lang w:val="en-US" w:eastAsia="zh-CN"/>
        </w:rPr>
        <w:t>一</w:t>
      </w:r>
      <w:r>
        <w:rPr>
          <w:sz w:val="21"/>
          <w:szCs w:val="21"/>
        </w:rPr>
        <w:t>楼会议室】（农业银行沿西北方向至高压电塔旁，导航至“网鱼电竞北理工大学店”向前约250米）</w:t>
      </w:r>
      <w:r>
        <w:rPr>
          <w:rFonts w:hint="eastAsia"/>
          <w:sz w:val="21"/>
          <w:szCs w:val="21"/>
        </w:rPr>
        <w:t>。</w:t>
      </w:r>
    </w:p>
    <w:p w14:paraId="1E41DB0A">
      <w:pPr>
        <w:pStyle w:val="11"/>
        <w:ind w:firstLine="420"/>
        <w:jc w:val="both"/>
        <w:rPr>
          <w:sz w:val="21"/>
          <w:szCs w:val="21"/>
        </w:rPr>
      </w:pPr>
      <w:r>
        <w:rPr>
          <w:rFonts w:hint="eastAsia"/>
          <w:sz w:val="21"/>
          <w:szCs w:val="21"/>
        </w:rPr>
        <w:t>2.投标样品进场注意事项：</w:t>
      </w:r>
    </w:p>
    <w:p w14:paraId="5F7CC448">
      <w:pPr>
        <w:pStyle w:val="11"/>
        <w:ind w:firstLine="420"/>
        <w:jc w:val="both"/>
        <w:rPr>
          <w:sz w:val="21"/>
          <w:szCs w:val="21"/>
        </w:rPr>
      </w:pPr>
      <w:r>
        <w:rPr>
          <w:rFonts w:hint="eastAsia"/>
          <w:sz w:val="21"/>
          <w:szCs w:val="21"/>
        </w:rPr>
        <w:t>（1）投标人须遵守样品摆放场地管理规定，外来人员听从现场工作人员指挥。</w:t>
      </w:r>
    </w:p>
    <w:p w14:paraId="5082DA18">
      <w:pPr>
        <w:pStyle w:val="11"/>
        <w:ind w:firstLine="420"/>
        <w:jc w:val="both"/>
        <w:rPr>
          <w:sz w:val="21"/>
          <w:szCs w:val="21"/>
        </w:rPr>
      </w:pPr>
      <w:r>
        <w:rPr>
          <w:rFonts w:hint="eastAsia"/>
          <w:sz w:val="21"/>
          <w:szCs w:val="21"/>
        </w:rPr>
        <w:t>（2）提交样品过程注意控制噪声和保护样品摆放现场设备设施，如有损坏，自行修复原样；也不得破坏其他投标人的样品。样品地点空间有限，自觉依次摆放，不得霸占、侵占其他投标人的样品空间。摆放完毕，自行清点样品数量，在采购代理机构工作人员处进行登记，并清走纸皮等垃圾。</w:t>
      </w:r>
    </w:p>
    <w:p w14:paraId="46F59FB0">
      <w:pPr>
        <w:pStyle w:val="11"/>
        <w:ind w:firstLine="420"/>
        <w:jc w:val="both"/>
        <w:rPr>
          <w:sz w:val="21"/>
          <w:szCs w:val="21"/>
        </w:rPr>
      </w:pPr>
      <w:r>
        <w:rPr>
          <w:rFonts w:hint="eastAsia"/>
          <w:sz w:val="21"/>
          <w:szCs w:val="21"/>
        </w:rPr>
        <w:t>（3）投标人应当在规定时间前、指定地点内将所有样品摆放及登记完毕。</w:t>
      </w:r>
    </w:p>
    <w:p w14:paraId="57FBFC07">
      <w:pPr>
        <w:pStyle w:val="11"/>
        <w:ind w:firstLine="420"/>
        <w:jc w:val="both"/>
        <w:rPr>
          <w:sz w:val="21"/>
          <w:szCs w:val="21"/>
        </w:rPr>
      </w:pPr>
      <w:r>
        <w:rPr>
          <w:rFonts w:hint="eastAsia"/>
          <w:sz w:val="21"/>
          <w:szCs w:val="21"/>
        </w:rPr>
        <w:t>（4）为维护投标人自身的利益，建议投标人提供样品时，自带布料覆盖于样品上。采购人及采购代理机构对投标人所递交样品的破损或质量不负任何责任。</w:t>
      </w:r>
    </w:p>
    <w:p w14:paraId="79007141">
      <w:pPr>
        <w:pStyle w:val="11"/>
        <w:ind w:firstLine="420"/>
        <w:jc w:val="both"/>
        <w:rPr>
          <w:sz w:val="21"/>
          <w:szCs w:val="21"/>
        </w:rPr>
      </w:pPr>
      <w:r>
        <w:rPr>
          <w:rFonts w:hint="eastAsia"/>
          <w:sz w:val="21"/>
          <w:szCs w:val="21"/>
        </w:rPr>
        <w:t>（5）除采购人、代理机构及评标委员会外，其他单位或个人未经允许不得对非本单位样品进行拍照或者查看。</w:t>
      </w:r>
    </w:p>
    <w:p w14:paraId="2105CD37">
      <w:pPr>
        <w:pStyle w:val="11"/>
        <w:ind w:firstLine="420"/>
        <w:jc w:val="both"/>
        <w:rPr>
          <w:sz w:val="21"/>
          <w:szCs w:val="21"/>
        </w:rPr>
      </w:pPr>
      <w:r>
        <w:rPr>
          <w:rFonts w:hint="eastAsia"/>
          <w:sz w:val="21"/>
          <w:szCs w:val="21"/>
        </w:rPr>
        <w:t>3.样品需按照用户需求中的技术要求的标准进行制作，样品的技术参数需满足采购需求中相应的参数，尺寸偏差（如有）以标注为准。投标人应按上述样品规格要求及数量提交样品，须注明项目名称、项目编号、投标人名称、样品名称、样品规格等信息。未粘贴标签或标签信息不完整导致无法识别投标人身份的，视为投标人未提交样品，一切责任由投标人自行承担。</w:t>
      </w:r>
    </w:p>
    <w:p w14:paraId="769E8188">
      <w:pPr>
        <w:pStyle w:val="11"/>
        <w:ind w:firstLine="420"/>
        <w:jc w:val="both"/>
        <w:rPr>
          <w:sz w:val="21"/>
          <w:szCs w:val="21"/>
        </w:rPr>
      </w:pPr>
      <w:r>
        <w:rPr>
          <w:rFonts w:hint="eastAsia"/>
          <w:sz w:val="21"/>
          <w:szCs w:val="21"/>
        </w:rPr>
        <w:t>4.采购人及采购代理机构对投标人所递交样品污损不负任何责任。中标人的样品封存于采购人单位，作为履约验收的参考。未中标的投标人应在本项目中标公告发布之日起7个工作日后的3个工作日内自行取回投标样品。投标人逾期不取回样品，则视为同意采购人或采购代理机构有权自行处置相关样品。</w:t>
      </w:r>
    </w:p>
    <w:p w14:paraId="39DC3458">
      <w:pPr>
        <w:pStyle w:val="11"/>
        <w:ind w:firstLine="0" w:firstLineChars="0"/>
        <w:rPr>
          <w:sz w:val="21"/>
          <w:szCs w:val="21"/>
        </w:rPr>
      </w:pPr>
    </w:p>
    <w:p w14:paraId="4FD0EA36">
      <w:pPr>
        <w:pStyle w:val="9"/>
        <w:autoSpaceDE/>
        <w:autoSpaceDN/>
        <w:rPr>
          <w:sz w:val="21"/>
          <w:szCs w:val="21"/>
          <w:lang w:eastAsia="zh-CN"/>
        </w:rPr>
      </w:pPr>
      <w:bookmarkStart w:id="8" w:name="_Toc30173"/>
      <w:r>
        <w:rPr>
          <w:rFonts w:hint="eastAsia"/>
          <w:sz w:val="21"/>
          <w:szCs w:val="21"/>
          <w:lang w:eastAsia="zh-CN"/>
        </w:rPr>
        <w:t>二、主要商务要求</w:t>
      </w:r>
      <w:bookmarkEnd w:id="8"/>
    </w:p>
    <w:p w14:paraId="1CB5F615">
      <w:pPr>
        <w:pStyle w:val="5"/>
        <w:numPr>
          <w:ilvl w:val="0"/>
          <w:numId w:val="1"/>
        </w:numPr>
        <w:autoSpaceDE/>
        <w:autoSpaceDN/>
        <w:spacing w:after="0"/>
        <w:ind w:left="0" w:leftChars="0" w:firstLine="420"/>
        <w:rPr>
          <w:szCs w:val="21"/>
          <w:lang w:eastAsia="zh-CN"/>
        </w:rPr>
      </w:pPr>
      <w:r>
        <w:rPr>
          <w:rFonts w:hint="eastAsia"/>
          <w:szCs w:val="21"/>
          <w:lang w:eastAsia="zh-CN"/>
        </w:rPr>
        <w:t>标的提供的时间：接到采购人通知之日起32个日历日内完成供货、安装、调试合格并投入使用</w:t>
      </w:r>
    </w:p>
    <w:p w14:paraId="0BAE3CA7">
      <w:pPr>
        <w:pStyle w:val="5"/>
        <w:numPr>
          <w:ilvl w:val="0"/>
          <w:numId w:val="1"/>
        </w:numPr>
        <w:autoSpaceDE/>
        <w:autoSpaceDN/>
        <w:spacing w:after="0"/>
        <w:ind w:left="0" w:leftChars="0" w:firstLine="420"/>
        <w:rPr>
          <w:szCs w:val="21"/>
          <w:lang w:eastAsia="zh-CN"/>
        </w:rPr>
      </w:pPr>
      <w:r>
        <w:rPr>
          <w:rFonts w:hint="eastAsia"/>
          <w:szCs w:val="21"/>
          <w:lang w:eastAsia="zh-CN"/>
        </w:rPr>
        <w:t>标的提供的地点：北京师范大学珠海校区内。</w:t>
      </w:r>
    </w:p>
    <w:p w14:paraId="36598EE9">
      <w:pPr>
        <w:pStyle w:val="5"/>
        <w:numPr>
          <w:ilvl w:val="0"/>
          <w:numId w:val="1"/>
        </w:numPr>
        <w:autoSpaceDE/>
        <w:autoSpaceDN/>
        <w:spacing w:after="0"/>
        <w:ind w:left="0" w:leftChars="0" w:firstLine="420"/>
        <w:rPr>
          <w:szCs w:val="21"/>
          <w:lang w:eastAsia="zh-CN"/>
        </w:rPr>
      </w:pPr>
      <w:r>
        <w:rPr>
          <w:rFonts w:hint="eastAsia"/>
          <w:szCs w:val="21"/>
        </w:rPr>
        <w:t>付款方式</w:t>
      </w:r>
      <w:r>
        <w:rPr>
          <w:rFonts w:hint="eastAsia"/>
          <w:szCs w:val="21"/>
          <w:lang w:eastAsia="zh-CN"/>
        </w:rPr>
        <w:t>：</w:t>
      </w:r>
    </w:p>
    <w:p w14:paraId="24CC5BFC">
      <w:pPr>
        <w:pStyle w:val="5"/>
        <w:autoSpaceDE/>
        <w:autoSpaceDN/>
        <w:spacing w:after="0"/>
        <w:ind w:left="0" w:leftChars="0"/>
        <w:jc w:val="both"/>
        <w:rPr>
          <w:szCs w:val="21"/>
          <w:lang w:eastAsia="zh-CN"/>
        </w:rPr>
      </w:pPr>
      <w:r>
        <w:rPr>
          <w:rFonts w:hint="eastAsia"/>
          <w:szCs w:val="21"/>
          <w:lang w:eastAsia="zh-CN"/>
        </w:rPr>
        <w:t>（1）支付比例30%，合同签订生效后，采购人收到中标人开具的有效发票10个工作日内，向中标人支付合同总额的30%作为预付款；</w:t>
      </w:r>
    </w:p>
    <w:p w14:paraId="4EF19622">
      <w:pPr>
        <w:pStyle w:val="5"/>
        <w:autoSpaceDE/>
        <w:autoSpaceDN/>
        <w:spacing w:after="0"/>
        <w:ind w:left="0" w:leftChars="0"/>
        <w:jc w:val="both"/>
        <w:rPr>
          <w:szCs w:val="21"/>
          <w:lang w:eastAsia="zh-CN"/>
        </w:rPr>
      </w:pPr>
      <w:r>
        <w:rPr>
          <w:rFonts w:hint="eastAsia"/>
          <w:szCs w:val="21"/>
          <w:lang w:eastAsia="zh-CN"/>
        </w:rPr>
        <w:t>（2）支付比例60%，货物全部到货且通过验收，采购人在收到中标人开具的有效发票后10个工作日内，向中标人支付合同总额的60%作为进度款；</w:t>
      </w:r>
    </w:p>
    <w:p w14:paraId="25196A0C">
      <w:pPr>
        <w:pStyle w:val="5"/>
        <w:autoSpaceDE/>
        <w:autoSpaceDN/>
        <w:spacing w:after="0"/>
        <w:ind w:left="0" w:leftChars="0"/>
        <w:jc w:val="both"/>
        <w:rPr>
          <w:szCs w:val="21"/>
          <w:lang w:eastAsia="zh-CN"/>
        </w:rPr>
      </w:pPr>
      <w:r>
        <w:rPr>
          <w:rFonts w:hint="eastAsia"/>
          <w:szCs w:val="21"/>
          <w:lang w:eastAsia="zh-CN"/>
        </w:rPr>
        <w:t>（3）支付比例10%，货物安装完毕且投入使用，采购人在收到中标人开具的有效发票后10个工作日内，一次性付清余款。</w:t>
      </w:r>
    </w:p>
    <w:p w14:paraId="5B062413">
      <w:pPr>
        <w:pStyle w:val="5"/>
        <w:numPr>
          <w:ilvl w:val="0"/>
          <w:numId w:val="1"/>
        </w:numPr>
        <w:autoSpaceDE/>
        <w:autoSpaceDN/>
        <w:spacing w:after="0"/>
        <w:ind w:left="0" w:leftChars="0" w:firstLine="420"/>
        <w:rPr>
          <w:szCs w:val="21"/>
          <w:lang w:eastAsia="zh-CN"/>
        </w:rPr>
      </w:pPr>
      <w:r>
        <w:rPr>
          <w:rFonts w:hint="eastAsia"/>
          <w:szCs w:val="21"/>
        </w:rPr>
        <w:t>验收要求</w:t>
      </w:r>
      <w:r>
        <w:rPr>
          <w:rFonts w:hint="eastAsia"/>
          <w:szCs w:val="21"/>
          <w:lang w:eastAsia="zh-CN"/>
        </w:rPr>
        <w:t>：</w:t>
      </w:r>
    </w:p>
    <w:p w14:paraId="15A2E551">
      <w:pPr>
        <w:pStyle w:val="5"/>
        <w:autoSpaceDE/>
        <w:autoSpaceDN/>
        <w:spacing w:after="0"/>
        <w:ind w:left="0" w:leftChars="0"/>
        <w:rPr>
          <w:szCs w:val="21"/>
          <w:lang w:eastAsia="zh-CN"/>
        </w:rPr>
      </w:pPr>
      <w:r>
        <w:rPr>
          <w:rFonts w:hint="eastAsia"/>
          <w:szCs w:val="21"/>
          <w:lang w:eastAsia="zh-CN"/>
        </w:rPr>
        <w:t>（1）验收时间：项目完全履约完毕且经采购人确认后开始验收。</w:t>
      </w:r>
    </w:p>
    <w:p w14:paraId="254403EF">
      <w:pPr>
        <w:pStyle w:val="5"/>
        <w:autoSpaceDE/>
        <w:autoSpaceDN/>
        <w:spacing w:after="0"/>
        <w:ind w:left="0" w:leftChars="0"/>
        <w:jc w:val="both"/>
        <w:rPr>
          <w:szCs w:val="21"/>
          <w:lang w:eastAsia="zh-CN"/>
        </w:rPr>
      </w:pPr>
      <w:r>
        <w:rPr>
          <w:rFonts w:hint="eastAsia"/>
          <w:szCs w:val="21"/>
          <w:lang w:eastAsia="zh-CN"/>
        </w:rPr>
        <w:t>（2）验收方式：中标供应商入场安装前，由采购人随机各抽取1-2间房，由供应商或第三方检测机构对房间进行一次甲醛、苯等有害物质检测；家具全部安装完成后，由供应商或第三方检测机构再次进行甲醛、苯等含量测试；第三方检测机构由采购人委托，费用由中标人承担。抽检结果符合国家标准及招标文件要求，由采购人组织的项目验收小组进行验收。凡验收不合格，由中标人返工直至合格，有关返工、再行验收，以及给采购人造成的损失等费用由中标人承担。连续两次项目验收不合格的，采购人有权单方解除合同，由此带来的一切损失由中标人承担。</w:t>
      </w:r>
    </w:p>
    <w:p w14:paraId="3D57A172">
      <w:pPr>
        <w:pStyle w:val="5"/>
        <w:autoSpaceDE/>
        <w:autoSpaceDN/>
        <w:spacing w:after="0"/>
        <w:ind w:left="0" w:leftChars="0"/>
        <w:jc w:val="both"/>
        <w:rPr>
          <w:szCs w:val="21"/>
          <w:lang w:eastAsia="zh-CN"/>
        </w:rPr>
      </w:pPr>
      <w:r>
        <w:rPr>
          <w:rFonts w:hint="eastAsia"/>
          <w:szCs w:val="21"/>
          <w:lang w:eastAsia="zh-CN"/>
        </w:rPr>
        <w:t>（3）验收内容：采购人将随机抽选核心产品的1-2套做破坏性拆解，测量隐藏部件是否满足参数要求。中标人需准备相应零部件，更换被破坏零部件。投标人报价须充分考虑该项验收成本。</w:t>
      </w:r>
    </w:p>
    <w:p w14:paraId="65D9600A">
      <w:pPr>
        <w:pStyle w:val="5"/>
        <w:spacing w:after="0"/>
        <w:ind w:left="0" w:leftChars="0"/>
        <w:jc w:val="both"/>
        <w:rPr>
          <w:szCs w:val="21"/>
          <w:lang w:eastAsia="zh-CN"/>
        </w:rPr>
      </w:pPr>
      <w:r>
        <w:rPr>
          <w:rFonts w:hint="eastAsia"/>
          <w:szCs w:val="21"/>
          <w:lang w:eastAsia="zh-CN"/>
        </w:rPr>
        <w:t>（4）验收标准：供应商提供的货物或服务质量符合国家及行业强制标准，采购文件要求、投标（响应）文件承诺及合同要求。</w:t>
      </w:r>
    </w:p>
    <w:p w14:paraId="5F46405D">
      <w:pPr>
        <w:pStyle w:val="5"/>
        <w:spacing w:after="0"/>
        <w:ind w:left="0" w:leftChars="0"/>
        <w:jc w:val="both"/>
        <w:rPr>
          <w:szCs w:val="21"/>
          <w:lang w:eastAsia="zh-CN"/>
        </w:rPr>
      </w:pPr>
      <w:r>
        <w:rPr>
          <w:rFonts w:hint="eastAsia"/>
          <w:szCs w:val="21"/>
          <w:lang w:eastAsia="zh-CN"/>
        </w:rPr>
        <w:t>1）符合国家及行业强制标准，招标文件要求、投标文件承诺、合同。</w:t>
      </w:r>
    </w:p>
    <w:p w14:paraId="25201CBC">
      <w:pPr>
        <w:pStyle w:val="5"/>
        <w:spacing w:after="0"/>
        <w:ind w:left="0" w:leftChars="0"/>
        <w:jc w:val="both"/>
        <w:rPr>
          <w:szCs w:val="21"/>
          <w:lang w:eastAsia="zh-CN"/>
        </w:rPr>
      </w:pPr>
      <w:r>
        <w:rPr>
          <w:rFonts w:hint="eastAsia"/>
          <w:szCs w:val="21"/>
          <w:lang w:eastAsia="zh-CN"/>
        </w:rPr>
        <w:t>2）总体布局及家具规格符合相关图纸设计（如有）要求，尺寸及排布合理有序。</w:t>
      </w:r>
    </w:p>
    <w:p w14:paraId="5BFB0FD1">
      <w:pPr>
        <w:pStyle w:val="5"/>
        <w:spacing w:after="0"/>
        <w:ind w:left="0" w:leftChars="0"/>
        <w:jc w:val="both"/>
        <w:rPr>
          <w:szCs w:val="21"/>
          <w:lang w:eastAsia="zh-CN"/>
        </w:rPr>
      </w:pPr>
      <w:r>
        <w:rPr>
          <w:rFonts w:hint="eastAsia"/>
          <w:szCs w:val="21"/>
          <w:lang w:eastAsia="zh-CN"/>
        </w:rPr>
        <w:t>3）提供符合采购人要求的，有效的检测合格证及检测报告。</w:t>
      </w:r>
    </w:p>
    <w:p w14:paraId="499AB59E">
      <w:pPr>
        <w:pStyle w:val="5"/>
        <w:spacing w:after="0"/>
        <w:ind w:left="0" w:leftChars="0"/>
        <w:jc w:val="both"/>
        <w:rPr>
          <w:szCs w:val="21"/>
          <w:lang w:eastAsia="zh-CN"/>
        </w:rPr>
      </w:pPr>
      <w:r>
        <w:rPr>
          <w:rFonts w:hint="eastAsia"/>
          <w:szCs w:val="21"/>
          <w:lang w:eastAsia="zh-CN"/>
        </w:rPr>
        <w:t>4）家具安装正确、牢固、严密，其偏差应在设计标准控制范围内。</w:t>
      </w:r>
    </w:p>
    <w:p w14:paraId="4F364F6E">
      <w:pPr>
        <w:pStyle w:val="5"/>
        <w:spacing w:after="0"/>
        <w:ind w:left="0" w:leftChars="0"/>
        <w:jc w:val="both"/>
        <w:rPr>
          <w:szCs w:val="21"/>
          <w:lang w:eastAsia="zh-CN"/>
        </w:rPr>
      </w:pPr>
      <w:r>
        <w:rPr>
          <w:rFonts w:hint="eastAsia"/>
          <w:szCs w:val="21"/>
          <w:lang w:eastAsia="zh-CN"/>
        </w:rPr>
        <w:t>5）各组件间连接紧密，无内容物外露，家具安装过程中未损坏原有结构。</w:t>
      </w:r>
    </w:p>
    <w:p w14:paraId="7192116A">
      <w:pPr>
        <w:pStyle w:val="5"/>
        <w:spacing w:after="0"/>
        <w:ind w:left="0" w:leftChars="0"/>
        <w:jc w:val="both"/>
        <w:rPr>
          <w:szCs w:val="21"/>
          <w:lang w:eastAsia="zh-CN"/>
        </w:rPr>
      </w:pPr>
      <w:r>
        <w:rPr>
          <w:rFonts w:hint="eastAsia"/>
          <w:szCs w:val="21"/>
          <w:lang w:eastAsia="zh-CN"/>
        </w:rPr>
        <w:t>6）所有货物安装完毕后，中标人负责清洁卫生。清洁范围包含：家具、地板等；保证现场环境干净整洁明亮，清洁费用包含在合同总价中。</w:t>
      </w:r>
    </w:p>
    <w:p w14:paraId="0BB30347">
      <w:pPr>
        <w:pStyle w:val="5"/>
        <w:numPr>
          <w:ilvl w:val="0"/>
          <w:numId w:val="1"/>
        </w:numPr>
        <w:spacing w:after="0"/>
        <w:ind w:left="0" w:leftChars="0" w:firstLine="420"/>
        <w:jc w:val="both"/>
        <w:rPr>
          <w:szCs w:val="21"/>
          <w:lang w:eastAsia="zh-CN"/>
        </w:rPr>
      </w:pPr>
      <w:r>
        <w:rPr>
          <w:rFonts w:hint="eastAsia"/>
          <w:szCs w:val="21"/>
          <w:lang w:eastAsia="zh-CN"/>
        </w:rPr>
        <w:t>供货、</w:t>
      </w:r>
      <w:r>
        <w:rPr>
          <w:rFonts w:hint="eastAsia"/>
          <w:szCs w:val="21"/>
        </w:rPr>
        <w:t>安装</w:t>
      </w:r>
      <w:r>
        <w:rPr>
          <w:rFonts w:hint="eastAsia"/>
          <w:szCs w:val="21"/>
          <w:lang w:eastAsia="zh-CN"/>
        </w:rPr>
        <w:t>及</w:t>
      </w:r>
      <w:r>
        <w:rPr>
          <w:rFonts w:hint="eastAsia"/>
          <w:szCs w:val="21"/>
        </w:rPr>
        <w:t>调试</w:t>
      </w:r>
    </w:p>
    <w:p w14:paraId="6D916054">
      <w:pPr>
        <w:pStyle w:val="5"/>
        <w:spacing w:after="0"/>
        <w:ind w:left="0" w:leftChars="0"/>
        <w:jc w:val="both"/>
        <w:rPr>
          <w:szCs w:val="21"/>
          <w:lang w:eastAsia="zh-CN"/>
        </w:rPr>
      </w:pPr>
      <w:r>
        <w:rPr>
          <w:rFonts w:hint="eastAsia"/>
          <w:szCs w:val="21"/>
          <w:lang w:eastAsia="zh-CN"/>
        </w:rPr>
        <w:t>（1）中标人安装、调试时须对安装、调试场地及场地内的其他设备、设施做好良好保护措施。如因供应商原因造成校方场地或场地内其他设备、设施损坏，或造成任何人员伤亡的，由供应商承担全部赔偿责任。</w:t>
      </w:r>
    </w:p>
    <w:p w14:paraId="7D2976CA">
      <w:pPr>
        <w:pStyle w:val="5"/>
        <w:spacing w:after="0"/>
        <w:ind w:left="0" w:leftChars="0"/>
        <w:jc w:val="both"/>
        <w:rPr>
          <w:szCs w:val="21"/>
          <w:lang w:eastAsia="zh-CN"/>
        </w:rPr>
      </w:pPr>
      <w:r>
        <w:rPr>
          <w:rFonts w:hint="eastAsia"/>
          <w:szCs w:val="21"/>
          <w:lang w:eastAsia="zh-CN"/>
        </w:rPr>
        <w:t>（2）货物在运输、安装过程中有任何损坏、丢失由中标人负责。</w:t>
      </w:r>
    </w:p>
    <w:p w14:paraId="3ABF2263">
      <w:pPr>
        <w:pStyle w:val="5"/>
        <w:spacing w:after="0"/>
        <w:ind w:left="0" w:leftChars="0"/>
        <w:jc w:val="both"/>
        <w:rPr>
          <w:szCs w:val="21"/>
          <w:lang w:eastAsia="zh-CN"/>
        </w:rPr>
      </w:pPr>
      <w:r>
        <w:rPr>
          <w:rFonts w:hint="eastAsia"/>
          <w:szCs w:val="21"/>
          <w:lang w:eastAsia="zh-CN"/>
        </w:rPr>
        <w:t>（3）中标人按采购人提供的材料清单进行供货，货物的规格、质量须等完全满足招标文件采购需求及投标文件承诺，不符合的采购人拒绝接受，若发现货物出现货不对板的质量问题，或货物使用一个月内出现质量问题，供应商须无条件更换并承担由此造成的一切损失和责任。</w:t>
      </w:r>
    </w:p>
    <w:p w14:paraId="5197054F">
      <w:pPr>
        <w:pStyle w:val="5"/>
        <w:spacing w:after="0"/>
        <w:ind w:left="0" w:leftChars="0"/>
        <w:jc w:val="both"/>
        <w:rPr>
          <w:szCs w:val="21"/>
          <w:lang w:eastAsia="zh-CN"/>
        </w:rPr>
      </w:pPr>
      <w:r>
        <w:rPr>
          <w:rFonts w:hint="eastAsia"/>
          <w:szCs w:val="21"/>
          <w:lang w:eastAsia="zh-CN"/>
        </w:rPr>
        <w:t>（4）货物为原制造商制造的全新产品，具有出厂合格证，序列号、包装箱号与出场批号一致，并可追索查阅。所有附件须齐全，整体无污染，无侵权行为、表面无划损、无任何缺陷隐患，无碰撞，各项技术指标完全符合国家监测标准及产品出厂标准，在中国境内可依常规安全合法使用。</w:t>
      </w:r>
    </w:p>
    <w:p w14:paraId="29B37D45">
      <w:pPr>
        <w:pStyle w:val="5"/>
        <w:spacing w:after="0"/>
        <w:ind w:left="0" w:leftChars="0"/>
        <w:jc w:val="both"/>
        <w:rPr>
          <w:szCs w:val="21"/>
          <w:lang w:eastAsia="zh-CN"/>
        </w:rPr>
      </w:pPr>
      <w:r>
        <w:rPr>
          <w:rFonts w:hint="eastAsia"/>
          <w:szCs w:val="21"/>
          <w:lang w:eastAsia="zh-CN"/>
        </w:rPr>
        <w:t>（5）货物的包装必须是制造商原厂包装，其包装均应有良好的防湿、防锈、防潮、防雨、防腐及防碰撞的措施。凡由于包装不良造成的损失和由此产生的费用均由供应商承担。</w:t>
      </w:r>
    </w:p>
    <w:p w14:paraId="65D9842D">
      <w:pPr>
        <w:pStyle w:val="5"/>
        <w:spacing w:after="0"/>
        <w:ind w:left="0" w:leftChars="0"/>
        <w:jc w:val="both"/>
        <w:rPr>
          <w:szCs w:val="21"/>
          <w:lang w:eastAsia="zh-CN"/>
        </w:rPr>
      </w:pPr>
      <w:r>
        <w:rPr>
          <w:rFonts w:hint="eastAsia"/>
          <w:szCs w:val="21"/>
          <w:lang w:eastAsia="zh-CN"/>
        </w:rPr>
        <w:t>（6）供应商负责将货物送到现场过程中的全部运输，包括装卸车、货物现场的搬运，费用由供应商负责。</w:t>
      </w:r>
    </w:p>
    <w:p w14:paraId="64B09075">
      <w:pPr>
        <w:pStyle w:val="5"/>
        <w:spacing w:after="0"/>
        <w:ind w:left="0" w:leftChars="0"/>
        <w:jc w:val="both"/>
        <w:rPr>
          <w:szCs w:val="21"/>
          <w:lang w:eastAsia="zh-CN"/>
        </w:rPr>
      </w:pPr>
      <w:r>
        <w:rPr>
          <w:rFonts w:hint="eastAsia"/>
          <w:szCs w:val="21"/>
          <w:lang w:eastAsia="zh-CN"/>
        </w:rPr>
        <w:t>（7）如因质量发生争议，由各方共同委托珠海市市场监督部门进行质量鉴定；如该部门因受专业或技术等原因所限而不能办理的，则共同委托其他专门机构进行质量鉴定。其鉴定结论对各方均具有法律约束力。货物符合质量标准的，鉴定费由采购人承担；不符合质量标准的，鉴定费由供应商承担。</w:t>
      </w:r>
    </w:p>
    <w:p w14:paraId="64A2B7BC">
      <w:pPr>
        <w:pStyle w:val="5"/>
        <w:numPr>
          <w:ilvl w:val="0"/>
          <w:numId w:val="1"/>
        </w:numPr>
        <w:spacing w:after="0"/>
        <w:ind w:left="0" w:leftChars="0" w:firstLine="420"/>
        <w:jc w:val="both"/>
        <w:rPr>
          <w:szCs w:val="21"/>
          <w:lang w:eastAsia="zh-CN"/>
        </w:rPr>
      </w:pPr>
      <w:r>
        <w:rPr>
          <w:rFonts w:hint="eastAsia"/>
          <w:szCs w:val="21"/>
          <w:lang w:eastAsia="zh-CN"/>
        </w:rPr>
        <w:t>包装及运输</w:t>
      </w:r>
    </w:p>
    <w:p w14:paraId="516FA254">
      <w:pPr>
        <w:pStyle w:val="5"/>
        <w:spacing w:after="0"/>
        <w:ind w:left="0" w:leftChars="0"/>
        <w:jc w:val="both"/>
        <w:rPr>
          <w:szCs w:val="21"/>
          <w:lang w:eastAsia="zh-CN"/>
        </w:rPr>
      </w:pPr>
      <w:r>
        <w:rPr>
          <w:rFonts w:hint="eastAsia"/>
          <w:szCs w:val="21"/>
          <w:lang w:eastAsia="zh-CN"/>
        </w:rPr>
        <w:t xml:space="preserve">（1）中标人负责将货物送到现场过程中的全部运输，包括装卸车、货物现场的搬运，费用由中标人负责。货物的包装必须与运输方式相适应，包装方式的确定及包装费用均由中标供应商负责；由于不适当的包装而造成货物在运输过程中有任何损坏、丢失由中标供应商负责。 </w:t>
      </w:r>
    </w:p>
    <w:p w14:paraId="42B35418">
      <w:pPr>
        <w:pStyle w:val="5"/>
        <w:spacing w:after="0"/>
        <w:ind w:left="0" w:leftChars="0"/>
        <w:jc w:val="both"/>
        <w:rPr>
          <w:szCs w:val="21"/>
          <w:lang w:eastAsia="zh-CN"/>
        </w:rPr>
      </w:pPr>
      <w:r>
        <w:rPr>
          <w:rFonts w:hint="eastAsia"/>
          <w:szCs w:val="21"/>
          <w:lang w:eastAsia="zh-CN"/>
        </w:rPr>
        <w:t xml:space="preserve">（2）货物的包装必须是制造商原厂包装，其包装均应有良好的防湿、防锈、防潮、防雨、防腐及防碰撞的措施。应足以承受整个过程中的运输、转运、装卸、储存等，中标供应商充分考虑到运输途中的各种情况（如暴露于恶劣气候等）和珠海地区的气候特点，以及露天存放的需要。 </w:t>
      </w:r>
    </w:p>
    <w:p w14:paraId="74AE05EA">
      <w:pPr>
        <w:pStyle w:val="5"/>
        <w:spacing w:after="0"/>
        <w:ind w:left="0" w:leftChars="0"/>
        <w:jc w:val="both"/>
        <w:rPr>
          <w:szCs w:val="21"/>
          <w:lang w:eastAsia="zh-CN"/>
        </w:rPr>
      </w:pPr>
      <w:r>
        <w:rPr>
          <w:rFonts w:hint="eastAsia"/>
          <w:szCs w:val="21"/>
          <w:lang w:eastAsia="zh-CN"/>
        </w:rPr>
        <w:t>（3）本项目实施地点没有电梯，最高楼层为6楼，投标人应充分考虑搬运成本。</w:t>
      </w:r>
    </w:p>
    <w:p w14:paraId="5325E31C">
      <w:pPr>
        <w:pStyle w:val="5"/>
        <w:spacing w:after="0"/>
        <w:ind w:left="0" w:leftChars="0"/>
        <w:jc w:val="both"/>
        <w:rPr>
          <w:szCs w:val="21"/>
          <w:lang w:eastAsia="zh-CN"/>
        </w:rPr>
      </w:pPr>
      <w:r>
        <w:rPr>
          <w:rFonts w:hint="eastAsia"/>
          <w:szCs w:val="21"/>
          <w:lang w:eastAsia="zh-CN"/>
        </w:rPr>
        <w:t>（4）专用工具及备品备件应分别包装，并在包装箱外加以注明其用处。</w:t>
      </w:r>
    </w:p>
    <w:p w14:paraId="6F8681CF">
      <w:pPr>
        <w:pStyle w:val="5"/>
        <w:spacing w:after="0"/>
        <w:ind w:left="0" w:leftChars="0"/>
        <w:jc w:val="both"/>
        <w:rPr>
          <w:szCs w:val="21"/>
          <w:lang w:eastAsia="zh-CN"/>
        </w:rPr>
      </w:pPr>
      <w:r>
        <w:rPr>
          <w:rFonts w:hint="eastAsia"/>
          <w:szCs w:val="21"/>
          <w:lang w:eastAsia="zh-CN"/>
        </w:rPr>
        <w:t xml:space="preserve">（5）包装箱两个侧面用不褪色的油漆和明显易见的中文字样做出标记。 </w:t>
      </w:r>
    </w:p>
    <w:p w14:paraId="162EDDD5">
      <w:pPr>
        <w:pStyle w:val="5"/>
        <w:spacing w:after="0"/>
        <w:ind w:left="0" w:leftChars="0"/>
        <w:jc w:val="both"/>
        <w:rPr>
          <w:szCs w:val="21"/>
          <w:lang w:eastAsia="zh-CN"/>
        </w:rPr>
      </w:pPr>
      <w:r>
        <w:rPr>
          <w:rFonts w:hint="eastAsia"/>
          <w:szCs w:val="21"/>
          <w:lang w:eastAsia="zh-CN"/>
        </w:rPr>
        <w:t xml:space="preserve">（6）标记内容包括：箱（件）号、装运标志（唛头）、毛重（kg）、尺码（长×宽×高，用mm表示）、净重（kg）、到货地址、收货人名称、货物名称、合同编号以及“勿近潮湿”、“小心轻放”、“此边向上”等。 </w:t>
      </w:r>
    </w:p>
    <w:p w14:paraId="1F010322">
      <w:pPr>
        <w:pStyle w:val="5"/>
        <w:spacing w:after="0"/>
        <w:ind w:left="0" w:leftChars="0"/>
        <w:jc w:val="both"/>
        <w:rPr>
          <w:szCs w:val="21"/>
          <w:lang w:eastAsia="zh-CN"/>
        </w:rPr>
      </w:pPr>
      <w:r>
        <w:rPr>
          <w:rFonts w:hint="eastAsia"/>
          <w:szCs w:val="21"/>
          <w:lang w:eastAsia="zh-CN"/>
        </w:rPr>
        <w:t>（7）包装费、运费、二次搬运已包含在投标总价内，凡由于包装不良造成的损失和由此产生的费用均由中标人承担。</w:t>
      </w:r>
    </w:p>
    <w:p w14:paraId="04E1DF29">
      <w:pPr>
        <w:pStyle w:val="5"/>
        <w:spacing w:after="0"/>
        <w:ind w:left="0" w:leftChars="0"/>
        <w:jc w:val="both"/>
        <w:rPr>
          <w:szCs w:val="21"/>
          <w:lang w:eastAsia="zh-CN"/>
        </w:rPr>
      </w:pPr>
      <w:r>
        <w:rPr>
          <w:rFonts w:hint="eastAsia"/>
          <w:szCs w:val="21"/>
          <w:lang w:eastAsia="zh-CN"/>
        </w:rPr>
        <w:t xml:space="preserve">（8）货物到达现场后的保管由中标供应商负责，直至项目安装、验收完毕交付采购人。 </w:t>
      </w:r>
    </w:p>
    <w:p w14:paraId="683AD706">
      <w:pPr>
        <w:pStyle w:val="5"/>
        <w:spacing w:after="0"/>
        <w:ind w:left="0" w:leftChars="0"/>
        <w:jc w:val="both"/>
        <w:rPr>
          <w:szCs w:val="21"/>
          <w:lang w:eastAsia="zh-CN"/>
        </w:rPr>
      </w:pPr>
      <w:r>
        <w:rPr>
          <w:rFonts w:hint="eastAsia"/>
          <w:szCs w:val="21"/>
          <w:lang w:eastAsia="zh-CN"/>
        </w:rPr>
        <w:t xml:space="preserve">（9）货物在安装调试验收合格前的保险由中标供应商负责，中标供应商负责其派出的现场服务人员人身意外保险。 </w:t>
      </w:r>
    </w:p>
    <w:p w14:paraId="3457E4AF">
      <w:pPr>
        <w:pStyle w:val="5"/>
        <w:spacing w:after="0"/>
        <w:ind w:left="0" w:leftChars="0"/>
        <w:jc w:val="both"/>
        <w:rPr>
          <w:szCs w:val="21"/>
          <w:lang w:eastAsia="zh-CN"/>
        </w:rPr>
      </w:pPr>
      <w:r>
        <w:rPr>
          <w:rFonts w:hint="eastAsia"/>
          <w:szCs w:val="21"/>
          <w:lang w:eastAsia="zh-CN"/>
        </w:rPr>
        <w:t>（10）货物的包装必须按《商品包装政府采购需求标准（试行）》、《快递包装政府采购需求标准（试行）》要求执行。</w:t>
      </w:r>
    </w:p>
    <w:p w14:paraId="2AECEFCF">
      <w:pPr>
        <w:pStyle w:val="5"/>
        <w:numPr>
          <w:ilvl w:val="0"/>
          <w:numId w:val="1"/>
        </w:numPr>
        <w:spacing w:after="0"/>
        <w:ind w:left="0" w:leftChars="0" w:firstLine="420"/>
        <w:jc w:val="both"/>
        <w:rPr>
          <w:szCs w:val="21"/>
          <w:lang w:eastAsia="zh-CN"/>
        </w:rPr>
      </w:pPr>
      <w:r>
        <w:rPr>
          <w:rFonts w:hint="eastAsia"/>
          <w:szCs w:val="21"/>
          <w:lang w:eastAsia="zh-CN"/>
        </w:rPr>
        <w:t>质量保证期</w:t>
      </w:r>
    </w:p>
    <w:p w14:paraId="5EB890B2">
      <w:pPr>
        <w:pStyle w:val="5"/>
        <w:spacing w:after="0"/>
        <w:ind w:left="0" w:leftChars="0"/>
        <w:jc w:val="both"/>
        <w:rPr>
          <w:szCs w:val="21"/>
          <w:lang w:eastAsia="zh-CN"/>
        </w:rPr>
      </w:pPr>
      <w:r>
        <w:rPr>
          <w:rFonts w:hint="eastAsia"/>
          <w:szCs w:val="21"/>
          <w:lang w:eastAsia="zh-CN"/>
        </w:rPr>
        <w:t>（1）所有产品必须提供原厂家不少于8年质保期，质保期自供需双方代表在验收合格单上签字之日起计算。</w:t>
      </w:r>
    </w:p>
    <w:p w14:paraId="6993D4DA">
      <w:pPr>
        <w:pStyle w:val="5"/>
        <w:spacing w:after="0"/>
        <w:ind w:left="0" w:leftChars="0"/>
        <w:jc w:val="both"/>
        <w:rPr>
          <w:szCs w:val="21"/>
          <w:lang w:eastAsia="zh-CN"/>
        </w:rPr>
      </w:pPr>
      <w:r>
        <w:rPr>
          <w:rFonts w:hint="eastAsia"/>
          <w:szCs w:val="21"/>
          <w:lang w:eastAsia="zh-CN"/>
        </w:rPr>
        <w:t>（2）质量保证期内，一切维修、更换、保养费用均由中标人提供[不可抗力（如火灾、雷击等）造成的故障除外]；如果货物发生故障，中标人负责调查故障原因并修复直至采购人能正常使用。中标人应对货物易损零部件配备充足的备品备件，保障货物出现破损故障时能够在1个工作日内维修、维护、更换。</w:t>
      </w:r>
    </w:p>
    <w:p w14:paraId="6759A761">
      <w:pPr>
        <w:pStyle w:val="5"/>
        <w:spacing w:after="0"/>
        <w:ind w:left="0" w:leftChars="0"/>
        <w:jc w:val="both"/>
        <w:rPr>
          <w:szCs w:val="21"/>
          <w:lang w:eastAsia="zh-CN"/>
        </w:rPr>
      </w:pPr>
      <w:r>
        <w:rPr>
          <w:rFonts w:hint="eastAsia"/>
          <w:szCs w:val="21"/>
          <w:lang w:eastAsia="zh-CN"/>
        </w:rPr>
        <w:t>（3）在任何时候，中标人均不能免除因货物本身的缺陷所应负的责任。如因中标供应商货物质量原因，导致采购人或他人损失，中标供应商应予以赔偿。质保期内，如货物因质量原因出现故障而造成短期停用时，则质保期相应顺延。如停用时间累计超过60天则质保期重新计算。</w:t>
      </w:r>
    </w:p>
    <w:p w14:paraId="75771B90">
      <w:pPr>
        <w:pStyle w:val="5"/>
        <w:spacing w:after="0"/>
        <w:ind w:left="0" w:leftChars="0"/>
        <w:jc w:val="both"/>
        <w:rPr>
          <w:szCs w:val="21"/>
          <w:lang w:eastAsia="zh-CN"/>
        </w:rPr>
      </w:pPr>
      <w:r>
        <w:rPr>
          <w:rFonts w:hint="eastAsia"/>
          <w:szCs w:val="21"/>
          <w:lang w:eastAsia="zh-CN"/>
        </w:rPr>
        <w:t>（4）质量保证期外出现的质量问题，由中标人负责解决的，采购人支付相应的费用；质保期期满后，中标人继续为采购人提供终身维修、维护服务，并承诺服务、备品备件价格不得高于本项目成交价格。</w:t>
      </w:r>
    </w:p>
    <w:p w14:paraId="75694FA8">
      <w:pPr>
        <w:pStyle w:val="5"/>
        <w:numPr>
          <w:ilvl w:val="0"/>
          <w:numId w:val="1"/>
        </w:numPr>
        <w:spacing w:after="0"/>
        <w:ind w:left="0" w:leftChars="0" w:firstLine="420"/>
        <w:jc w:val="both"/>
        <w:rPr>
          <w:szCs w:val="21"/>
          <w:lang w:eastAsia="zh-CN"/>
        </w:rPr>
      </w:pPr>
      <w:r>
        <w:rPr>
          <w:rFonts w:hint="eastAsia"/>
          <w:szCs w:val="21"/>
          <w:lang w:eastAsia="zh-CN"/>
        </w:rPr>
        <w:t>售后服务</w:t>
      </w:r>
    </w:p>
    <w:p w14:paraId="6421D30B">
      <w:pPr>
        <w:pStyle w:val="5"/>
        <w:spacing w:after="0"/>
        <w:ind w:left="0" w:leftChars="0"/>
        <w:jc w:val="both"/>
        <w:rPr>
          <w:szCs w:val="21"/>
          <w:lang w:eastAsia="zh-CN"/>
        </w:rPr>
      </w:pPr>
      <w:r>
        <w:rPr>
          <w:rFonts w:hint="eastAsia"/>
          <w:szCs w:val="21"/>
          <w:lang w:eastAsia="zh-CN"/>
        </w:rPr>
        <w:t>（1）在售后服务期内，中标人应提供上门服务和远程技术支持服务。中标人须设有固定的专业技术人员支撑本项目售后服务工作，提供24小时售后服务热线。</w:t>
      </w:r>
    </w:p>
    <w:p w14:paraId="00AA464F">
      <w:pPr>
        <w:pStyle w:val="5"/>
        <w:spacing w:after="0"/>
        <w:ind w:left="0" w:leftChars="0"/>
        <w:jc w:val="both"/>
        <w:rPr>
          <w:szCs w:val="21"/>
          <w:lang w:eastAsia="zh-CN"/>
        </w:rPr>
      </w:pPr>
      <w:r>
        <w:rPr>
          <w:rFonts w:hint="eastAsia"/>
          <w:szCs w:val="21"/>
          <w:lang w:eastAsia="zh-CN"/>
        </w:rPr>
        <w:t>（2）上门服务包含应急维修服务和定期回访巡检。其中应急维修服务须在2小时内提供远程响应，远程技术支撑无法解决的，则须在24小时内到达现场，以实地解决问题或提供备用产品更换，直至采购人能正常使用。中标人未按上述规定解决故障的，采购人可采取必要的补救措施，但风险和费用全部由中标人承担。</w:t>
      </w:r>
    </w:p>
    <w:p w14:paraId="1F57FB19">
      <w:pPr>
        <w:pStyle w:val="5"/>
        <w:spacing w:after="0"/>
        <w:ind w:left="0" w:leftChars="0"/>
        <w:jc w:val="both"/>
        <w:rPr>
          <w:szCs w:val="21"/>
          <w:lang w:eastAsia="zh-CN"/>
        </w:rPr>
      </w:pPr>
      <w:r>
        <w:rPr>
          <w:rFonts w:hint="eastAsia"/>
          <w:szCs w:val="21"/>
          <w:lang w:eastAsia="zh-CN"/>
        </w:rPr>
        <w:t>（3）中标人在提供售后服务过程中造成货物损伤甚至人员伤亡，中标人应承担全部法律责任，并赔偿采购人损失。</w:t>
      </w:r>
    </w:p>
    <w:p w14:paraId="0D48C2FB">
      <w:pPr>
        <w:pStyle w:val="5"/>
        <w:numPr>
          <w:ilvl w:val="0"/>
          <w:numId w:val="1"/>
        </w:numPr>
        <w:spacing w:after="0"/>
        <w:ind w:left="0" w:leftChars="0" w:firstLine="420"/>
        <w:jc w:val="both"/>
        <w:rPr>
          <w:szCs w:val="21"/>
          <w:lang w:eastAsia="zh-CN"/>
        </w:rPr>
      </w:pPr>
      <w:r>
        <w:rPr>
          <w:rFonts w:hint="eastAsia"/>
          <w:szCs w:val="21"/>
          <w:lang w:eastAsia="zh-CN"/>
        </w:rPr>
        <w:t>商品包装环保要求</w:t>
      </w:r>
    </w:p>
    <w:p w14:paraId="3B6CCE72">
      <w:pPr>
        <w:pStyle w:val="5"/>
        <w:spacing w:after="0"/>
        <w:ind w:left="0" w:leftChars="0"/>
        <w:jc w:val="both"/>
        <w:rPr>
          <w:szCs w:val="21"/>
          <w:lang w:eastAsia="zh-CN"/>
        </w:rPr>
      </w:pPr>
      <w:r>
        <w:rPr>
          <w:rFonts w:hint="eastAsia"/>
          <w:szCs w:val="21"/>
          <w:lang w:eastAsia="zh-CN"/>
        </w:rPr>
        <w:t>（1）商品包装层数不得超过3层，空隙率不大于40%；</w:t>
      </w:r>
    </w:p>
    <w:p w14:paraId="5838B089">
      <w:pPr>
        <w:pStyle w:val="5"/>
        <w:spacing w:after="0"/>
        <w:ind w:left="0" w:leftChars="0"/>
        <w:jc w:val="both"/>
        <w:rPr>
          <w:szCs w:val="21"/>
          <w:lang w:eastAsia="zh-CN"/>
        </w:rPr>
      </w:pPr>
      <w:r>
        <w:rPr>
          <w:rFonts w:hint="eastAsia"/>
          <w:szCs w:val="21"/>
          <w:lang w:eastAsia="zh-CN"/>
        </w:rPr>
        <w:t>（2）商品包装尽可能使用单一材质的包装材料，如因功能需求必需使用不同材质，不同材质间应便于分离；</w:t>
      </w:r>
    </w:p>
    <w:p w14:paraId="11D95416">
      <w:pPr>
        <w:pStyle w:val="5"/>
        <w:spacing w:after="0"/>
        <w:ind w:left="0" w:leftChars="0"/>
        <w:jc w:val="both"/>
        <w:rPr>
          <w:szCs w:val="21"/>
          <w:lang w:eastAsia="zh-CN"/>
        </w:rPr>
      </w:pPr>
      <w:r>
        <w:rPr>
          <w:rFonts w:hint="eastAsia"/>
          <w:szCs w:val="21"/>
          <w:lang w:eastAsia="zh-CN"/>
        </w:rPr>
        <w:t>（3）商品包装中铅、汞、镉、六价铬的总含量应不大于100mg/kg；</w:t>
      </w:r>
    </w:p>
    <w:p w14:paraId="597B7B13">
      <w:pPr>
        <w:pStyle w:val="5"/>
        <w:spacing w:after="0"/>
        <w:ind w:left="0" w:leftChars="0"/>
        <w:jc w:val="both"/>
        <w:rPr>
          <w:szCs w:val="21"/>
          <w:lang w:eastAsia="zh-CN"/>
        </w:rPr>
      </w:pPr>
      <w:r>
        <w:rPr>
          <w:rFonts w:hint="eastAsia"/>
          <w:szCs w:val="21"/>
          <w:lang w:eastAsia="zh-CN"/>
        </w:rPr>
        <w:t>（4）商品包装印刷使用的油墨中挥发性有机化合物(VOCs)含量应不大于5%（以重量计）；</w:t>
      </w:r>
    </w:p>
    <w:p w14:paraId="712D72BF">
      <w:pPr>
        <w:pStyle w:val="5"/>
        <w:spacing w:after="0"/>
        <w:ind w:left="0" w:leftChars="0"/>
        <w:jc w:val="both"/>
        <w:rPr>
          <w:szCs w:val="21"/>
          <w:lang w:eastAsia="zh-CN"/>
        </w:rPr>
      </w:pPr>
      <w:r>
        <w:rPr>
          <w:rFonts w:hint="eastAsia"/>
          <w:szCs w:val="21"/>
          <w:lang w:eastAsia="zh-CN"/>
        </w:rPr>
        <w:t>（6）塑料材质商品包装上呈现的印刷颜色不得超过6色；</w:t>
      </w:r>
    </w:p>
    <w:p w14:paraId="77980A56">
      <w:pPr>
        <w:pStyle w:val="5"/>
        <w:spacing w:after="0"/>
        <w:ind w:left="0" w:leftChars="0"/>
        <w:jc w:val="both"/>
        <w:rPr>
          <w:szCs w:val="21"/>
          <w:lang w:eastAsia="zh-CN"/>
        </w:rPr>
      </w:pPr>
      <w:r>
        <w:rPr>
          <w:rFonts w:hint="eastAsia"/>
          <w:szCs w:val="21"/>
          <w:lang w:eastAsia="zh-CN"/>
        </w:rPr>
        <w:t>（7）纸质商品包装应使用 75%以上的可再生纤维原料生产；</w:t>
      </w:r>
    </w:p>
    <w:p w14:paraId="1ED17650">
      <w:pPr>
        <w:pStyle w:val="5"/>
        <w:spacing w:after="0"/>
        <w:ind w:left="0" w:leftChars="0"/>
        <w:jc w:val="both"/>
        <w:rPr>
          <w:szCs w:val="21"/>
          <w:lang w:eastAsia="zh-CN"/>
        </w:rPr>
      </w:pPr>
      <w:r>
        <w:rPr>
          <w:rFonts w:hint="eastAsia"/>
          <w:szCs w:val="21"/>
          <w:lang w:eastAsia="zh-CN"/>
        </w:rPr>
        <w:t>（8）木质商品包装的原料应来源于可持续性森林。</w:t>
      </w:r>
    </w:p>
    <w:p w14:paraId="64B49248">
      <w:pPr>
        <w:pStyle w:val="5"/>
        <w:numPr>
          <w:ilvl w:val="0"/>
          <w:numId w:val="1"/>
        </w:numPr>
        <w:spacing w:after="0"/>
        <w:ind w:left="0" w:leftChars="0" w:firstLine="420"/>
        <w:jc w:val="both"/>
        <w:rPr>
          <w:szCs w:val="21"/>
          <w:lang w:eastAsia="zh-CN"/>
        </w:rPr>
      </w:pPr>
      <w:r>
        <w:rPr>
          <w:rFonts w:hint="eastAsia"/>
          <w:szCs w:val="21"/>
          <w:lang w:eastAsia="zh-CN"/>
        </w:rPr>
        <w:t>商品包装检测方法</w:t>
      </w:r>
    </w:p>
    <w:p w14:paraId="7E5CCF56">
      <w:pPr>
        <w:pStyle w:val="5"/>
        <w:spacing w:after="0"/>
        <w:ind w:left="0" w:leftChars="0"/>
        <w:jc w:val="both"/>
        <w:rPr>
          <w:szCs w:val="21"/>
          <w:lang w:eastAsia="zh-CN"/>
        </w:rPr>
      </w:pPr>
      <w:r>
        <w:rPr>
          <w:rFonts w:hint="eastAsia"/>
          <w:szCs w:val="21"/>
          <w:lang w:eastAsia="zh-CN"/>
        </w:rPr>
        <w:t>（1）商品包装中重金属（铅、汞、镉、六价铬）总量的检测按照 GB/T 10004-2008《包装用塑料复合膜、袋干法复合、挤出复合》规定的方法进行。</w:t>
      </w:r>
    </w:p>
    <w:p w14:paraId="498B07C2">
      <w:pPr>
        <w:pStyle w:val="5"/>
        <w:spacing w:after="0"/>
        <w:ind w:left="0" w:leftChars="0"/>
        <w:jc w:val="both"/>
        <w:rPr>
          <w:szCs w:val="21"/>
          <w:lang w:eastAsia="zh-CN"/>
        </w:rPr>
      </w:pPr>
      <w:r>
        <w:rPr>
          <w:rFonts w:hint="eastAsia"/>
          <w:szCs w:val="21"/>
          <w:lang w:eastAsia="zh-CN"/>
        </w:rPr>
        <w:t>（2）商品包装印刷使用的油墨中挥发性有机化合物 (VOCs) 的检测按照GB/T 23986.2-2023 《色漆和清漆 挥发性有机化合物（VOC）和/或半挥发性有机化合物（SVOC）含量的测定 第2部分：气相色谱法》规定的方法进行。</w:t>
      </w:r>
    </w:p>
    <w:p w14:paraId="75B57E81">
      <w:pPr>
        <w:pStyle w:val="5"/>
        <w:numPr>
          <w:ilvl w:val="0"/>
          <w:numId w:val="1"/>
        </w:numPr>
        <w:spacing w:after="0"/>
        <w:ind w:left="0" w:leftChars="0" w:firstLine="420"/>
        <w:jc w:val="both"/>
        <w:rPr>
          <w:szCs w:val="21"/>
          <w:lang w:eastAsia="zh-CN"/>
        </w:rPr>
      </w:pPr>
      <w:r>
        <w:rPr>
          <w:szCs w:val="21"/>
          <w:lang w:eastAsia="zh-CN"/>
        </w:rPr>
        <w:t>违约责任</w:t>
      </w:r>
    </w:p>
    <w:p w14:paraId="4EC323AF">
      <w:pPr>
        <w:pStyle w:val="5"/>
        <w:spacing w:after="0"/>
        <w:ind w:left="0" w:leftChars="0"/>
        <w:jc w:val="both"/>
        <w:rPr>
          <w:szCs w:val="21"/>
          <w:lang w:eastAsia="zh-CN"/>
        </w:rPr>
      </w:pPr>
      <w:r>
        <w:rPr>
          <w:szCs w:val="21"/>
          <w:lang w:eastAsia="zh-CN"/>
        </w:rPr>
        <w:t>（1）中标人全部或部分逾期完成供货、安装工作的（逾期交货原因包括因中标人所交货物的品牌、数量、规格或质量不符合合同及招标文件要求须调换而造成时间延误），每日按逾期交货部分的总额3‰支付违约金，逾期交货超过30日以上，采购人有权解除合同，中标人应承担全部违约责任，并赔偿采购人因此所支付的费用和遭受的全部损失。</w:t>
      </w:r>
    </w:p>
    <w:p w14:paraId="2F3CBE20">
      <w:pPr>
        <w:pStyle w:val="5"/>
        <w:spacing w:after="0"/>
        <w:ind w:left="0" w:leftChars="0"/>
        <w:jc w:val="both"/>
        <w:rPr>
          <w:szCs w:val="21"/>
          <w:lang w:eastAsia="zh-CN"/>
        </w:rPr>
      </w:pPr>
      <w:r>
        <w:rPr>
          <w:szCs w:val="21"/>
          <w:lang w:eastAsia="zh-CN"/>
        </w:rPr>
        <w:t>（2）中标人所交货物质量不符合合同的约定、中标人投标文件承诺以及招标文件技术要求的，中标人需向采购人支付本合同总价20%的违约金。采购人有权单方面终止合同的执行，有权将全部货物作退货处理，中标人在接到采购人发出的退货通知之日起5天内应自行清退，由此造成的全部损失由中标人承担。任何时候，中标人均不能免除因货物本身的缺陷（包括安装和环保质量）所应负的责任。</w:t>
      </w:r>
    </w:p>
    <w:p w14:paraId="4856AB64">
      <w:pPr>
        <w:pStyle w:val="5"/>
        <w:spacing w:after="0"/>
        <w:ind w:left="0" w:leftChars="0"/>
        <w:jc w:val="both"/>
        <w:rPr>
          <w:szCs w:val="21"/>
          <w:lang w:eastAsia="zh-CN"/>
        </w:rPr>
      </w:pPr>
      <w:r>
        <w:rPr>
          <w:szCs w:val="21"/>
          <w:lang w:eastAsia="zh-CN"/>
        </w:rPr>
        <w:t>（3）中标人所交货物的品种、数量、规格不符合合同规定及招标文件要求的，由中标人负责调换或退货，并承担调货或退货而支付的实际费用。</w:t>
      </w:r>
    </w:p>
    <w:p w14:paraId="3FF9E608">
      <w:pPr>
        <w:pStyle w:val="5"/>
        <w:spacing w:after="0"/>
        <w:ind w:left="0" w:leftChars="0"/>
        <w:jc w:val="both"/>
        <w:rPr>
          <w:szCs w:val="21"/>
          <w:lang w:eastAsia="zh-CN"/>
        </w:rPr>
      </w:pPr>
      <w:r>
        <w:rPr>
          <w:szCs w:val="21"/>
          <w:lang w:eastAsia="zh-CN"/>
        </w:rPr>
        <w:t>（4）货物保修期内，如因产品质量问题造成重大事故，由中标人承担全部责任，采购人有权索取赔偿。</w:t>
      </w:r>
    </w:p>
    <w:p w14:paraId="70FA9E6A">
      <w:pPr>
        <w:pStyle w:val="5"/>
        <w:spacing w:after="0"/>
        <w:ind w:left="0" w:leftChars="0"/>
        <w:jc w:val="both"/>
        <w:rPr>
          <w:szCs w:val="21"/>
          <w:lang w:eastAsia="zh-CN"/>
        </w:rPr>
      </w:pPr>
      <w:r>
        <w:rPr>
          <w:szCs w:val="21"/>
          <w:lang w:eastAsia="zh-CN"/>
        </w:rPr>
        <w:t>（5）质保期内，中标人如未能按照约定提供质保服务的，应按合同总额的1%支付违约金，同时采购人有权对造成的损失进行索赔。</w:t>
      </w:r>
    </w:p>
    <w:p w14:paraId="599C3CB8">
      <w:pPr>
        <w:pStyle w:val="5"/>
        <w:spacing w:after="0"/>
        <w:ind w:left="0" w:leftChars="0"/>
        <w:jc w:val="both"/>
        <w:rPr>
          <w:szCs w:val="21"/>
          <w:lang w:eastAsia="zh-CN"/>
        </w:rPr>
      </w:pPr>
    </w:p>
    <w:p w14:paraId="59D2548E">
      <w:pPr>
        <w:pStyle w:val="9"/>
        <w:autoSpaceDE/>
        <w:autoSpaceDN/>
        <w:rPr>
          <w:sz w:val="21"/>
          <w:szCs w:val="21"/>
          <w:lang w:eastAsia="zh-CN"/>
        </w:rPr>
      </w:pPr>
      <w:bookmarkStart w:id="9" w:name="_Toc18431"/>
      <w:r>
        <w:rPr>
          <w:rFonts w:hint="eastAsia"/>
          <w:sz w:val="21"/>
          <w:szCs w:val="21"/>
          <w:lang w:eastAsia="zh-CN"/>
        </w:rPr>
        <w:t>三、采购清单</w:t>
      </w:r>
      <w:bookmarkEnd w:id="9"/>
    </w:p>
    <w:tbl>
      <w:tblPr>
        <w:tblStyle w:val="6"/>
        <w:tblW w:w="4792"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31"/>
        <w:gridCol w:w="2489"/>
        <w:gridCol w:w="3706"/>
        <w:gridCol w:w="1297"/>
        <w:gridCol w:w="1121"/>
      </w:tblGrid>
      <w:tr w14:paraId="03C74B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0" w:hRule="atLeast"/>
        </w:trPr>
        <w:tc>
          <w:tcPr>
            <w:tcW w:w="440" w:type="pct"/>
            <w:shd w:val="clear" w:color="auto" w:fill="auto"/>
            <w:vAlign w:val="center"/>
          </w:tcPr>
          <w:p w14:paraId="7502B322">
            <w:pPr>
              <w:jc w:val="center"/>
              <w:textAlignment w:val="center"/>
              <w:rPr>
                <w:b/>
                <w:bCs/>
                <w:szCs w:val="21"/>
              </w:rPr>
            </w:pPr>
            <w:r>
              <w:rPr>
                <w:rFonts w:hint="eastAsia"/>
                <w:b/>
                <w:bCs/>
                <w:szCs w:val="21"/>
                <w:lang w:eastAsia="zh-CN" w:bidi="ar"/>
              </w:rPr>
              <w:t>序号</w:t>
            </w:r>
          </w:p>
        </w:tc>
        <w:tc>
          <w:tcPr>
            <w:tcW w:w="1317" w:type="pct"/>
            <w:shd w:val="clear" w:color="auto" w:fill="auto"/>
            <w:vAlign w:val="center"/>
          </w:tcPr>
          <w:p w14:paraId="039F209B">
            <w:pPr>
              <w:jc w:val="center"/>
              <w:textAlignment w:val="center"/>
              <w:rPr>
                <w:b/>
                <w:bCs/>
                <w:szCs w:val="21"/>
              </w:rPr>
            </w:pPr>
            <w:r>
              <w:rPr>
                <w:rFonts w:hint="eastAsia"/>
                <w:b/>
                <w:bCs/>
                <w:szCs w:val="21"/>
                <w:lang w:eastAsia="zh-CN" w:bidi="ar"/>
              </w:rPr>
              <w:t xml:space="preserve">名称            </w:t>
            </w:r>
          </w:p>
        </w:tc>
        <w:tc>
          <w:tcPr>
            <w:tcW w:w="1961" w:type="pct"/>
            <w:shd w:val="clear" w:color="auto" w:fill="auto"/>
            <w:vAlign w:val="center"/>
          </w:tcPr>
          <w:p w14:paraId="0AB29A87">
            <w:pPr>
              <w:jc w:val="center"/>
              <w:textAlignment w:val="center"/>
              <w:rPr>
                <w:b/>
                <w:bCs/>
                <w:szCs w:val="21"/>
              </w:rPr>
            </w:pPr>
            <w:r>
              <w:rPr>
                <w:rFonts w:hint="eastAsia"/>
                <w:b/>
                <w:bCs/>
                <w:szCs w:val="21"/>
                <w:lang w:eastAsia="zh-CN" w:bidi="ar"/>
              </w:rPr>
              <w:t>参考图片</w:t>
            </w:r>
          </w:p>
        </w:tc>
        <w:tc>
          <w:tcPr>
            <w:tcW w:w="686" w:type="pct"/>
            <w:shd w:val="clear" w:color="auto" w:fill="auto"/>
            <w:vAlign w:val="center"/>
          </w:tcPr>
          <w:p w14:paraId="00DED3B6">
            <w:pPr>
              <w:jc w:val="center"/>
              <w:textAlignment w:val="center"/>
              <w:rPr>
                <w:b/>
                <w:bCs/>
                <w:szCs w:val="21"/>
              </w:rPr>
            </w:pPr>
            <w:r>
              <w:rPr>
                <w:rFonts w:hint="eastAsia"/>
                <w:b/>
                <w:bCs/>
                <w:szCs w:val="21"/>
                <w:lang w:eastAsia="zh-CN" w:bidi="ar"/>
              </w:rPr>
              <w:t xml:space="preserve">数量       </w:t>
            </w:r>
          </w:p>
        </w:tc>
        <w:tc>
          <w:tcPr>
            <w:tcW w:w="593" w:type="pct"/>
            <w:shd w:val="clear" w:color="auto" w:fill="auto"/>
            <w:vAlign w:val="center"/>
          </w:tcPr>
          <w:p w14:paraId="7F6C9619">
            <w:pPr>
              <w:jc w:val="center"/>
              <w:textAlignment w:val="center"/>
              <w:rPr>
                <w:b/>
                <w:bCs/>
                <w:szCs w:val="21"/>
              </w:rPr>
            </w:pPr>
            <w:r>
              <w:rPr>
                <w:rFonts w:hint="eastAsia"/>
                <w:b/>
                <w:bCs/>
                <w:szCs w:val="21"/>
                <w:lang w:eastAsia="zh-CN" w:bidi="ar"/>
              </w:rPr>
              <w:t xml:space="preserve">单位          </w:t>
            </w:r>
          </w:p>
        </w:tc>
      </w:tr>
      <w:tr w14:paraId="7859F0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37" w:hRule="atLeast"/>
        </w:trPr>
        <w:tc>
          <w:tcPr>
            <w:tcW w:w="440" w:type="pct"/>
            <w:shd w:val="clear" w:color="auto" w:fill="auto"/>
            <w:vAlign w:val="center"/>
          </w:tcPr>
          <w:p w14:paraId="0F94FF11">
            <w:pPr>
              <w:jc w:val="center"/>
              <w:textAlignment w:val="center"/>
              <w:rPr>
                <w:b/>
                <w:bCs/>
                <w:szCs w:val="21"/>
              </w:rPr>
            </w:pPr>
            <w:r>
              <w:rPr>
                <w:rFonts w:hint="eastAsia"/>
                <w:b/>
                <w:bCs/>
                <w:szCs w:val="21"/>
                <w:lang w:eastAsia="zh-CN" w:bidi="ar"/>
              </w:rPr>
              <w:t>1</w:t>
            </w:r>
          </w:p>
        </w:tc>
        <w:tc>
          <w:tcPr>
            <w:tcW w:w="1317" w:type="pct"/>
            <w:shd w:val="clear" w:color="auto" w:fill="auto"/>
            <w:vAlign w:val="center"/>
          </w:tcPr>
          <w:p w14:paraId="6209EE43">
            <w:pPr>
              <w:jc w:val="center"/>
              <w:textAlignment w:val="center"/>
              <w:rPr>
                <w:b/>
                <w:bCs/>
                <w:szCs w:val="21"/>
              </w:rPr>
            </w:pPr>
            <w:r>
              <w:rPr>
                <w:rFonts w:hint="eastAsia"/>
                <w:b/>
                <w:bCs/>
                <w:szCs w:val="21"/>
                <w:lang w:eastAsia="zh-CN" w:bidi="ar"/>
              </w:rPr>
              <w:t>单人位宿舍床架</w:t>
            </w:r>
          </w:p>
        </w:tc>
        <w:tc>
          <w:tcPr>
            <w:tcW w:w="1961" w:type="pct"/>
            <w:shd w:val="clear" w:color="auto" w:fill="auto"/>
            <w:vAlign w:val="center"/>
          </w:tcPr>
          <w:p w14:paraId="32067E4C">
            <w:pPr>
              <w:jc w:val="center"/>
              <w:textAlignment w:val="center"/>
              <w:rPr>
                <w:szCs w:val="21"/>
              </w:rPr>
            </w:pPr>
            <w:r>
              <w:rPr>
                <w:rFonts w:hint="eastAsia"/>
                <w:szCs w:val="21"/>
                <w:bdr w:val="single" w:color="000000" w:sz="4" w:space="0"/>
                <w:lang w:eastAsia="zh-CN" w:bidi="ar"/>
              </w:rPr>
              <w:drawing>
                <wp:inline distT="0" distB="0" distL="114300" distR="114300">
                  <wp:extent cx="1297940" cy="1896110"/>
                  <wp:effectExtent l="0" t="0" r="16510" b="8890"/>
                  <wp:docPr id="5" name="图片_3"/>
                  <wp:cNvGraphicFramePr/>
                  <a:graphic xmlns:a="http://schemas.openxmlformats.org/drawingml/2006/main">
                    <a:graphicData uri="http://schemas.openxmlformats.org/drawingml/2006/picture">
                      <pic:pic xmlns:pic="http://schemas.openxmlformats.org/drawingml/2006/picture">
                        <pic:nvPicPr>
                          <pic:cNvPr id="5" name="图片_3"/>
                          <pic:cNvPicPr/>
                        </pic:nvPicPr>
                        <pic:blipFill>
                          <a:blip r:embed="rId6"/>
                          <a:stretch>
                            <a:fillRect/>
                          </a:stretch>
                        </pic:blipFill>
                        <pic:spPr>
                          <a:xfrm>
                            <a:off x="0" y="0"/>
                            <a:ext cx="1297940" cy="1896110"/>
                          </a:xfrm>
                          <a:prstGeom prst="rect">
                            <a:avLst/>
                          </a:prstGeom>
                          <a:noFill/>
                          <a:ln>
                            <a:noFill/>
                          </a:ln>
                        </pic:spPr>
                      </pic:pic>
                    </a:graphicData>
                  </a:graphic>
                </wp:inline>
              </w:drawing>
            </w:r>
          </w:p>
        </w:tc>
        <w:tc>
          <w:tcPr>
            <w:tcW w:w="686" w:type="pct"/>
            <w:shd w:val="clear" w:color="auto" w:fill="auto"/>
            <w:vAlign w:val="center"/>
          </w:tcPr>
          <w:p w14:paraId="3E27EA0C">
            <w:pPr>
              <w:jc w:val="center"/>
              <w:textAlignment w:val="center"/>
              <w:rPr>
                <w:szCs w:val="21"/>
              </w:rPr>
            </w:pPr>
            <w:r>
              <w:rPr>
                <w:rFonts w:hint="eastAsia"/>
                <w:szCs w:val="21"/>
                <w:lang w:eastAsia="zh-CN" w:bidi="ar"/>
              </w:rPr>
              <w:t>136</w:t>
            </w:r>
          </w:p>
        </w:tc>
        <w:tc>
          <w:tcPr>
            <w:tcW w:w="593" w:type="pct"/>
            <w:shd w:val="clear" w:color="auto" w:fill="auto"/>
            <w:vAlign w:val="center"/>
          </w:tcPr>
          <w:p w14:paraId="1C4AB04B">
            <w:pPr>
              <w:jc w:val="center"/>
              <w:textAlignment w:val="center"/>
              <w:rPr>
                <w:szCs w:val="21"/>
              </w:rPr>
            </w:pPr>
            <w:r>
              <w:rPr>
                <w:rFonts w:hint="eastAsia"/>
                <w:szCs w:val="21"/>
                <w:lang w:eastAsia="zh-CN" w:bidi="ar"/>
              </w:rPr>
              <w:t>张</w:t>
            </w:r>
          </w:p>
        </w:tc>
      </w:tr>
      <w:tr w14:paraId="2BB861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86" w:hRule="atLeast"/>
        </w:trPr>
        <w:tc>
          <w:tcPr>
            <w:tcW w:w="440" w:type="pct"/>
            <w:shd w:val="clear" w:color="auto" w:fill="auto"/>
            <w:vAlign w:val="center"/>
          </w:tcPr>
          <w:p w14:paraId="2D61F01C">
            <w:pPr>
              <w:jc w:val="center"/>
              <w:textAlignment w:val="center"/>
              <w:rPr>
                <w:b/>
                <w:bCs/>
                <w:szCs w:val="21"/>
              </w:rPr>
            </w:pPr>
            <w:r>
              <w:rPr>
                <w:rFonts w:hint="eastAsia"/>
                <w:b/>
                <w:bCs/>
                <w:szCs w:val="21"/>
                <w:lang w:eastAsia="zh-CN" w:bidi="ar"/>
              </w:rPr>
              <w:t>2</w:t>
            </w:r>
          </w:p>
        </w:tc>
        <w:tc>
          <w:tcPr>
            <w:tcW w:w="1317" w:type="pct"/>
            <w:shd w:val="clear" w:color="auto" w:fill="auto"/>
            <w:vAlign w:val="center"/>
          </w:tcPr>
          <w:p w14:paraId="21453292">
            <w:pPr>
              <w:jc w:val="center"/>
              <w:textAlignment w:val="center"/>
              <w:rPr>
                <w:b/>
                <w:bCs/>
                <w:szCs w:val="21"/>
              </w:rPr>
            </w:pPr>
            <w:r>
              <w:rPr>
                <w:rFonts w:hint="eastAsia"/>
                <w:b/>
                <w:bCs/>
                <w:szCs w:val="21"/>
                <w:lang w:eastAsia="zh-CN" w:bidi="ar"/>
              </w:rPr>
              <w:t>两人位连体宿舍床架</w:t>
            </w:r>
          </w:p>
        </w:tc>
        <w:tc>
          <w:tcPr>
            <w:tcW w:w="1961" w:type="pct"/>
            <w:shd w:val="clear" w:color="auto" w:fill="auto"/>
            <w:vAlign w:val="center"/>
          </w:tcPr>
          <w:p w14:paraId="76B1E10E">
            <w:pPr>
              <w:jc w:val="center"/>
              <w:textAlignment w:val="center"/>
              <w:rPr>
                <w:szCs w:val="21"/>
              </w:rPr>
            </w:pPr>
            <w:r>
              <w:rPr>
                <w:rFonts w:hint="eastAsia"/>
                <w:szCs w:val="21"/>
                <w:bdr w:val="single" w:color="000000" w:sz="4" w:space="0"/>
                <w:lang w:eastAsia="zh-CN" w:bidi="ar"/>
              </w:rPr>
              <w:drawing>
                <wp:inline distT="0" distB="0" distL="114300" distR="114300">
                  <wp:extent cx="1985645" cy="1888490"/>
                  <wp:effectExtent l="0" t="0" r="14605" b="16510"/>
                  <wp:docPr id="3" name="圖片_5"/>
                  <wp:cNvGraphicFramePr/>
                  <a:graphic xmlns:a="http://schemas.openxmlformats.org/drawingml/2006/main">
                    <a:graphicData uri="http://schemas.openxmlformats.org/drawingml/2006/picture">
                      <pic:pic xmlns:pic="http://schemas.openxmlformats.org/drawingml/2006/picture">
                        <pic:nvPicPr>
                          <pic:cNvPr id="3" name="圖片_5"/>
                          <pic:cNvPicPr/>
                        </pic:nvPicPr>
                        <pic:blipFill>
                          <a:blip r:embed="rId7"/>
                          <a:stretch>
                            <a:fillRect/>
                          </a:stretch>
                        </pic:blipFill>
                        <pic:spPr>
                          <a:xfrm>
                            <a:off x="0" y="0"/>
                            <a:ext cx="1985645" cy="1888490"/>
                          </a:xfrm>
                          <a:prstGeom prst="rect">
                            <a:avLst/>
                          </a:prstGeom>
                          <a:noFill/>
                          <a:ln>
                            <a:noFill/>
                          </a:ln>
                        </pic:spPr>
                      </pic:pic>
                    </a:graphicData>
                  </a:graphic>
                </wp:inline>
              </w:drawing>
            </w:r>
          </w:p>
        </w:tc>
        <w:tc>
          <w:tcPr>
            <w:tcW w:w="686" w:type="pct"/>
            <w:shd w:val="clear" w:color="auto" w:fill="auto"/>
            <w:vAlign w:val="center"/>
          </w:tcPr>
          <w:p w14:paraId="2113C402">
            <w:pPr>
              <w:jc w:val="center"/>
              <w:textAlignment w:val="center"/>
              <w:rPr>
                <w:szCs w:val="21"/>
              </w:rPr>
            </w:pPr>
            <w:r>
              <w:rPr>
                <w:rFonts w:hint="eastAsia"/>
                <w:szCs w:val="21"/>
                <w:lang w:eastAsia="zh-CN" w:bidi="ar"/>
              </w:rPr>
              <w:t>70</w:t>
            </w:r>
          </w:p>
        </w:tc>
        <w:tc>
          <w:tcPr>
            <w:tcW w:w="593" w:type="pct"/>
            <w:shd w:val="clear" w:color="auto" w:fill="auto"/>
            <w:vAlign w:val="center"/>
          </w:tcPr>
          <w:p w14:paraId="0E534630">
            <w:pPr>
              <w:jc w:val="center"/>
              <w:textAlignment w:val="center"/>
              <w:rPr>
                <w:szCs w:val="21"/>
              </w:rPr>
            </w:pPr>
            <w:r>
              <w:rPr>
                <w:rFonts w:hint="eastAsia"/>
                <w:szCs w:val="21"/>
                <w:lang w:eastAsia="zh-CN" w:bidi="ar"/>
              </w:rPr>
              <w:t>套</w:t>
            </w:r>
          </w:p>
        </w:tc>
      </w:tr>
      <w:tr w14:paraId="00919F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51" w:hRule="atLeast"/>
        </w:trPr>
        <w:tc>
          <w:tcPr>
            <w:tcW w:w="440" w:type="pct"/>
            <w:shd w:val="clear" w:color="auto" w:fill="auto"/>
            <w:vAlign w:val="center"/>
          </w:tcPr>
          <w:p w14:paraId="5B823376">
            <w:pPr>
              <w:jc w:val="center"/>
              <w:textAlignment w:val="center"/>
              <w:rPr>
                <w:b/>
                <w:bCs/>
                <w:szCs w:val="21"/>
              </w:rPr>
            </w:pPr>
            <w:r>
              <w:rPr>
                <w:rFonts w:hint="eastAsia"/>
                <w:b/>
                <w:bCs/>
                <w:szCs w:val="21"/>
                <w:lang w:eastAsia="zh-CN" w:bidi="ar"/>
              </w:rPr>
              <w:t>3</w:t>
            </w:r>
          </w:p>
        </w:tc>
        <w:tc>
          <w:tcPr>
            <w:tcW w:w="1317" w:type="pct"/>
            <w:shd w:val="clear" w:color="auto" w:fill="FFFFFF"/>
            <w:vAlign w:val="center"/>
          </w:tcPr>
          <w:p w14:paraId="2CFD1148">
            <w:pPr>
              <w:jc w:val="center"/>
              <w:textAlignment w:val="center"/>
              <w:rPr>
                <w:szCs w:val="21"/>
              </w:rPr>
            </w:pPr>
            <w:r>
              <w:rPr>
                <w:rFonts w:hint="eastAsia"/>
                <w:b/>
                <w:bCs/>
                <w:szCs w:val="21"/>
                <w:lang w:eastAsia="zh-CN" w:bidi="ar"/>
              </w:rPr>
              <w:t>床下组合柜</w:t>
            </w:r>
          </w:p>
        </w:tc>
        <w:tc>
          <w:tcPr>
            <w:tcW w:w="1961" w:type="pct"/>
            <w:shd w:val="clear" w:color="auto" w:fill="auto"/>
            <w:vAlign w:val="center"/>
          </w:tcPr>
          <w:p w14:paraId="038CC1B7">
            <w:pPr>
              <w:jc w:val="center"/>
              <w:textAlignment w:val="center"/>
              <w:rPr>
                <w:szCs w:val="21"/>
              </w:rPr>
            </w:pPr>
            <w:r>
              <w:rPr>
                <w:rFonts w:hint="eastAsia"/>
                <w:szCs w:val="21"/>
                <w:bdr w:val="single" w:color="000000" w:sz="4" w:space="0"/>
                <w:lang w:eastAsia="zh-CN" w:bidi="ar"/>
              </w:rPr>
              <w:drawing>
                <wp:inline distT="0" distB="0" distL="114300" distR="114300">
                  <wp:extent cx="2063115" cy="1784350"/>
                  <wp:effectExtent l="0" t="0" r="13335" b="6350"/>
                  <wp:docPr id="2" name="图片_2"/>
                  <wp:cNvGraphicFramePr/>
                  <a:graphic xmlns:a="http://schemas.openxmlformats.org/drawingml/2006/main">
                    <a:graphicData uri="http://schemas.openxmlformats.org/drawingml/2006/picture">
                      <pic:pic xmlns:pic="http://schemas.openxmlformats.org/drawingml/2006/picture">
                        <pic:nvPicPr>
                          <pic:cNvPr id="2" name="图片_2"/>
                          <pic:cNvPicPr/>
                        </pic:nvPicPr>
                        <pic:blipFill>
                          <a:blip r:embed="rId8"/>
                          <a:stretch>
                            <a:fillRect/>
                          </a:stretch>
                        </pic:blipFill>
                        <pic:spPr>
                          <a:xfrm>
                            <a:off x="0" y="0"/>
                            <a:ext cx="2063115" cy="1784350"/>
                          </a:xfrm>
                          <a:prstGeom prst="rect">
                            <a:avLst/>
                          </a:prstGeom>
                          <a:noFill/>
                          <a:ln>
                            <a:noFill/>
                          </a:ln>
                        </pic:spPr>
                      </pic:pic>
                    </a:graphicData>
                  </a:graphic>
                </wp:inline>
              </w:drawing>
            </w:r>
          </w:p>
        </w:tc>
        <w:tc>
          <w:tcPr>
            <w:tcW w:w="686" w:type="pct"/>
            <w:shd w:val="clear" w:color="auto" w:fill="auto"/>
            <w:vAlign w:val="center"/>
          </w:tcPr>
          <w:p w14:paraId="49F032B1">
            <w:pPr>
              <w:jc w:val="center"/>
              <w:textAlignment w:val="center"/>
              <w:rPr>
                <w:szCs w:val="21"/>
              </w:rPr>
            </w:pPr>
            <w:r>
              <w:rPr>
                <w:rFonts w:hint="eastAsia"/>
                <w:szCs w:val="21"/>
                <w:lang w:eastAsia="zh-CN" w:bidi="ar"/>
              </w:rPr>
              <w:t>276</w:t>
            </w:r>
          </w:p>
        </w:tc>
        <w:tc>
          <w:tcPr>
            <w:tcW w:w="593" w:type="pct"/>
            <w:shd w:val="clear" w:color="auto" w:fill="auto"/>
            <w:vAlign w:val="center"/>
          </w:tcPr>
          <w:p w14:paraId="1ED58665">
            <w:pPr>
              <w:jc w:val="center"/>
              <w:textAlignment w:val="center"/>
              <w:rPr>
                <w:szCs w:val="21"/>
              </w:rPr>
            </w:pPr>
            <w:r>
              <w:rPr>
                <w:rFonts w:hint="eastAsia"/>
                <w:szCs w:val="21"/>
                <w:lang w:eastAsia="zh-CN" w:bidi="ar"/>
              </w:rPr>
              <w:t>组</w:t>
            </w:r>
          </w:p>
        </w:tc>
      </w:tr>
      <w:tr w14:paraId="6FEE17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47" w:hRule="atLeast"/>
        </w:trPr>
        <w:tc>
          <w:tcPr>
            <w:tcW w:w="440" w:type="pct"/>
            <w:shd w:val="clear" w:color="auto" w:fill="auto"/>
            <w:vAlign w:val="center"/>
          </w:tcPr>
          <w:p w14:paraId="6D95E89B">
            <w:pPr>
              <w:jc w:val="center"/>
              <w:textAlignment w:val="center"/>
              <w:rPr>
                <w:b/>
                <w:bCs/>
                <w:szCs w:val="21"/>
              </w:rPr>
            </w:pPr>
            <w:r>
              <w:rPr>
                <w:rFonts w:hint="eastAsia"/>
                <w:b/>
                <w:bCs/>
                <w:szCs w:val="21"/>
                <w:lang w:eastAsia="zh-CN" w:bidi="ar"/>
              </w:rPr>
              <w:t>4</w:t>
            </w:r>
          </w:p>
        </w:tc>
        <w:tc>
          <w:tcPr>
            <w:tcW w:w="1317" w:type="pct"/>
            <w:shd w:val="clear" w:color="auto" w:fill="auto"/>
            <w:vAlign w:val="center"/>
          </w:tcPr>
          <w:p w14:paraId="2B09642B">
            <w:pPr>
              <w:jc w:val="center"/>
              <w:textAlignment w:val="center"/>
              <w:rPr>
                <w:b/>
                <w:bCs/>
                <w:szCs w:val="21"/>
              </w:rPr>
            </w:pPr>
            <w:r>
              <w:rPr>
                <w:rFonts w:hint="eastAsia"/>
                <w:b/>
                <w:bCs/>
                <w:szCs w:val="21"/>
                <w:lang w:eastAsia="zh-CN" w:bidi="ar"/>
              </w:rPr>
              <w:t>学生椅</w:t>
            </w:r>
          </w:p>
        </w:tc>
        <w:tc>
          <w:tcPr>
            <w:tcW w:w="1961" w:type="pct"/>
            <w:shd w:val="clear" w:color="auto" w:fill="auto"/>
            <w:vAlign w:val="center"/>
          </w:tcPr>
          <w:p w14:paraId="22548D2E">
            <w:pPr>
              <w:jc w:val="center"/>
              <w:textAlignment w:val="center"/>
              <w:rPr>
                <w:szCs w:val="21"/>
              </w:rPr>
            </w:pPr>
            <w:r>
              <w:rPr>
                <w:rFonts w:hint="eastAsia"/>
                <w:szCs w:val="21"/>
                <w:bdr w:val="single" w:color="000000" w:sz="4" w:space="0"/>
                <w:lang w:eastAsia="zh-CN" w:bidi="ar"/>
              </w:rPr>
              <w:drawing>
                <wp:inline distT="0" distB="0" distL="114300" distR="114300">
                  <wp:extent cx="1484630" cy="1657350"/>
                  <wp:effectExtent l="0" t="0" r="1270" b="0"/>
                  <wp:docPr id="6" name="图片_1"/>
                  <wp:cNvGraphicFramePr/>
                  <a:graphic xmlns:a="http://schemas.openxmlformats.org/drawingml/2006/main">
                    <a:graphicData uri="http://schemas.openxmlformats.org/drawingml/2006/picture">
                      <pic:pic xmlns:pic="http://schemas.openxmlformats.org/drawingml/2006/picture">
                        <pic:nvPicPr>
                          <pic:cNvPr id="6" name="图片_1"/>
                          <pic:cNvPicPr/>
                        </pic:nvPicPr>
                        <pic:blipFill>
                          <a:blip r:embed="rId9"/>
                          <a:stretch>
                            <a:fillRect/>
                          </a:stretch>
                        </pic:blipFill>
                        <pic:spPr>
                          <a:xfrm>
                            <a:off x="0" y="0"/>
                            <a:ext cx="1484630" cy="1657350"/>
                          </a:xfrm>
                          <a:prstGeom prst="rect">
                            <a:avLst/>
                          </a:prstGeom>
                          <a:noFill/>
                          <a:ln>
                            <a:noFill/>
                          </a:ln>
                        </pic:spPr>
                      </pic:pic>
                    </a:graphicData>
                  </a:graphic>
                </wp:inline>
              </w:drawing>
            </w:r>
          </w:p>
        </w:tc>
        <w:tc>
          <w:tcPr>
            <w:tcW w:w="686" w:type="pct"/>
            <w:shd w:val="clear" w:color="auto" w:fill="auto"/>
            <w:vAlign w:val="center"/>
          </w:tcPr>
          <w:p w14:paraId="20B8E319">
            <w:pPr>
              <w:jc w:val="center"/>
              <w:textAlignment w:val="center"/>
              <w:rPr>
                <w:szCs w:val="21"/>
              </w:rPr>
            </w:pPr>
            <w:r>
              <w:rPr>
                <w:rFonts w:hint="eastAsia"/>
                <w:szCs w:val="21"/>
                <w:lang w:eastAsia="zh-CN" w:bidi="ar"/>
              </w:rPr>
              <w:t>276</w:t>
            </w:r>
          </w:p>
        </w:tc>
        <w:tc>
          <w:tcPr>
            <w:tcW w:w="593" w:type="pct"/>
            <w:shd w:val="clear" w:color="auto" w:fill="auto"/>
            <w:vAlign w:val="center"/>
          </w:tcPr>
          <w:p w14:paraId="6FECF133">
            <w:pPr>
              <w:jc w:val="center"/>
              <w:textAlignment w:val="center"/>
              <w:rPr>
                <w:szCs w:val="21"/>
              </w:rPr>
            </w:pPr>
            <w:r>
              <w:rPr>
                <w:rFonts w:hint="eastAsia"/>
                <w:szCs w:val="21"/>
                <w:lang w:eastAsia="zh-CN" w:bidi="ar"/>
              </w:rPr>
              <w:t>张</w:t>
            </w:r>
          </w:p>
        </w:tc>
      </w:tr>
    </w:tbl>
    <w:p w14:paraId="1C05B200">
      <w:pPr>
        <w:pStyle w:val="9"/>
        <w:autoSpaceDE/>
        <w:autoSpaceDN/>
        <w:outlineLvl w:val="9"/>
        <w:rPr>
          <w:sz w:val="21"/>
          <w:szCs w:val="21"/>
          <w:lang w:eastAsia="zh-CN"/>
        </w:rPr>
      </w:pPr>
    </w:p>
    <w:p w14:paraId="218A7827">
      <w:pPr>
        <w:pStyle w:val="9"/>
        <w:autoSpaceDE/>
        <w:autoSpaceDN/>
        <w:rPr>
          <w:sz w:val="21"/>
          <w:szCs w:val="21"/>
          <w:lang w:eastAsia="zh-CN"/>
        </w:rPr>
      </w:pPr>
      <w:bookmarkStart w:id="10" w:name="_Toc24057"/>
      <w:r>
        <w:rPr>
          <w:rFonts w:hint="eastAsia"/>
          <w:sz w:val="21"/>
          <w:szCs w:val="21"/>
          <w:lang w:eastAsia="zh-CN"/>
        </w:rPr>
        <w:t>四、技术标准与要求</w:t>
      </w:r>
      <w:bookmarkEnd w:id="10"/>
    </w:p>
    <w:bookmarkEnd w:id="6"/>
    <w:p w14:paraId="583034F3">
      <w:pPr>
        <w:autoSpaceDE/>
        <w:autoSpaceDN/>
        <w:ind w:firstLine="422" w:firstLineChars="200"/>
        <w:outlineLvl w:val="2"/>
        <w:rPr>
          <w:b/>
          <w:bCs/>
          <w:lang w:eastAsia="zh-CN"/>
        </w:rPr>
      </w:pPr>
      <w:r>
        <w:rPr>
          <w:rFonts w:hint="eastAsia"/>
          <w:b/>
          <w:bCs/>
          <w:lang w:eastAsia="zh-CN"/>
        </w:rPr>
        <w:t>（一）单人位宿舍床架</w:t>
      </w:r>
    </w:p>
    <w:p w14:paraId="4C6C44BD">
      <w:pPr>
        <w:autoSpaceDE/>
        <w:autoSpaceDN/>
        <w:ind w:firstLine="420" w:firstLineChars="200"/>
        <w:jc w:val="both"/>
        <w:rPr>
          <w:lang w:eastAsia="zh-CN"/>
        </w:rPr>
      </w:pPr>
      <w:r>
        <w:rPr>
          <w:rFonts w:hint="eastAsia"/>
          <w:lang w:eastAsia="zh-CN"/>
        </w:rPr>
        <w:t>“宿舍床”符合QB/T 2741-2013《学生公寓多功能家具》、GB/T 35607-2024《绿色产品评价 家具》、QB/T 4371-2012《家具抗菌性能的评价》标准。定制单人位宿舍床规格：W2000mm*D920mm*H2150mm，含蚊帐架H2950mm（±5mm）；主体结构为钢结构，采取卡槽、插接式和螺丝固定拼装而成，拆装方便，安全且稳定牢固，床侧架用焊接固定，与床梁链接为卡扣式。</w:t>
      </w:r>
    </w:p>
    <w:p w14:paraId="7095E72A">
      <w:pPr>
        <w:autoSpaceDE/>
        <w:autoSpaceDN/>
        <w:ind w:firstLine="420" w:firstLineChars="200"/>
        <w:jc w:val="both"/>
        <w:rPr>
          <w:lang w:eastAsia="zh-CN"/>
        </w:rPr>
      </w:pPr>
      <w:r>
        <w:rPr>
          <w:rFonts w:hint="eastAsia"/>
          <w:lang w:eastAsia="zh-CN"/>
        </w:rPr>
        <w:t xml:space="preserve">1、床立柱：立柱采用优质冷轧钢成型而成，截断面为多边形闭口管，截面尺寸为≥80mm*60mm，裸板厚度≥1.4mm，要求有排列合理的加强筋，立柱上下均采用优质环保材料的内塞外包围胶套，上胶套带调节蚊帐杆功能，尺寸为≥80mm*60mm*100mm，下胶套与地面接触面有防滑纹，尺寸为≥80mm*60mm*60mm。“立柱”符合GB/T 3325-2024《金属家具通用技术条件》、GB/T 10125-2021《人造气氛腐蚀试验 盐雾试验》（铜加速乙酸盐雾试验&lt;CASS法&gt;）标准。 </w:t>
      </w:r>
    </w:p>
    <w:p w14:paraId="41D234A9">
      <w:pPr>
        <w:autoSpaceDE/>
        <w:autoSpaceDN/>
        <w:ind w:firstLine="420" w:firstLineChars="200"/>
        <w:jc w:val="both"/>
        <w:rPr>
          <w:lang w:eastAsia="zh-CN"/>
        </w:rPr>
      </w:pPr>
      <w:r>
        <w:rPr>
          <w:rFonts w:hint="eastAsia"/>
          <w:lang w:eastAsia="zh-CN"/>
        </w:rPr>
        <w:t xml:space="preserve">2、床横梁：采用优质冷轧钢成型而成，截断面为多边形闭口管，截面尺寸≥95mm*50mm，裸板厚度≥1.4mm，要求有排列合理的加强筋，接触面为弧形。“横梁”符合GB/T 3325-2024《金属家具通用技术条件》、GB/T 10125-2021《人造气氛腐蚀试验 盐雾试验》（铜加速乙酸盐雾试验&lt;CASS法&gt;）标准。 </w:t>
      </w:r>
    </w:p>
    <w:p w14:paraId="383B21B8">
      <w:pPr>
        <w:autoSpaceDE/>
        <w:autoSpaceDN/>
        <w:ind w:firstLine="420" w:firstLineChars="200"/>
        <w:jc w:val="both"/>
        <w:rPr>
          <w:lang w:eastAsia="zh-CN"/>
        </w:rPr>
      </w:pPr>
      <w:r>
        <w:rPr>
          <w:rFonts w:hint="eastAsia"/>
          <w:lang w:eastAsia="zh-CN"/>
        </w:rPr>
        <w:t>3、边侧横梁：采用优质冷轧钢成型而成，截断面为多边形闭口管，截面尺寸≥95mm*50mm，裸板厚度≥1.4mm，要求有排列合理的加强筋，接触面为弧形设计。</w:t>
      </w:r>
    </w:p>
    <w:p w14:paraId="4F896004">
      <w:pPr>
        <w:autoSpaceDE/>
        <w:autoSpaceDN/>
        <w:ind w:firstLine="420" w:firstLineChars="200"/>
        <w:jc w:val="both"/>
        <w:rPr>
          <w:lang w:eastAsia="zh-CN"/>
        </w:rPr>
      </w:pPr>
      <w:r>
        <w:rPr>
          <w:rFonts w:hint="eastAsia"/>
          <w:lang w:eastAsia="zh-CN"/>
        </w:rPr>
        <w:t>4、床横梁连接件：经冲床冲压成L型，需有三个链接卡口，材质厚度≥2.0mm。</w:t>
      </w:r>
    </w:p>
    <w:p w14:paraId="643560ED">
      <w:pPr>
        <w:autoSpaceDE/>
        <w:autoSpaceDN/>
        <w:ind w:firstLine="420" w:firstLineChars="200"/>
        <w:jc w:val="both"/>
        <w:rPr>
          <w:lang w:eastAsia="zh-CN"/>
        </w:rPr>
      </w:pPr>
      <w:r>
        <w:rPr>
          <w:rFonts w:hint="eastAsia"/>
          <w:lang w:eastAsia="zh-CN"/>
        </w:rPr>
        <w:t>5、床板支撑梁：床板支撑梁采用优质冷轧钢板成型而成，其截断面为多边形管，立面成型后尺寸为≥50mm*30mm，裸板厚度≥1.0mm；床板支撑梁下侧接触面为圆弧形，两侧各两条加强筋，支撑梁两端口各冲一个安装卡口， 安装卡口的尺寸≥16mm*5mm，安装卡口与横梁卡接口从上往下插入卡接形成咬合结构，达到前后横梁相互连接整体受力的状态，床板支撑梁顶面凹槽处内嵌软性环保塑料静音胶条，成型后尺寸≥22mm*10mm厚度≥1.5mm，静音条与支撑连接采用插嵌倒扣方式，避免床板噪音。</w:t>
      </w:r>
    </w:p>
    <w:p w14:paraId="6ED45E61">
      <w:pPr>
        <w:autoSpaceDE/>
        <w:autoSpaceDN/>
        <w:ind w:firstLine="420" w:firstLineChars="200"/>
        <w:jc w:val="both"/>
        <w:rPr>
          <w:lang w:eastAsia="zh-CN"/>
        </w:rPr>
      </w:pPr>
      <w:r>
        <w:rPr>
          <w:rFonts w:hint="eastAsia"/>
          <w:lang w:eastAsia="zh-CN"/>
        </w:rPr>
        <w:t>6、侧下横梁与后下拉杆：采用≥20*40mm的方管，裸板厚度≥1.0mm。</w:t>
      </w:r>
    </w:p>
    <w:p w14:paraId="643599DC">
      <w:pPr>
        <w:autoSpaceDE/>
        <w:autoSpaceDN/>
        <w:ind w:firstLine="420" w:firstLineChars="200"/>
        <w:jc w:val="both"/>
        <w:rPr>
          <w:lang w:eastAsia="zh-CN"/>
        </w:rPr>
      </w:pPr>
      <w:r>
        <w:rPr>
          <w:rFonts w:hint="eastAsia"/>
          <w:lang w:eastAsia="zh-CN"/>
        </w:rPr>
        <w:t>7、前护栏：规格为≥1300mm*350mm，全栏分为上下二层，上层竖管≥2根平均分布，护栏外管采用≥40mm*20mm*1.0mm优质D型钢弯制而成，下层内镶入一块中空吹塑护栏板，中空吹塑护栏板规格为≥890mm*155mm*25mm，护栏板上有被褥警示线或安全线标志，整个护栏的高度≥350mm。</w:t>
      </w:r>
    </w:p>
    <w:p w14:paraId="775C790A">
      <w:pPr>
        <w:autoSpaceDE/>
        <w:autoSpaceDN/>
        <w:ind w:firstLine="420" w:firstLineChars="200"/>
        <w:jc w:val="both"/>
        <w:rPr>
          <w:lang w:eastAsia="zh-CN"/>
        </w:rPr>
      </w:pPr>
      <w:r>
        <w:rPr>
          <w:rFonts w:hint="eastAsia"/>
          <w:lang w:eastAsia="zh-CN"/>
        </w:rPr>
        <w:t>8、床头护栏：采用≥40mm*20mm*1.0 mm优质D型钢管制作，护栏竖管采用≥30mm*15mm*1.0mm厚椭圆管，整个护栏的高度≥350mm。</w:t>
      </w:r>
    </w:p>
    <w:p w14:paraId="319C78F5">
      <w:pPr>
        <w:autoSpaceDE/>
        <w:autoSpaceDN/>
        <w:ind w:firstLine="420" w:firstLineChars="200"/>
        <w:jc w:val="both"/>
        <w:rPr>
          <w:lang w:eastAsia="zh-CN"/>
        </w:rPr>
      </w:pPr>
      <w:r>
        <w:rPr>
          <w:rFonts w:hint="eastAsia"/>
          <w:lang w:eastAsia="zh-CN"/>
        </w:rPr>
        <w:t>9、床爬梯：床梯支架采用≥50mm*25mm，裸板厚度≥1.2mm椭圆钢管焊接而成，脚踏板采用优质冷轧钢板一次冲压而成，成型后尺寸为≥400mm*100/80mm与支架焊接成一体，踏板下面加焊一根≥30mm*20mm，裸板厚度≥0.8mm的方管，脚踏板表面需加塑料踏板，塑料踏板采用全新环保塑胶注塑工艺一次成型，形状与楼梯脚踏板完全贴合，并带有≥10个卡口，成型后尺寸：≥W400mm*D100/80mm*H25mm，踏板表面≥6个夜光警示片，每个夜光片的尺寸40mm*5mm（±2mm）。楼梯与床框架采用优质螺栓及螺帽连接固定。</w:t>
      </w:r>
    </w:p>
    <w:p w14:paraId="5AD92073">
      <w:pPr>
        <w:autoSpaceDE/>
        <w:autoSpaceDN/>
        <w:ind w:firstLine="420" w:firstLineChars="200"/>
        <w:jc w:val="both"/>
        <w:rPr>
          <w:lang w:eastAsia="zh-CN"/>
        </w:rPr>
      </w:pPr>
      <w:r>
        <w:rPr>
          <w:rFonts w:hint="eastAsia"/>
          <w:lang w:eastAsia="zh-CN"/>
        </w:rPr>
        <w:t>10、杉木床板：（尺寸按实际空间制做）厚≥18mm板拼接而成，经烘干、正反双面抛光处理，木材进行防虫、除脂、干燥处理，产品结构强度好和外观牢固，材质符合国家标准要求，拼接及铺装缝隙应≤2mm，床板背面采用≥4根实木方条用地板钉加固。“杉木床板”符合GB 18584-2024《家具中有害物质限量》、GB/T 3324-2024《木家具通用技术条件》、GB/T 35601-2024《绿色产品评价 人造板和木质地板》标准。</w:t>
      </w:r>
    </w:p>
    <w:p w14:paraId="56BEC6A0">
      <w:pPr>
        <w:autoSpaceDE/>
        <w:autoSpaceDN/>
        <w:ind w:firstLine="420" w:firstLineChars="200"/>
        <w:jc w:val="both"/>
        <w:rPr>
          <w:lang w:eastAsia="zh-CN"/>
        </w:rPr>
      </w:pPr>
      <w:r>
        <w:rPr>
          <w:rFonts w:hint="eastAsia"/>
          <w:lang w:eastAsia="zh-CN"/>
        </w:rPr>
        <w:t>11、蚊帐架：采用≥φ19mm*1.0mm厚优质管材而成，表面喷涂处理，立柱顶部连接采用塑料三通内塞连接，牢固美观。</w:t>
      </w:r>
    </w:p>
    <w:p w14:paraId="6FD6C2B6">
      <w:pPr>
        <w:autoSpaceDE/>
        <w:autoSpaceDN/>
        <w:ind w:firstLine="420" w:firstLineChars="200"/>
        <w:jc w:val="both"/>
        <w:rPr>
          <w:lang w:eastAsia="zh-CN"/>
        </w:rPr>
      </w:pPr>
      <w:r>
        <w:rPr>
          <w:rFonts w:hint="eastAsia"/>
          <w:lang w:eastAsia="zh-CN"/>
        </w:rPr>
        <w:t xml:space="preserve">                                                                                                                                                                                                                          </w:t>
      </w:r>
    </w:p>
    <w:p w14:paraId="1CF8B11D">
      <w:pPr>
        <w:autoSpaceDE/>
        <w:autoSpaceDN/>
        <w:ind w:firstLine="422" w:firstLineChars="200"/>
        <w:outlineLvl w:val="2"/>
        <w:rPr>
          <w:b/>
          <w:bCs/>
          <w:lang w:eastAsia="zh-CN"/>
        </w:rPr>
      </w:pPr>
      <w:r>
        <w:rPr>
          <w:rFonts w:hint="eastAsia"/>
          <w:b/>
          <w:bCs/>
          <w:lang w:eastAsia="zh-CN"/>
        </w:rPr>
        <w:t>（二）两人位连体宿舍床架</w:t>
      </w:r>
    </w:p>
    <w:p w14:paraId="0BAF55B8">
      <w:pPr>
        <w:autoSpaceDE/>
        <w:autoSpaceDN/>
        <w:ind w:firstLine="420" w:firstLineChars="200"/>
        <w:jc w:val="both"/>
        <w:rPr>
          <w:lang w:eastAsia="zh-CN"/>
        </w:rPr>
      </w:pPr>
      <w:r>
        <w:rPr>
          <w:rFonts w:hint="eastAsia"/>
          <w:lang w:eastAsia="zh-CN"/>
        </w:rPr>
        <w:t>“宿舍床”符合QB/T 2741-2013《学生公寓多功能家具》、GB/T 35607-2024《绿色产品评价 家具》、QB/T 4371-2012《家具抗菌性能的评价》标准。定制两人位连体型宿舍床规格：W3930mm*D920mm*H2150mm，含蚊帐架H2950mm（±5mm）；主体结构为钢结构，采取卡槽、插接式和螺丝固定拼装而成，拆装方便，安全且稳定牢固，床侧架用焊接固定，与床梁链接为卡扣式。</w:t>
      </w:r>
    </w:p>
    <w:p w14:paraId="60781F73">
      <w:pPr>
        <w:autoSpaceDE/>
        <w:autoSpaceDN/>
        <w:ind w:firstLine="420" w:firstLineChars="200"/>
        <w:jc w:val="both"/>
        <w:rPr>
          <w:lang w:eastAsia="zh-CN"/>
        </w:rPr>
      </w:pPr>
      <w:r>
        <w:rPr>
          <w:rFonts w:hint="eastAsia"/>
          <w:lang w:eastAsia="zh-CN"/>
        </w:rPr>
        <w:t>1、床立柱：立柱采用优质冷轧钢成型而成，截断面为多边形闭口管，截面尺寸为≥80mm*60mm，裸板厚度≥1.4mm，要求有排列合理的加强筋，立柱上下均采用优质环保材料的内塞外包围胶套，上胶套带调节蚊帐杆功能，尺寸为≥80mm*60mm*100mm，下胶套与地面接触面有防滑纹，尺寸为≥80mm*60mm*60mm。“立柱”符合GB/T 3325-2024《金属家具通用技术条件》、GB/T 10125-2021《人造气氛腐蚀试验 盐雾试验》（铜加速乙酸盐雾试验&lt;CASS法&gt;）标准。</w:t>
      </w:r>
    </w:p>
    <w:p w14:paraId="7B5B7409">
      <w:pPr>
        <w:autoSpaceDE/>
        <w:autoSpaceDN/>
        <w:ind w:firstLine="420" w:firstLineChars="200"/>
        <w:jc w:val="both"/>
        <w:rPr>
          <w:lang w:eastAsia="zh-CN"/>
        </w:rPr>
      </w:pPr>
      <w:r>
        <w:rPr>
          <w:rFonts w:hint="eastAsia"/>
          <w:lang w:eastAsia="zh-CN"/>
        </w:rPr>
        <w:t>2、床横梁：采用优质冷轧钢成型而成，截断面为多边形闭口管，截面尺寸≥95mm*50mm，裸板厚度≥1.4mm，要求有排列合理的加强筋，接触面为弧形。“横梁”符合GB/T 3325-2024《金属家具通用技术条件》、GB/T 10125-2021《人造气氛腐蚀试验 盐雾试验》（铜加速乙酸盐雾试验&lt;CASS法&gt;）标准。</w:t>
      </w:r>
    </w:p>
    <w:p w14:paraId="7E7F87BC">
      <w:pPr>
        <w:autoSpaceDE/>
        <w:autoSpaceDN/>
        <w:ind w:firstLine="420" w:firstLineChars="200"/>
        <w:jc w:val="both"/>
        <w:rPr>
          <w:lang w:eastAsia="zh-CN"/>
        </w:rPr>
      </w:pPr>
      <w:r>
        <w:rPr>
          <w:rFonts w:hint="eastAsia"/>
          <w:lang w:eastAsia="zh-CN"/>
        </w:rPr>
        <w:t>3、边侧横梁：采用优质冷轧钢成型而成，截断面为多边形闭口管，截面尺寸≥95mm*50mm，裸板厚度≥1.4mm，要求有排列合理的加强筋，接触面为弧形设计。</w:t>
      </w:r>
    </w:p>
    <w:p w14:paraId="7D872AE8">
      <w:pPr>
        <w:autoSpaceDE/>
        <w:autoSpaceDN/>
        <w:ind w:firstLine="420" w:firstLineChars="200"/>
        <w:jc w:val="both"/>
        <w:rPr>
          <w:lang w:eastAsia="zh-CN"/>
        </w:rPr>
      </w:pPr>
      <w:r>
        <w:rPr>
          <w:rFonts w:hint="eastAsia"/>
          <w:lang w:eastAsia="zh-CN"/>
        </w:rPr>
        <w:t>4、床横梁连接件：经冲床冲压成L型，需有三个链接卡口，材质厚度≥2.0mm。</w:t>
      </w:r>
    </w:p>
    <w:p w14:paraId="458610F9">
      <w:pPr>
        <w:autoSpaceDE/>
        <w:autoSpaceDN/>
        <w:ind w:firstLine="420" w:firstLineChars="200"/>
        <w:jc w:val="both"/>
        <w:rPr>
          <w:lang w:eastAsia="zh-CN"/>
        </w:rPr>
      </w:pPr>
      <w:r>
        <w:rPr>
          <w:rFonts w:hint="eastAsia"/>
          <w:lang w:eastAsia="zh-CN"/>
        </w:rPr>
        <w:t>5、床板支撑梁：床板支撑梁采用优质冷轧钢板成型而成，其截断面为多边形管，立面成型后尺寸为≥50mm*30mm，裸板厚度≥1.0mm；床板支撑梁下侧接触面为圆弧形，两侧各两条加强筋，支撑梁两端口各冲一个安装卡口，安装卡口的尺寸≥16mm*5mm，安装卡口与横梁卡接口从上往下插入卡接形成咬合结构，达到前后横梁相互连接整体受力的状态，床板支撑梁顶面凹槽处内嵌软性环保塑料静音胶条，成型后尺寸≥22mm*10mm厚度≥1.5mm，静音条与支撑连接采用插嵌倒扣方式，避免床板噪音。</w:t>
      </w:r>
    </w:p>
    <w:p w14:paraId="434602B0">
      <w:pPr>
        <w:autoSpaceDE/>
        <w:autoSpaceDN/>
        <w:ind w:firstLine="420" w:firstLineChars="200"/>
        <w:jc w:val="both"/>
        <w:rPr>
          <w:lang w:eastAsia="zh-CN"/>
        </w:rPr>
      </w:pPr>
      <w:r>
        <w:rPr>
          <w:rFonts w:hint="eastAsia"/>
          <w:lang w:eastAsia="zh-CN"/>
        </w:rPr>
        <w:t>6、中侧横梁：中横梁采用优质冷轧钢成型而成，截断面为多边形封闭管，截段面尺寸为≥75mm*30mm，裸板厚度≥1.2mm。</w:t>
      </w:r>
    </w:p>
    <w:p w14:paraId="6FE1F8CB">
      <w:pPr>
        <w:autoSpaceDE/>
        <w:autoSpaceDN/>
        <w:ind w:firstLine="420" w:firstLineChars="200"/>
        <w:jc w:val="both"/>
        <w:rPr>
          <w:lang w:eastAsia="zh-CN"/>
        </w:rPr>
      </w:pPr>
      <w:r>
        <w:rPr>
          <w:rFonts w:hint="eastAsia"/>
          <w:lang w:eastAsia="zh-CN"/>
        </w:rPr>
        <w:t>7、侧下横梁与后下拉杆：采用≥20*40mm的方管，裸板厚度≥1.0mm。</w:t>
      </w:r>
    </w:p>
    <w:p w14:paraId="4B12824D">
      <w:pPr>
        <w:autoSpaceDE/>
        <w:autoSpaceDN/>
        <w:ind w:firstLine="420" w:firstLineChars="200"/>
        <w:jc w:val="both"/>
        <w:rPr>
          <w:lang w:eastAsia="zh-CN"/>
        </w:rPr>
      </w:pPr>
      <w:r>
        <w:rPr>
          <w:rFonts w:hint="eastAsia"/>
          <w:lang w:eastAsia="zh-CN"/>
        </w:rPr>
        <w:t>8、前护栏：规格为≥1400mm*350mm，全栏分为上下二层，上层竖管≥2根平均分布，护栏外管采用≥40mm*20mm*1.0mm优质D型钢弯制而成，下层内镶入一块中空吹塑护栏板，中空吹塑护栏板规格为≥1320mm*140mm*25mm，护栏板上有被褥警示线或安全线标志，整个护栏的高度≥350mm。</w:t>
      </w:r>
    </w:p>
    <w:p w14:paraId="201D95DF">
      <w:pPr>
        <w:autoSpaceDE/>
        <w:autoSpaceDN/>
        <w:ind w:firstLine="420" w:firstLineChars="200"/>
        <w:jc w:val="both"/>
        <w:rPr>
          <w:lang w:eastAsia="zh-CN"/>
        </w:rPr>
      </w:pPr>
      <w:r>
        <w:rPr>
          <w:rFonts w:hint="eastAsia"/>
          <w:lang w:eastAsia="zh-CN"/>
        </w:rPr>
        <w:t>9、床头护栏：采用≥40mm*20mm*1.0 mm优质D型钢管制作，护栏竖管采用≥30mm*15mm*1.0mm厚椭圆管，整个护栏的高度≥350mm。</w:t>
      </w:r>
    </w:p>
    <w:p w14:paraId="2A0B53F2">
      <w:pPr>
        <w:autoSpaceDE/>
        <w:autoSpaceDN/>
        <w:ind w:firstLine="420" w:firstLineChars="200"/>
        <w:jc w:val="both"/>
        <w:rPr>
          <w:lang w:eastAsia="zh-CN"/>
        </w:rPr>
      </w:pPr>
      <w:r>
        <w:rPr>
          <w:rFonts w:hint="eastAsia"/>
          <w:lang w:eastAsia="zh-CN"/>
        </w:rPr>
        <w:t>10、床爬梯：床梯支架采用≥50mm*25mm，裸板厚度≥1.2mm椭圆钢管焊接而成，脚踏板采用优质冷轧钢板一次冲压而成，成型后尺寸为≥400mm*100/80mm与支架焊接成一体，踏板下面加焊一根≥30mm*20mm，裸板厚度≥0.8mm的方管，脚踏板表面需加塑料踏板，塑料踏板采用全新环保塑胶注塑工艺一次成型，形状与楼梯脚踏板完全贴合，并带有≥10个卡口，成型后尺寸：≥W400mm*D100/80mm*H25mm，踏板表面≥6个夜光警示片，每个夜光片的尺寸40mm*5mm（±2mm）。楼梯与床框架采用优质螺栓及螺帽连接固定。</w:t>
      </w:r>
    </w:p>
    <w:p w14:paraId="0FA02CC8">
      <w:pPr>
        <w:autoSpaceDE/>
        <w:autoSpaceDN/>
        <w:ind w:firstLine="420" w:firstLineChars="200"/>
        <w:jc w:val="both"/>
        <w:rPr>
          <w:lang w:eastAsia="zh-CN"/>
        </w:rPr>
      </w:pPr>
      <w:r>
        <w:rPr>
          <w:rFonts w:hint="eastAsia"/>
          <w:lang w:eastAsia="zh-CN"/>
        </w:rPr>
        <w:t>11、杉木床板：（尺寸按实际空间制做）厚≥18mm板拼接而成，经烘干、正反双面抛光处理，木材进行防虫、除脂、干燥处理，产品结构强度好和外观牢固，材质符合国家标准要求，拼接及铺装缝隙应≤2mm，床板背面采用≥4根实木方条用地板钉加固。“杉木床板”符合GB 18584-2024《家具中有害物质限量》、GB/T 3324-2024《木家具通用技术条件》、GB/T 35601-2024《绿色产品评价 人造板和木质地板》标准。</w:t>
      </w:r>
    </w:p>
    <w:p w14:paraId="0EE29B2C">
      <w:pPr>
        <w:autoSpaceDE/>
        <w:autoSpaceDN/>
        <w:ind w:firstLine="420" w:firstLineChars="200"/>
        <w:jc w:val="both"/>
        <w:rPr>
          <w:lang w:eastAsia="zh-CN"/>
        </w:rPr>
      </w:pPr>
      <w:r>
        <w:rPr>
          <w:rFonts w:hint="eastAsia"/>
          <w:lang w:eastAsia="zh-CN"/>
        </w:rPr>
        <w:t>12、蚊帐架：采用≥φ19mm*1.0mm厚优质管材而成，表面喷涂处理，立柱顶部连接采用塑料三通内塞连接，牢固美观。</w:t>
      </w:r>
    </w:p>
    <w:p w14:paraId="2667A866">
      <w:pPr>
        <w:autoSpaceDE/>
        <w:autoSpaceDN/>
        <w:ind w:firstLine="420" w:firstLineChars="200"/>
        <w:rPr>
          <w:lang w:eastAsia="zh-CN"/>
        </w:rPr>
      </w:pPr>
    </w:p>
    <w:p w14:paraId="71B41A7B">
      <w:pPr>
        <w:autoSpaceDE/>
        <w:autoSpaceDN/>
        <w:ind w:firstLine="422" w:firstLineChars="200"/>
        <w:outlineLvl w:val="2"/>
        <w:rPr>
          <w:b/>
          <w:bCs/>
          <w:lang w:eastAsia="zh-CN"/>
        </w:rPr>
      </w:pPr>
      <w:r>
        <w:rPr>
          <w:rFonts w:hint="eastAsia"/>
          <w:b/>
          <w:bCs/>
          <w:lang w:eastAsia="zh-CN"/>
        </w:rPr>
        <w:t>（三）床下组合柜</w:t>
      </w:r>
    </w:p>
    <w:p w14:paraId="2568E130">
      <w:pPr>
        <w:autoSpaceDE/>
        <w:autoSpaceDN/>
        <w:ind w:firstLine="420" w:firstLineChars="200"/>
        <w:jc w:val="both"/>
        <w:rPr>
          <w:lang w:eastAsia="zh-CN"/>
        </w:rPr>
      </w:pPr>
      <w:r>
        <w:rPr>
          <w:rFonts w:hint="eastAsia"/>
          <w:lang w:eastAsia="zh-CN"/>
        </w:rPr>
        <w:t>“组合柜”符合GB/T 35607-2024《绿色产品评价 家具》、GB/T 3325-2024《金属家具通用技术条件》、QB/T 4371-2012《家具抗菌性能的评价》和GB/T 36022-2018《木家具中氨释放量试验方法》标准。定制床下组合柜规格：W1930mm*D600mm*H1690mm（±5mm）</w:t>
      </w:r>
    </w:p>
    <w:p w14:paraId="4393B5B2">
      <w:pPr>
        <w:autoSpaceDE/>
        <w:autoSpaceDN/>
        <w:ind w:firstLine="420" w:firstLineChars="200"/>
        <w:jc w:val="both"/>
        <w:rPr>
          <w:lang w:eastAsia="zh-CN"/>
        </w:rPr>
      </w:pPr>
      <w:r>
        <w:rPr>
          <w:rFonts w:hint="eastAsia"/>
          <w:lang w:eastAsia="zh-CN"/>
        </w:rPr>
        <w:t>1、书架钢柜：规格W1200mm*D300mm*H930mm（±5mm）；配置两层空格置物柜，左右方向可调，可放置书籍、物品；柜边，简约美观；背板采用≥1.0mm厚优质冷轧钢板；其他采用≥1.0mm；喷涂要求：表面环保塑粉高温静电喷涂处理，喷塑外膜的表面光滑平整，色泽均匀，喷塑层无漏喷、起泡、模糊、划痕或碰伤等缺陷；“冷轧钢板”符合GB/T 3325-2024《金属家具通用技术条件》标准。“静电粉末（塑粉）”，符合HG/T 2006-2022《热固性和热塑性粉末涂料》标准。</w:t>
      </w:r>
    </w:p>
    <w:p w14:paraId="14AE3D8A">
      <w:pPr>
        <w:autoSpaceDE/>
        <w:autoSpaceDN/>
        <w:ind w:firstLine="420" w:firstLineChars="200"/>
        <w:jc w:val="both"/>
        <w:rPr>
          <w:lang w:eastAsia="zh-CN"/>
        </w:rPr>
      </w:pPr>
      <w:r>
        <w:rPr>
          <w:rFonts w:hint="eastAsia"/>
          <w:lang w:eastAsia="zh-CN"/>
        </w:rPr>
        <w:t>2、书桌：规格W1200*D600*H730mm（±5mm），柜底底部需加调节脚，背板采用≥1.0mm厚优质冷轧钢板；其他采用≥1.0mm；柜门上配有拉手，柜门转印。（木纹颜色、纹理可选）。暴露边部和突出部件应倒圆、不应有毛刺、刃口，管子端口应封闭；桌面板采用25mm厚环保多层实木板双贴三聚氰胺饰面，尺寸1200mm×600mm×25mm（±5mm）、桌面后上方需有挡笔条，挡条高60mm（±2mm），防止铅笔向后掉落。“多层实木板”符合GB/T 35607-2024《绿色产品评价 家具》、GB/T 3324-2024《木家具通用技术条件》、QB/T 4371-2012《家具抗菌性能的评价》。抽屉配优质三节导轨。根据现场插座位置确定写字桌与衣柜位置，左右方向可调，满足实际使用需求。</w:t>
      </w:r>
    </w:p>
    <w:p w14:paraId="7B7BA2BB">
      <w:pPr>
        <w:autoSpaceDE/>
        <w:autoSpaceDN/>
        <w:ind w:firstLine="420" w:firstLineChars="200"/>
        <w:jc w:val="both"/>
        <w:rPr>
          <w:lang w:eastAsia="zh-CN"/>
        </w:rPr>
      </w:pPr>
      <w:r>
        <w:rPr>
          <w:rFonts w:hint="eastAsia"/>
          <w:lang w:eastAsia="zh-CN"/>
        </w:rPr>
        <w:t>3、衣柜：规格W730*D600*H1690mm（±5mm），门板侧板采用≥1.0mm厚优质冷轧钢板制作，钢板表面经除油，去锈，磷化静电喷粉、高温固化而成，柜底底部需加调节脚，背板采用≥1.0mm厚优质冷轧钢板；其他采用≥1.0mm；柜门转印（木纹颜色、纹理可选）配置锁具、缓冲铰链和拉手；门板须设有透气孔，利于空气流通，柜底底部需加调节脚，使用方便，安全。门板配旋转式挂锁（锁具学生自配），柜底底部需加调节脚，使用平稳，安全。</w:t>
      </w:r>
    </w:p>
    <w:p w14:paraId="511EEAB3">
      <w:pPr>
        <w:autoSpaceDE/>
        <w:autoSpaceDN/>
        <w:ind w:firstLine="420" w:firstLineChars="200"/>
        <w:jc w:val="both"/>
        <w:rPr>
          <w:lang w:eastAsia="zh-CN"/>
        </w:rPr>
      </w:pPr>
      <w:r>
        <w:rPr>
          <w:rFonts w:hint="eastAsia"/>
          <w:lang w:eastAsia="zh-CN"/>
        </w:rPr>
        <w:t>所需功能：</w:t>
      </w:r>
    </w:p>
    <w:p w14:paraId="2A1EBE27">
      <w:pPr>
        <w:autoSpaceDE/>
        <w:autoSpaceDN/>
        <w:ind w:firstLine="420" w:firstLineChars="200"/>
        <w:jc w:val="both"/>
        <w:rPr>
          <w:lang w:eastAsia="zh-CN"/>
        </w:rPr>
      </w:pPr>
      <w:r>
        <w:rPr>
          <w:rFonts w:hint="eastAsia"/>
          <w:lang w:eastAsia="zh-CN"/>
        </w:rPr>
        <w:t>①衣柜门板内侧装镜子；</w:t>
      </w:r>
    </w:p>
    <w:p w14:paraId="7871B1EF">
      <w:pPr>
        <w:autoSpaceDE/>
        <w:autoSpaceDN/>
        <w:ind w:firstLine="420" w:firstLineChars="200"/>
        <w:jc w:val="both"/>
        <w:rPr>
          <w:lang w:eastAsia="zh-CN"/>
        </w:rPr>
      </w:pPr>
      <w:r>
        <w:rPr>
          <w:rFonts w:hint="eastAsia"/>
          <w:lang w:eastAsia="zh-CN"/>
        </w:rPr>
        <w:t>②衣柜门板可插床位号。</w:t>
      </w:r>
    </w:p>
    <w:p w14:paraId="3CC420E0">
      <w:pPr>
        <w:autoSpaceDE/>
        <w:autoSpaceDN/>
        <w:ind w:firstLine="420" w:firstLineChars="200"/>
        <w:rPr>
          <w:lang w:eastAsia="zh-CN"/>
        </w:rPr>
      </w:pPr>
    </w:p>
    <w:p w14:paraId="4B2DFF60">
      <w:pPr>
        <w:autoSpaceDE/>
        <w:autoSpaceDN/>
        <w:ind w:firstLine="422" w:firstLineChars="200"/>
        <w:outlineLvl w:val="2"/>
        <w:rPr>
          <w:b/>
          <w:bCs/>
          <w:lang w:eastAsia="zh-CN"/>
        </w:rPr>
      </w:pPr>
      <w:r>
        <w:rPr>
          <w:rFonts w:hint="eastAsia"/>
          <w:b/>
          <w:bCs/>
          <w:lang w:eastAsia="zh-CN"/>
        </w:rPr>
        <w:t>（四）学生椅</w:t>
      </w:r>
    </w:p>
    <w:p w14:paraId="3EAAE316">
      <w:pPr>
        <w:autoSpaceDE/>
        <w:autoSpaceDN/>
        <w:ind w:firstLine="420" w:firstLineChars="200"/>
        <w:jc w:val="both"/>
        <w:rPr>
          <w:lang w:eastAsia="zh-CN"/>
        </w:rPr>
      </w:pPr>
      <w:r>
        <w:rPr>
          <w:rFonts w:hint="eastAsia"/>
          <w:lang w:eastAsia="zh-CN"/>
        </w:rPr>
        <w:t>“学生椅”符合GB/T 3325-2024《金属家具通用技术条件》、QB/T 2741-2013《学生公寓多功能家具》、GB/T 35607-2024《绿色产品评价 家具》标准。定制规格尺寸：W515*D460*H860mm（±5mm）。</w:t>
      </w:r>
    </w:p>
    <w:p w14:paraId="3CD69B55">
      <w:pPr>
        <w:autoSpaceDE/>
        <w:autoSpaceDN/>
        <w:ind w:firstLine="420" w:firstLineChars="200"/>
        <w:jc w:val="both"/>
        <w:rPr>
          <w:lang w:eastAsia="zh-CN"/>
        </w:rPr>
      </w:pPr>
      <w:r>
        <w:rPr>
          <w:rFonts w:hint="eastAsia"/>
          <w:lang w:eastAsia="zh-CN"/>
        </w:rPr>
        <w:t>1、椅座：胶壳材质采用PP工程塑料一体成型，环保不褪色，质地轻、抗裂性强，座宽455*座深455*坐高460（±5mm）。</w:t>
      </w:r>
    </w:p>
    <w:p w14:paraId="1011EBA4">
      <w:pPr>
        <w:autoSpaceDE/>
        <w:autoSpaceDN/>
        <w:ind w:firstLine="420" w:firstLineChars="200"/>
        <w:jc w:val="both"/>
        <w:rPr>
          <w:lang w:eastAsia="zh-CN"/>
        </w:rPr>
      </w:pPr>
      <w:r>
        <w:rPr>
          <w:rFonts w:hint="eastAsia"/>
          <w:lang w:eastAsia="zh-CN"/>
        </w:rPr>
        <w:t>2、椅架：25*25mm（±5mm）、1.5mm厚扇形管，厚足≥1.5mm；采用特殊工艺经过除锈、酸洗、磷化等防锈处理制成冷轧无缝钢管；管材表面精细光滑、无脱焊无飞渣、牢固抗冲击不变形，可承重≥130kg。　</w:t>
      </w:r>
    </w:p>
    <w:p w14:paraId="1A89AB4D">
      <w:pPr>
        <w:autoSpaceDE/>
        <w:autoSpaceDN/>
        <w:ind w:firstLine="420" w:firstLineChars="200"/>
        <w:jc w:val="both"/>
        <w:rPr>
          <w:lang w:eastAsia="zh-CN"/>
        </w:rPr>
      </w:pPr>
      <w:r>
        <w:rPr>
          <w:rFonts w:hint="eastAsia"/>
          <w:lang w:eastAsia="zh-CN"/>
        </w:rPr>
        <w:t>3、椅架颜色：沙白色喷涂，高温静电喷涂工艺。</w:t>
      </w:r>
    </w:p>
    <w:p w14:paraId="2E7D6FB5">
      <w:pPr>
        <w:autoSpaceDE/>
        <w:autoSpaceDN/>
        <w:ind w:firstLine="420" w:firstLineChars="200"/>
        <w:jc w:val="both"/>
        <w:rPr>
          <w:lang w:eastAsia="zh-CN"/>
        </w:rPr>
      </w:pPr>
      <w:r>
        <w:rPr>
          <w:rFonts w:hint="eastAsia"/>
          <w:lang w:eastAsia="zh-CN"/>
        </w:rPr>
        <w:t>4、椅背：靠背、椅座、内座、3件套组成，内座ABS彩色胶板。</w:t>
      </w:r>
    </w:p>
    <w:p w14:paraId="6ED89C5A">
      <w:r>
        <w:rPr>
          <w:rFonts w:hint="eastAsia"/>
          <w:lang w:eastAsia="zh-CN"/>
        </w:rPr>
        <w:t>5、脚塞：防滑塑料胶塞，保护地板不受伤害，移动时不会发出噪音。</w:t>
      </w:r>
    </w:p>
    <w:sectPr>
      <w:pgSz w:w="11906" w:h="16838"/>
      <w:pgMar w:top="1134" w:right="1134" w:bottom="1134" w:left="1134"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pPr>
      <w:r>
        <w:separator/>
      </w:r>
    </w:p>
  </w:footnote>
  <w:footnote w:type="continuationSeparator" w:id="1">
    <w:p>
      <w:pPr>
        <w:spacing w:line="36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BF84A49"/>
    <w:multiLevelType w:val="multilevel"/>
    <w:tmpl w:val="3BF84A49"/>
    <w:lvl w:ilvl="0" w:tentative="0">
      <w:start w:val="1"/>
      <w:numFmt w:val="decimal"/>
      <w:suff w:val="nothing"/>
      <w:lvlText w:val="%1."/>
      <w:lvlJc w:val="left"/>
      <w:pPr>
        <w:ind w:left="860" w:hanging="420"/>
      </w:pPr>
      <w:rPr>
        <w:rFonts w:hint="eastAsia"/>
      </w:rPr>
    </w:lvl>
    <w:lvl w:ilvl="1" w:tentative="0">
      <w:start w:val="1"/>
      <w:numFmt w:val="lowerLetter"/>
      <w:lvlText w:val="%2)"/>
      <w:lvlJc w:val="left"/>
      <w:pPr>
        <w:ind w:left="1280" w:hanging="420"/>
      </w:pPr>
    </w:lvl>
    <w:lvl w:ilvl="2" w:tentative="0">
      <w:start w:val="1"/>
      <w:numFmt w:val="lowerRoman"/>
      <w:lvlText w:val="%3."/>
      <w:lvlJc w:val="right"/>
      <w:pPr>
        <w:ind w:left="1700" w:hanging="420"/>
      </w:pPr>
    </w:lvl>
    <w:lvl w:ilvl="3" w:tentative="0">
      <w:start w:val="1"/>
      <w:numFmt w:val="decimal"/>
      <w:lvlText w:val="%4."/>
      <w:lvlJc w:val="left"/>
      <w:pPr>
        <w:ind w:left="2120" w:hanging="420"/>
      </w:pPr>
    </w:lvl>
    <w:lvl w:ilvl="4" w:tentative="0">
      <w:start w:val="1"/>
      <w:numFmt w:val="lowerLetter"/>
      <w:lvlText w:val="%5)"/>
      <w:lvlJc w:val="left"/>
      <w:pPr>
        <w:ind w:left="2540" w:hanging="420"/>
      </w:pPr>
    </w:lvl>
    <w:lvl w:ilvl="5" w:tentative="0">
      <w:start w:val="1"/>
      <w:numFmt w:val="lowerRoman"/>
      <w:lvlText w:val="%6."/>
      <w:lvlJc w:val="right"/>
      <w:pPr>
        <w:ind w:left="2960" w:hanging="420"/>
      </w:pPr>
    </w:lvl>
    <w:lvl w:ilvl="6" w:tentative="0">
      <w:start w:val="1"/>
      <w:numFmt w:val="decimal"/>
      <w:lvlText w:val="%7."/>
      <w:lvlJc w:val="left"/>
      <w:pPr>
        <w:ind w:left="3380" w:hanging="420"/>
      </w:pPr>
    </w:lvl>
    <w:lvl w:ilvl="7" w:tentative="0">
      <w:start w:val="1"/>
      <w:numFmt w:val="lowerLetter"/>
      <w:lvlText w:val="%8)"/>
      <w:lvlJc w:val="left"/>
      <w:pPr>
        <w:ind w:left="3800" w:hanging="420"/>
      </w:pPr>
    </w:lvl>
    <w:lvl w:ilvl="8" w:tentative="0">
      <w:start w:val="1"/>
      <w:numFmt w:val="lowerRoman"/>
      <w:lvlText w:val="%9."/>
      <w:lvlJc w:val="right"/>
      <w:pPr>
        <w:ind w:left="422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7A97770"/>
    <w:rsid w:val="77A977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0" w:semiHidden="0" w:name="heading 1"/>
    <w:lsdException w:qFormat="1" w:unhideWhenUsed="0" w:uiPriority="1"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1"/>
    <w:pPr>
      <w:widowControl w:val="0"/>
      <w:autoSpaceDE w:val="0"/>
      <w:autoSpaceDN w:val="0"/>
      <w:spacing w:line="360" w:lineRule="auto"/>
    </w:pPr>
    <w:rPr>
      <w:rFonts w:ascii="宋体" w:hAnsi="宋体" w:eastAsia="宋体" w:cs="宋体"/>
      <w:sz w:val="21"/>
      <w:szCs w:val="22"/>
      <w:lang w:val="en-US" w:eastAsia="en-US" w:bidi="ar-SA"/>
    </w:rPr>
  </w:style>
  <w:style w:type="paragraph" w:styleId="2">
    <w:name w:val="heading 2"/>
    <w:basedOn w:val="1"/>
    <w:next w:val="1"/>
    <w:qFormat/>
    <w:uiPriority w:val="1"/>
    <w:pPr>
      <w:ind w:left="1852"/>
      <w:jc w:val="center"/>
      <w:outlineLvl w:val="1"/>
    </w:pPr>
    <w:rPr>
      <w:b/>
      <w:bCs/>
      <w:sz w:val="24"/>
      <w:szCs w:val="24"/>
    </w:rPr>
  </w:style>
  <w:style w:type="character" w:default="1" w:styleId="8">
    <w:name w:val="Default Paragraph Font"/>
    <w:semiHidden/>
    <w:uiPriority w:val="0"/>
  </w:style>
  <w:style w:type="table" w:default="1" w:styleId="6">
    <w:name w:val="Normal Table"/>
    <w:semiHidden/>
    <w:uiPriority w:val="0"/>
    <w:tblPr>
      <w:tblCellMar>
        <w:top w:w="0" w:type="dxa"/>
        <w:left w:w="108" w:type="dxa"/>
        <w:bottom w:w="0" w:type="dxa"/>
        <w:right w:w="108" w:type="dxa"/>
      </w:tblCellMar>
    </w:tblPr>
  </w:style>
  <w:style w:type="paragraph" w:styleId="3">
    <w:name w:val="Body Text"/>
    <w:basedOn w:val="1"/>
    <w:qFormat/>
    <w:uiPriority w:val="0"/>
    <w:rPr>
      <w:szCs w:val="19"/>
    </w:rPr>
  </w:style>
  <w:style w:type="paragraph" w:styleId="4">
    <w:name w:val="Body Text Indent"/>
    <w:basedOn w:val="1"/>
    <w:unhideWhenUsed/>
    <w:qFormat/>
    <w:uiPriority w:val="99"/>
    <w:pPr>
      <w:spacing w:after="120"/>
      <w:ind w:left="420" w:leftChars="200"/>
    </w:pPr>
  </w:style>
  <w:style w:type="paragraph" w:styleId="5">
    <w:name w:val="Body Text First Indent 2"/>
    <w:basedOn w:val="4"/>
    <w:unhideWhenUsed/>
    <w:qFormat/>
    <w:uiPriority w:val="99"/>
    <w:pPr>
      <w:ind w:firstLine="420" w:firstLineChars="200"/>
    </w:pPr>
  </w:style>
  <w:style w:type="table" w:styleId="7">
    <w:name w:val="Table Grid"/>
    <w:basedOn w:val="6"/>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9">
    <w:name w:val="C"/>
    <w:basedOn w:val="10"/>
    <w:qFormat/>
    <w:uiPriority w:val="1"/>
    <w:pPr>
      <w:outlineLvl w:val="1"/>
    </w:pPr>
  </w:style>
  <w:style w:type="paragraph" w:customStyle="1" w:styleId="10">
    <w:name w:val="A"/>
    <w:basedOn w:val="1"/>
    <w:qFormat/>
    <w:uiPriority w:val="1"/>
    <w:rPr>
      <w:b/>
      <w:bCs/>
      <w:sz w:val="24"/>
      <w:szCs w:val="24"/>
    </w:rPr>
  </w:style>
  <w:style w:type="paragraph" w:customStyle="1" w:styleId="11">
    <w:name w:val="B"/>
    <w:basedOn w:val="3"/>
    <w:qFormat/>
    <w:uiPriority w:val="1"/>
    <w:pPr>
      <w:ind w:firstLine="480" w:firstLineChars="200"/>
    </w:pPr>
    <w:rPr>
      <w:sz w:val="24"/>
      <w:szCs w:val="24"/>
      <w:lang w:eastAsia="zh-CN"/>
    </w:rPr>
  </w:style>
</w:styles>
</file>

<file path=word/_rels/document.xml.rels><?xml version="1.0" encoding="UTF-8" standalone="yes"?>
<Relationships xmlns="http://schemas.openxmlformats.org/package/2006/relationships"><Relationship Id="rId9" Type="http://schemas.openxmlformats.org/officeDocument/2006/relationships/image" Target="media/image4.png"/><Relationship Id="rId8" Type="http://schemas.openxmlformats.org/officeDocument/2006/relationships/image" Target="media/image3.png"/><Relationship Id="rId7" Type="http://schemas.openxmlformats.org/officeDocument/2006/relationships/image" Target="media/image2.png"/><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11</Pages>
  <Words>0</Words>
  <Characters>0</Characters>
  <Lines>0</Lines>
  <Paragraphs>0</Paragraphs>
  <TotalTime>0</TotalTime>
  <ScaleCrop>false</ScaleCrop>
  <LinksUpToDate>false</LinksUpToDate>
  <CharactersWithSpaces>0</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2025-07-03T06:30:00Z</dcterms:created>
  <dc:creator>星垂野</dc:creator>
  <cp:lastModifiedBy>星垂野</cp:lastModifiedBy>
  <dcterms:modified xsi:type="dcterms:W3CDTF">2025-07-03T06:30:39Z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ICV">
    <vt:lpwstr>3AAAA05D08B64F5E8AA3D06AD3557644_11</vt:lpwstr>
  </property>
  <property fmtid="{D5CDD505-2E9C-101B-9397-08002B2CF9AE}" pid="4" name="KSOTemplateDocerSaveRecord">
    <vt:lpwstr>eyJoZGlkIjoiMDk2OTA1NDkwMDRkYzM1ZjcyOTU0MGYwZjMwMjMzM2IiLCJ1c2VySWQiOiI2MDQyNjU5NzIifQ==</vt:lpwstr>
  </property>
</Properties>
</file>