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e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C423F1">
      <w:pPr>
        <w:spacing w:before="0" w:after="0" w:line="600" w:lineRule="exact"/>
      </w:pPr>
    </w:p>
    <w:p w14:paraId="20451CBA">
      <w:pPr>
        <w:spacing w:before="0" w:after="0" w:line="600" w:lineRule="exact"/>
      </w:pPr>
    </w:p>
    <w:p w14:paraId="1B3D71C0">
      <w:pPr>
        <w:spacing w:before="0" w:after="0" w:line="600" w:lineRule="exact"/>
      </w:pPr>
    </w:p>
    <w:p w14:paraId="0098B8BE">
      <w:pPr>
        <w:spacing w:before="0" w:after="0" w:line="600" w:lineRule="exact"/>
      </w:pPr>
    </w:p>
    <w:p w14:paraId="17A13F63">
      <w:pPr>
        <w:spacing w:before="0" w:after="0" w:line="600" w:lineRule="exact"/>
      </w:pPr>
    </w:p>
    <w:p w14:paraId="2076B03B">
      <w:pPr>
        <w:spacing w:before="0" w:after="0" w:line="600" w:lineRule="exact"/>
      </w:pPr>
    </w:p>
    <w:p w14:paraId="0A586BCF">
      <w:pPr>
        <w:spacing w:line="720" w:lineRule="exact"/>
        <w:jc w:val="center"/>
      </w:pPr>
      <w:r>
        <w:rPr>
          <w:rFonts w:ascii="华文中宋" w:hAnsi="华文中宋" w:eastAsia="华文中宋"/>
          <w:b/>
          <w:sz w:val="44"/>
        </w:rPr>
        <w:t>2026年终端产品平台化软件开发项目</w:t>
      </w:r>
    </w:p>
    <w:p w14:paraId="3F168426">
      <w:pPr>
        <w:spacing w:line="720" w:lineRule="exact"/>
        <w:jc w:val="center"/>
      </w:pPr>
      <w:r>
        <w:rPr>
          <w:rFonts w:ascii="华文中宋" w:hAnsi="华文中宋" w:eastAsia="华文中宋"/>
          <w:b/>
          <w:sz w:val="44"/>
        </w:rPr>
        <w:t>采 购 需 求 书</w:t>
      </w:r>
    </w:p>
    <w:p w14:paraId="32B6800E">
      <w:pPr>
        <w:spacing w:before="0" w:after="0" w:line="600" w:lineRule="exact"/>
      </w:pPr>
    </w:p>
    <w:p w14:paraId="457D30F7">
      <w:pPr>
        <w:spacing w:before="0" w:after="0" w:line="600" w:lineRule="exact"/>
      </w:pPr>
    </w:p>
    <w:p w14:paraId="4F7403F1">
      <w:pPr>
        <w:spacing w:before="0" w:after="0" w:line="600" w:lineRule="exact"/>
      </w:pPr>
    </w:p>
    <w:p w14:paraId="47724172">
      <w:pPr>
        <w:spacing w:before="0" w:after="0" w:line="600" w:lineRule="exact"/>
      </w:pPr>
    </w:p>
    <w:p w14:paraId="7CC9E75A">
      <w:pPr>
        <w:spacing w:before="0" w:after="0" w:line="600" w:lineRule="exact"/>
        <w:jc w:val="center"/>
      </w:pPr>
      <w:r>
        <w:rPr>
          <w:rFonts w:ascii="Times New Roman" w:hAnsi="Times New Roman" w:eastAsia="仿宋_GB2312"/>
          <w:sz w:val="32"/>
        </w:rPr>
        <w:t>编制日期：2026年5月</w:t>
      </w:r>
    </w:p>
    <w:p w14:paraId="6CF6209A">
      <w:pPr>
        <w:sectPr>
          <w:footerReference r:id="rId5" w:type="default"/>
          <w:pgSz w:w="11900" w:h="16840"/>
          <w:pgMar w:top="1860" w:right="1860" w:bottom="1860" w:left="1860" w:header="1128" w:footer="1128" w:gutter="0"/>
          <w:cols w:space="720" w:num="1"/>
          <w:docGrid w:linePitch="360" w:charSpace="0"/>
        </w:sectPr>
      </w:pPr>
    </w:p>
    <w:p w14:paraId="56C6522B">
      <w:pPr>
        <w:spacing w:before="0" w:after="0" w:line="600" w:lineRule="exact"/>
        <w:jc w:val="center"/>
      </w:pPr>
      <w:r>
        <w:rPr>
          <w:rFonts w:ascii="黑体" w:hAnsi="黑体" w:eastAsia="黑体"/>
          <w:b w:val="0"/>
          <w:sz w:val="32"/>
        </w:rPr>
        <w:t>目  录</w:t>
      </w:r>
    </w:p>
    <w:p w14:paraId="29C3D110">
      <w:pPr>
        <w:spacing w:before="0" w:after="0" w:line="600" w:lineRule="exact"/>
      </w:pPr>
    </w:p>
    <w:p w14:paraId="4BAB47E7">
      <w:pPr>
        <w:pStyle w:val="27"/>
        <w:tabs>
          <w:tab w:val="right" w:leader="dot" w:pos="8180"/>
        </w:tabs>
      </w:pPr>
      <w:r>
        <w:rPr>
          <w:rFonts w:ascii="Times New Roman" w:hAnsi="Times New Roman" w:eastAsia="仿宋_GB2312"/>
          <w:sz w:val="32"/>
        </w:rPr>
        <w:fldChar w:fldCharType="begin"/>
      </w:r>
      <w:r>
        <w:rPr>
          <w:rFonts w:ascii="Times New Roman" w:hAnsi="Times New Roman" w:eastAsia="仿宋_GB2312"/>
          <w:sz w:val="32"/>
        </w:rPr>
        <w:instrText xml:space="preserve"> TOC \o "1-3" \h \z \u </w:instrText>
      </w:r>
      <w:r>
        <w:rPr>
          <w:rFonts w:ascii="Times New Roman" w:hAnsi="Times New Roman" w:eastAsia="仿宋_GB2312"/>
          <w:sz w:val="32"/>
        </w:rPr>
        <w:fldChar w:fldCharType="separate"/>
      </w:r>
      <w:r>
        <w:rPr>
          <w:rFonts w:ascii="Times New Roman" w:hAnsi="Times New Roman" w:eastAsia="仿宋_GB2312"/>
        </w:rPr>
        <w:fldChar w:fldCharType="begin"/>
      </w:r>
      <w:r>
        <w:rPr>
          <w:rFonts w:ascii="Times New Roman" w:hAnsi="Times New Roman" w:eastAsia="仿宋_GB2312"/>
        </w:rPr>
        <w:instrText xml:space="preserve"> HYPERLINK \l _Toc765072476 </w:instrText>
      </w:r>
      <w:r>
        <w:rPr>
          <w:rFonts w:ascii="Times New Roman" w:hAnsi="Times New Roman" w:eastAsia="仿宋_GB2312"/>
        </w:rPr>
        <w:fldChar w:fldCharType="separate"/>
      </w:r>
      <w:r>
        <w:rPr>
          <w:rFonts w:ascii="黑体" w:hAnsi="黑体" w:eastAsia="黑体"/>
        </w:rPr>
        <w:t>一、项目背景与现状</w:t>
      </w:r>
      <w:r>
        <w:tab/>
      </w:r>
      <w:r>
        <w:fldChar w:fldCharType="begin"/>
      </w:r>
      <w:r>
        <w:instrText xml:space="preserve"> PAGEREF _Toc765072476 \h </w:instrText>
      </w:r>
      <w:r>
        <w:fldChar w:fldCharType="separate"/>
      </w:r>
      <w:r>
        <w:t>5</w:t>
      </w:r>
      <w:r>
        <w:fldChar w:fldCharType="end"/>
      </w:r>
      <w:r>
        <w:rPr>
          <w:rFonts w:ascii="Times New Roman" w:hAnsi="Times New Roman" w:eastAsia="仿宋_GB2312"/>
        </w:rPr>
        <w:fldChar w:fldCharType="end"/>
      </w:r>
    </w:p>
    <w:p w14:paraId="54D824F0">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_Toc1588509543 </w:instrText>
      </w:r>
      <w:r>
        <w:rPr>
          <w:rFonts w:ascii="Times New Roman" w:hAnsi="Times New Roman" w:eastAsia="仿宋_GB2312"/>
        </w:rPr>
        <w:fldChar w:fldCharType="separate"/>
      </w:r>
      <w:r>
        <w:rPr>
          <w:rFonts w:ascii="Times New Roman" w:hAnsi="Times New Roman" w:eastAsia="楷体_GB2312"/>
        </w:rPr>
        <w:t>1.1 项目背景</w:t>
      </w:r>
      <w:r>
        <w:tab/>
      </w:r>
      <w:r>
        <w:fldChar w:fldCharType="begin"/>
      </w:r>
      <w:r>
        <w:instrText xml:space="preserve"> PAGEREF _Toc1588509543 \h </w:instrText>
      </w:r>
      <w:r>
        <w:fldChar w:fldCharType="separate"/>
      </w:r>
      <w:r>
        <w:t>5</w:t>
      </w:r>
      <w:r>
        <w:fldChar w:fldCharType="end"/>
      </w:r>
      <w:r>
        <w:rPr>
          <w:rFonts w:ascii="Times New Roman" w:hAnsi="Times New Roman" w:eastAsia="仿宋_GB2312"/>
        </w:rPr>
        <w:fldChar w:fldCharType="end"/>
      </w:r>
    </w:p>
    <w:p w14:paraId="4A8A1E2A">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_Toc563189697 </w:instrText>
      </w:r>
      <w:r>
        <w:rPr>
          <w:rFonts w:ascii="Times New Roman" w:hAnsi="Times New Roman" w:eastAsia="仿宋_GB2312"/>
        </w:rPr>
        <w:fldChar w:fldCharType="separate"/>
      </w:r>
      <w:r>
        <w:rPr>
          <w:rFonts w:ascii="Times New Roman" w:hAnsi="Times New Roman" w:eastAsia="楷体_GB2312"/>
        </w:rPr>
        <w:t>1.2 现有软件系统资产与核心痛点</w:t>
      </w:r>
      <w:r>
        <w:tab/>
      </w:r>
      <w:r>
        <w:fldChar w:fldCharType="begin"/>
      </w:r>
      <w:r>
        <w:instrText xml:space="preserve"> PAGEREF _Toc563189697 \h </w:instrText>
      </w:r>
      <w:r>
        <w:fldChar w:fldCharType="separate"/>
      </w:r>
      <w:r>
        <w:t>5</w:t>
      </w:r>
      <w:r>
        <w:fldChar w:fldCharType="end"/>
      </w:r>
      <w:r>
        <w:rPr>
          <w:rFonts w:ascii="Times New Roman" w:hAnsi="Times New Roman" w:eastAsia="仿宋_GB2312"/>
        </w:rPr>
        <w:fldChar w:fldCharType="end"/>
      </w:r>
    </w:p>
    <w:p w14:paraId="02331686">
      <w:pPr>
        <w:pStyle w:val="24"/>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_Toc1568805150 </w:instrText>
      </w:r>
      <w:r>
        <w:rPr>
          <w:rFonts w:ascii="Times New Roman" w:hAnsi="Times New Roman" w:eastAsia="仿宋_GB2312"/>
        </w:rPr>
        <w:fldChar w:fldCharType="separate"/>
      </w:r>
      <w:r>
        <w:rPr>
          <w:rFonts w:ascii="Times New Roman" w:hAnsi="Times New Roman" w:eastAsia="仿宋_GB2312"/>
        </w:rPr>
        <w:t>1.2.1 代码仓库规模与构成</w:t>
      </w:r>
      <w:r>
        <w:tab/>
      </w:r>
      <w:r>
        <w:fldChar w:fldCharType="begin"/>
      </w:r>
      <w:r>
        <w:instrText xml:space="preserve"> PAGEREF _Toc1568805150 \h </w:instrText>
      </w:r>
      <w:r>
        <w:fldChar w:fldCharType="separate"/>
      </w:r>
      <w:r>
        <w:t>5</w:t>
      </w:r>
      <w:r>
        <w:fldChar w:fldCharType="end"/>
      </w:r>
      <w:r>
        <w:rPr>
          <w:rFonts w:ascii="Times New Roman" w:hAnsi="Times New Roman" w:eastAsia="仿宋_GB2312"/>
        </w:rPr>
        <w:fldChar w:fldCharType="end"/>
      </w:r>
    </w:p>
    <w:p w14:paraId="15A3364C">
      <w:pPr>
        <w:pStyle w:val="24"/>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_Toc103938184 </w:instrText>
      </w:r>
      <w:r>
        <w:rPr>
          <w:rFonts w:ascii="Times New Roman" w:hAnsi="Times New Roman" w:eastAsia="仿宋_GB2312"/>
        </w:rPr>
        <w:fldChar w:fldCharType="separate"/>
      </w:r>
      <w:r>
        <w:rPr>
          <w:rFonts w:ascii="Times New Roman" w:hAnsi="Times New Roman" w:eastAsia="仿宋_GB2312"/>
        </w:rPr>
        <w:t>1.2.2 Android终端软件现状</w:t>
      </w:r>
      <w:r>
        <w:tab/>
      </w:r>
      <w:r>
        <w:fldChar w:fldCharType="begin"/>
      </w:r>
      <w:r>
        <w:instrText xml:space="preserve"> PAGEREF _Toc103938184 \h </w:instrText>
      </w:r>
      <w:r>
        <w:fldChar w:fldCharType="separate"/>
      </w:r>
      <w:r>
        <w:t>6</w:t>
      </w:r>
      <w:r>
        <w:fldChar w:fldCharType="end"/>
      </w:r>
      <w:r>
        <w:rPr>
          <w:rFonts w:ascii="Times New Roman" w:hAnsi="Times New Roman" w:eastAsia="仿宋_GB2312"/>
        </w:rPr>
        <w:fldChar w:fldCharType="end"/>
      </w:r>
    </w:p>
    <w:p w14:paraId="0D76898B">
      <w:pPr>
        <w:pStyle w:val="24"/>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_Toc984853477 </w:instrText>
      </w:r>
      <w:r>
        <w:rPr>
          <w:rFonts w:ascii="Times New Roman" w:hAnsi="Times New Roman" w:eastAsia="仿宋_GB2312"/>
        </w:rPr>
        <w:fldChar w:fldCharType="separate"/>
      </w:r>
      <w:r>
        <w:rPr>
          <w:rFonts w:ascii="Times New Roman" w:hAnsi="Times New Roman" w:eastAsia="仿宋_GB2312"/>
        </w:rPr>
        <w:t>1.2.3 EPG前端软件现状</w:t>
      </w:r>
      <w:r>
        <w:tab/>
      </w:r>
      <w:r>
        <w:fldChar w:fldCharType="begin"/>
      </w:r>
      <w:r>
        <w:instrText xml:space="preserve"> PAGEREF _Toc984853477 \h </w:instrText>
      </w:r>
      <w:r>
        <w:fldChar w:fldCharType="separate"/>
      </w:r>
      <w:r>
        <w:t>6</w:t>
      </w:r>
      <w:r>
        <w:fldChar w:fldCharType="end"/>
      </w:r>
      <w:r>
        <w:rPr>
          <w:rFonts w:ascii="Times New Roman" w:hAnsi="Times New Roman" w:eastAsia="仿宋_GB2312"/>
        </w:rPr>
        <w:fldChar w:fldCharType="end"/>
      </w:r>
    </w:p>
    <w:p w14:paraId="42DAC327">
      <w:pPr>
        <w:pStyle w:val="24"/>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_Toc1775920510 </w:instrText>
      </w:r>
      <w:r>
        <w:rPr>
          <w:rFonts w:ascii="Times New Roman" w:hAnsi="Times New Roman" w:eastAsia="仿宋_GB2312"/>
        </w:rPr>
        <w:fldChar w:fldCharType="separate"/>
      </w:r>
      <w:r>
        <w:rPr>
          <w:rFonts w:ascii="Times New Roman" w:hAnsi="Times New Roman" w:eastAsia="仿宋_GB2312"/>
        </w:rPr>
        <w:t>1.2.4 工程化建设现状</w:t>
      </w:r>
      <w:r>
        <w:tab/>
      </w:r>
      <w:r>
        <w:fldChar w:fldCharType="begin"/>
      </w:r>
      <w:r>
        <w:instrText xml:space="preserve"> PAGEREF _Toc1775920510 \h </w:instrText>
      </w:r>
      <w:r>
        <w:fldChar w:fldCharType="separate"/>
      </w:r>
      <w:r>
        <w:t>7</w:t>
      </w:r>
      <w:r>
        <w:fldChar w:fldCharType="end"/>
      </w:r>
      <w:r>
        <w:rPr>
          <w:rFonts w:ascii="Times New Roman" w:hAnsi="Times New Roman" w:eastAsia="仿宋_GB2312"/>
        </w:rPr>
        <w:fldChar w:fldCharType="end"/>
      </w:r>
    </w:p>
    <w:p w14:paraId="2B5768BE">
      <w:pPr>
        <w:pStyle w:val="24"/>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_Toc20801917 </w:instrText>
      </w:r>
      <w:r>
        <w:rPr>
          <w:rFonts w:ascii="Times New Roman" w:hAnsi="Times New Roman" w:eastAsia="仿宋_GB2312"/>
        </w:rPr>
        <w:fldChar w:fldCharType="separate"/>
      </w:r>
      <w:r>
        <w:rPr>
          <w:rFonts w:ascii="Times New Roman" w:hAnsi="Times New Roman" w:eastAsia="仿宋_GB2312"/>
        </w:rPr>
        <w:t>1.2.5 核心挑战</w:t>
      </w:r>
      <w:r>
        <w:tab/>
      </w:r>
      <w:r>
        <w:fldChar w:fldCharType="begin"/>
      </w:r>
      <w:r>
        <w:instrText xml:space="preserve"> PAGEREF _Toc20801917 \h </w:instrText>
      </w:r>
      <w:r>
        <w:fldChar w:fldCharType="separate"/>
      </w:r>
      <w:r>
        <w:t>7</w:t>
      </w:r>
      <w:r>
        <w:fldChar w:fldCharType="end"/>
      </w:r>
      <w:r>
        <w:rPr>
          <w:rFonts w:ascii="Times New Roman" w:hAnsi="Times New Roman" w:eastAsia="仿宋_GB2312"/>
        </w:rPr>
        <w:fldChar w:fldCharType="end"/>
      </w:r>
    </w:p>
    <w:p w14:paraId="4D387754">
      <w:pPr>
        <w:pStyle w:val="27"/>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_Toc1725468205 </w:instrText>
      </w:r>
      <w:r>
        <w:rPr>
          <w:rFonts w:ascii="Times New Roman" w:hAnsi="Times New Roman" w:eastAsia="仿宋_GB2312"/>
        </w:rPr>
        <w:fldChar w:fldCharType="separate"/>
      </w:r>
      <w:r>
        <w:rPr>
          <w:rFonts w:ascii="黑体" w:hAnsi="黑体" w:eastAsia="黑体"/>
        </w:rPr>
        <w:t>二、总体任务与开发目标</w:t>
      </w:r>
      <w:r>
        <w:tab/>
      </w:r>
      <w:r>
        <w:fldChar w:fldCharType="begin"/>
      </w:r>
      <w:r>
        <w:instrText xml:space="preserve"> PAGEREF _Toc1725468205 \h </w:instrText>
      </w:r>
      <w:r>
        <w:fldChar w:fldCharType="separate"/>
      </w:r>
      <w:r>
        <w:t>7</w:t>
      </w:r>
      <w:r>
        <w:fldChar w:fldCharType="end"/>
      </w:r>
      <w:r>
        <w:rPr>
          <w:rFonts w:ascii="Times New Roman" w:hAnsi="Times New Roman" w:eastAsia="仿宋_GB2312"/>
        </w:rPr>
        <w:fldChar w:fldCharType="end"/>
      </w:r>
    </w:p>
    <w:p w14:paraId="1076EBE8">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_Toc324952347 </w:instrText>
      </w:r>
      <w:r>
        <w:rPr>
          <w:rFonts w:ascii="Times New Roman" w:hAnsi="Times New Roman" w:eastAsia="仿宋_GB2312"/>
        </w:rPr>
        <w:fldChar w:fldCharType="separate"/>
      </w:r>
      <w:r>
        <w:rPr>
          <w:rFonts w:ascii="Times New Roman" w:hAnsi="Times New Roman" w:eastAsia="楷体_GB2312"/>
        </w:rPr>
        <w:t>2.1 总体目标</w:t>
      </w:r>
      <w:r>
        <w:tab/>
      </w:r>
      <w:r>
        <w:fldChar w:fldCharType="begin"/>
      </w:r>
      <w:r>
        <w:instrText xml:space="preserve"> PAGEREF _Toc324952347 \h </w:instrText>
      </w:r>
      <w:r>
        <w:fldChar w:fldCharType="separate"/>
      </w:r>
      <w:r>
        <w:t>7</w:t>
      </w:r>
      <w:r>
        <w:fldChar w:fldCharType="end"/>
      </w:r>
      <w:r>
        <w:rPr>
          <w:rFonts w:ascii="Times New Roman" w:hAnsi="Times New Roman" w:eastAsia="仿宋_GB2312"/>
        </w:rPr>
        <w:fldChar w:fldCharType="end"/>
      </w:r>
    </w:p>
    <w:p w14:paraId="75813BAA">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_Toc423181708 </w:instrText>
      </w:r>
      <w:r>
        <w:rPr>
          <w:rFonts w:ascii="Times New Roman" w:hAnsi="Times New Roman" w:eastAsia="仿宋_GB2312"/>
        </w:rPr>
        <w:fldChar w:fldCharType="separate"/>
      </w:r>
      <w:r>
        <w:rPr>
          <w:rFonts w:ascii="Times New Roman" w:hAnsi="Times New Roman" w:eastAsia="楷体_GB2312"/>
        </w:rPr>
        <w:t>2.2 架构升级与平台化核心目标</w:t>
      </w:r>
      <w:r>
        <w:tab/>
      </w:r>
      <w:r>
        <w:fldChar w:fldCharType="begin"/>
      </w:r>
      <w:r>
        <w:instrText xml:space="preserve"> PAGEREF _Toc423181708 \h </w:instrText>
      </w:r>
      <w:r>
        <w:fldChar w:fldCharType="separate"/>
      </w:r>
      <w:r>
        <w:t>8</w:t>
      </w:r>
      <w:r>
        <w:fldChar w:fldCharType="end"/>
      </w:r>
      <w:r>
        <w:rPr>
          <w:rFonts w:ascii="Times New Roman" w:hAnsi="Times New Roman" w:eastAsia="仿宋_GB2312"/>
        </w:rPr>
        <w:fldChar w:fldCharType="end"/>
      </w:r>
    </w:p>
    <w:p w14:paraId="007414F8">
      <w:pPr>
        <w:pStyle w:val="27"/>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_Toc2096611139 </w:instrText>
      </w:r>
      <w:r>
        <w:rPr>
          <w:rFonts w:ascii="Times New Roman" w:hAnsi="Times New Roman" w:eastAsia="仿宋_GB2312"/>
        </w:rPr>
        <w:fldChar w:fldCharType="separate"/>
      </w:r>
      <w:r>
        <w:rPr>
          <w:rFonts w:ascii="黑体" w:hAnsi="黑体" w:eastAsia="黑体"/>
        </w:rPr>
        <w:t>三、详细软件开发范围与需求说明</w:t>
      </w:r>
      <w:r>
        <w:tab/>
      </w:r>
      <w:r>
        <w:fldChar w:fldCharType="begin"/>
      </w:r>
      <w:r>
        <w:instrText xml:space="preserve"> PAGEREF _Toc2096611139 \h </w:instrText>
      </w:r>
      <w:r>
        <w:fldChar w:fldCharType="separate"/>
      </w:r>
      <w:r>
        <w:t>9</w:t>
      </w:r>
      <w:r>
        <w:fldChar w:fldCharType="end"/>
      </w:r>
      <w:r>
        <w:rPr>
          <w:rFonts w:ascii="Times New Roman" w:hAnsi="Times New Roman" w:eastAsia="仿宋_GB2312"/>
        </w:rPr>
        <w:fldChar w:fldCharType="end"/>
      </w:r>
    </w:p>
    <w:p w14:paraId="4D578CB9">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_Toc1831733197 </w:instrText>
      </w:r>
      <w:r>
        <w:rPr>
          <w:rFonts w:ascii="Times New Roman" w:hAnsi="Times New Roman" w:eastAsia="仿宋_GB2312"/>
        </w:rPr>
        <w:fldChar w:fldCharType="separate"/>
      </w:r>
      <w:r>
        <w:rPr>
          <w:rFonts w:ascii="Times New Roman" w:hAnsi="Times New Roman" w:eastAsia="楷体_GB2312"/>
        </w:rPr>
        <w:t>3.1 Android终端平台架构升级与仓库归并开发</w:t>
      </w:r>
      <w:r>
        <w:tab/>
      </w:r>
      <w:r>
        <w:fldChar w:fldCharType="begin"/>
      </w:r>
      <w:r>
        <w:instrText xml:space="preserve"> PAGEREF _Toc1831733197 \h </w:instrText>
      </w:r>
      <w:r>
        <w:fldChar w:fldCharType="separate"/>
      </w:r>
      <w:r>
        <w:t>9</w:t>
      </w:r>
      <w:r>
        <w:fldChar w:fldCharType="end"/>
      </w:r>
      <w:r>
        <w:rPr>
          <w:rFonts w:ascii="Times New Roman" w:hAnsi="Times New Roman" w:eastAsia="仿宋_GB2312"/>
        </w:rPr>
        <w:fldChar w:fldCharType="end"/>
      </w:r>
    </w:p>
    <w:p w14:paraId="0AF0C523">
      <w:pPr>
        <w:pStyle w:val="24"/>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_Toc1761762234 </w:instrText>
      </w:r>
      <w:r>
        <w:rPr>
          <w:rFonts w:ascii="Times New Roman" w:hAnsi="Times New Roman" w:eastAsia="仿宋_GB2312"/>
        </w:rPr>
        <w:fldChar w:fldCharType="separate"/>
      </w:r>
      <w:r>
        <w:rPr>
          <w:rFonts w:ascii="Times New Roman" w:hAnsi="Times New Roman" w:eastAsia="仿宋_GB2312"/>
        </w:rPr>
        <w:t>3.1.1 架构设计与基线确立</w:t>
      </w:r>
      <w:r>
        <w:tab/>
      </w:r>
      <w:r>
        <w:fldChar w:fldCharType="begin"/>
      </w:r>
      <w:r>
        <w:instrText xml:space="preserve"> PAGEREF _Toc1761762234 \h </w:instrText>
      </w:r>
      <w:r>
        <w:fldChar w:fldCharType="separate"/>
      </w:r>
      <w:r>
        <w:t>9</w:t>
      </w:r>
      <w:r>
        <w:fldChar w:fldCharType="end"/>
      </w:r>
      <w:r>
        <w:rPr>
          <w:rFonts w:ascii="Times New Roman" w:hAnsi="Times New Roman" w:eastAsia="仿宋_GB2312"/>
        </w:rPr>
        <w:fldChar w:fldCharType="end"/>
      </w:r>
    </w:p>
    <w:p w14:paraId="6B3090C5">
      <w:pPr>
        <w:pStyle w:val="24"/>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_Toc433342002 </w:instrText>
      </w:r>
      <w:r>
        <w:rPr>
          <w:rFonts w:ascii="Times New Roman" w:hAnsi="Times New Roman" w:eastAsia="仿宋_GB2312"/>
        </w:rPr>
        <w:fldChar w:fldCharType="separate"/>
      </w:r>
      <w:r>
        <w:rPr>
          <w:rFonts w:ascii="Times New Roman" w:hAnsi="Times New Roman" w:eastAsia="仿宋_GB2312"/>
        </w:rPr>
        <w:t>3.1.2 基础组件层重构开发（接口先行，性能优先）</w:t>
      </w:r>
      <w:r>
        <w:tab/>
      </w:r>
      <w:r>
        <w:fldChar w:fldCharType="begin"/>
      </w:r>
      <w:r>
        <w:instrText xml:space="preserve"> PAGEREF _Toc433342002 \h </w:instrText>
      </w:r>
      <w:r>
        <w:fldChar w:fldCharType="separate"/>
      </w:r>
      <w:r>
        <w:t>10</w:t>
      </w:r>
      <w:r>
        <w:fldChar w:fldCharType="end"/>
      </w:r>
      <w:r>
        <w:rPr>
          <w:rFonts w:ascii="Times New Roman" w:hAnsi="Times New Roman" w:eastAsia="仿宋_GB2312"/>
        </w:rPr>
        <w:fldChar w:fldCharType="end"/>
      </w:r>
    </w:p>
    <w:p w14:paraId="15CAE653">
      <w:pPr>
        <w:pStyle w:val="24"/>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_Toc1061980637 </w:instrText>
      </w:r>
      <w:r>
        <w:rPr>
          <w:rFonts w:ascii="Times New Roman" w:hAnsi="Times New Roman" w:eastAsia="仿宋_GB2312"/>
        </w:rPr>
        <w:fldChar w:fldCharType="separate"/>
      </w:r>
      <w:r>
        <w:rPr>
          <w:rFonts w:ascii="Times New Roman" w:hAnsi="Times New Roman" w:eastAsia="仿宋_GB2312"/>
        </w:rPr>
        <w:t>3.1.3 业务组件抽象与多渠道工程搭建</w:t>
      </w:r>
      <w:r>
        <w:tab/>
      </w:r>
      <w:r>
        <w:fldChar w:fldCharType="begin"/>
      </w:r>
      <w:r>
        <w:instrText xml:space="preserve"> PAGEREF _Toc1061980637 \h </w:instrText>
      </w:r>
      <w:r>
        <w:fldChar w:fldCharType="separate"/>
      </w:r>
      <w:r>
        <w:t>11</w:t>
      </w:r>
      <w:r>
        <w:fldChar w:fldCharType="end"/>
      </w:r>
      <w:r>
        <w:rPr>
          <w:rFonts w:ascii="Times New Roman" w:hAnsi="Times New Roman" w:eastAsia="仿宋_GB2312"/>
        </w:rPr>
        <w:fldChar w:fldCharType="end"/>
      </w:r>
    </w:p>
    <w:p w14:paraId="3AF5322A">
      <w:pPr>
        <w:pStyle w:val="24"/>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_Toc971975842 </w:instrText>
      </w:r>
      <w:r>
        <w:rPr>
          <w:rFonts w:ascii="Times New Roman" w:hAnsi="Times New Roman" w:eastAsia="仿宋_GB2312"/>
        </w:rPr>
        <w:fldChar w:fldCharType="separate"/>
      </w:r>
      <w:r>
        <w:rPr>
          <w:rFonts w:ascii="Times New Roman" w:hAnsi="Times New Roman" w:eastAsia="仿宋_GB2312"/>
        </w:rPr>
        <w:t>3.1.4 仓库收敛开发执行</w:t>
      </w:r>
      <w:r>
        <w:tab/>
      </w:r>
      <w:r>
        <w:fldChar w:fldCharType="begin"/>
      </w:r>
      <w:r>
        <w:instrText xml:space="preserve"> PAGEREF _Toc971975842 \h </w:instrText>
      </w:r>
      <w:r>
        <w:fldChar w:fldCharType="separate"/>
      </w:r>
      <w:r>
        <w:t>11</w:t>
      </w:r>
      <w:r>
        <w:fldChar w:fldCharType="end"/>
      </w:r>
      <w:r>
        <w:rPr>
          <w:rFonts w:ascii="Times New Roman" w:hAnsi="Times New Roman" w:eastAsia="仿宋_GB2312"/>
        </w:rPr>
        <w:fldChar w:fldCharType="end"/>
      </w:r>
    </w:p>
    <w:p w14:paraId="734239AD">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_Toc89873765 </w:instrText>
      </w:r>
      <w:r>
        <w:rPr>
          <w:rFonts w:ascii="Times New Roman" w:hAnsi="Times New Roman" w:eastAsia="仿宋_GB2312"/>
        </w:rPr>
        <w:fldChar w:fldCharType="separate"/>
      </w:r>
      <w:r>
        <w:rPr>
          <w:rFonts w:ascii="Times New Roman" w:hAnsi="Times New Roman" w:eastAsia="楷体_GB2312"/>
        </w:rPr>
        <w:t>3.2 核心业务省份终端产品功能重大开发</w:t>
      </w:r>
      <w:r>
        <w:tab/>
      </w:r>
      <w:r>
        <w:fldChar w:fldCharType="begin"/>
      </w:r>
      <w:r>
        <w:instrText xml:space="preserve"> PAGEREF _Toc89873765 \h </w:instrText>
      </w:r>
      <w:r>
        <w:fldChar w:fldCharType="separate"/>
      </w:r>
      <w:r>
        <w:t>12</w:t>
      </w:r>
      <w:r>
        <w:fldChar w:fldCharType="end"/>
      </w:r>
      <w:r>
        <w:rPr>
          <w:rFonts w:ascii="Times New Roman" w:hAnsi="Times New Roman" w:eastAsia="仿宋_GB2312"/>
        </w:rPr>
        <w:fldChar w:fldCharType="end"/>
      </w:r>
    </w:p>
    <w:p w14:paraId="6ED0463A">
      <w:pPr>
        <w:pStyle w:val="24"/>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_Toc827364514 </w:instrText>
      </w:r>
      <w:r>
        <w:rPr>
          <w:rFonts w:ascii="Times New Roman" w:hAnsi="Times New Roman" w:eastAsia="仿宋_GB2312"/>
        </w:rPr>
        <w:fldChar w:fldCharType="separate"/>
      </w:r>
      <w:r>
        <w:rPr>
          <w:rFonts w:ascii="Times New Roman" w:hAnsi="Times New Roman" w:eastAsia="仿宋_GB2312"/>
        </w:rPr>
        <w:t>3.2.1 渐进式开发与上线策略</w:t>
      </w:r>
      <w:r>
        <w:tab/>
      </w:r>
      <w:r>
        <w:fldChar w:fldCharType="begin"/>
      </w:r>
      <w:r>
        <w:instrText xml:space="preserve"> PAGEREF _Toc827364514 \h </w:instrText>
      </w:r>
      <w:r>
        <w:fldChar w:fldCharType="separate"/>
      </w:r>
      <w:r>
        <w:t>12</w:t>
      </w:r>
      <w:r>
        <w:fldChar w:fldCharType="end"/>
      </w:r>
      <w:r>
        <w:rPr>
          <w:rFonts w:ascii="Times New Roman" w:hAnsi="Times New Roman" w:eastAsia="仿宋_GB2312"/>
        </w:rPr>
        <w:fldChar w:fldCharType="end"/>
      </w:r>
    </w:p>
    <w:p w14:paraId="6488C0E0">
      <w:pPr>
        <w:pStyle w:val="24"/>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_Toc558772473 </w:instrText>
      </w:r>
      <w:r>
        <w:rPr>
          <w:rFonts w:ascii="Times New Roman" w:hAnsi="Times New Roman" w:eastAsia="仿宋_GB2312"/>
        </w:rPr>
        <w:fldChar w:fldCharType="separate"/>
      </w:r>
      <w:r>
        <w:rPr>
          <w:rFonts w:ascii="Times New Roman" w:hAnsi="Times New Roman" w:eastAsia="仿宋_GB2312"/>
        </w:rPr>
        <w:t>3.2.2 技术要求</w:t>
      </w:r>
      <w:r>
        <w:tab/>
      </w:r>
      <w:r>
        <w:fldChar w:fldCharType="begin"/>
      </w:r>
      <w:r>
        <w:instrText xml:space="preserve"> PAGEREF _Toc558772473 \h </w:instrText>
      </w:r>
      <w:r>
        <w:fldChar w:fldCharType="separate"/>
      </w:r>
      <w:r>
        <w:t>12</w:t>
      </w:r>
      <w:r>
        <w:fldChar w:fldCharType="end"/>
      </w:r>
      <w:r>
        <w:rPr>
          <w:rFonts w:ascii="Times New Roman" w:hAnsi="Times New Roman" w:eastAsia="仿宋_GB2312"/>
        </w:rPr>
        <w:fldChar w:fldCharType="end"/>
      </w:r>
    </w:p>
    <w:p w14:paraId="5AB83EC6">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_Toc342965380 </w:instrText>
      </w:r>
      <w:r>
        <w:rPr>
          <w:rFonts w:ascii="Times New Roman" w:hAnsi="Times New Roman" w:eastAsia="仿宋_GB2312"/>
        </w:rPr>
        <w:fldChar w:fldCharType="separate"/>
      </w:r>
      <w:r>
        <w:rPr>
          <w:rFonts w:ascii="Times New Roman" w:hAnsi="Times New Roman" w:eastAsia="楷体_GB2312"/>
        </w:rPr>
        <w:t>3.3 EPG前端平台现代化改造开发</w:t>
      </w:r>
      <w:r>
        <w:tab/>
      </w:r>
      <w:r>
        <w:fldChar w:fldCharType="begin"/>
      </w:r>
      <w:r>
        <w:instrText xml:space="preserve"> PAGEREF _Toc342965380 \h </w:instrText>
      </w:r>
      <w:r>
        <w:fldChar w:fldCharType="separate"/>
      </w:r>
      <w:r>
        <w:t>13</w:t>
      </w:r>
      <w:r>
        <w:fldChar w:fldCharType="end"/>
      </w:r>
      <w:r>
        <w:rPr>
          <w:rFonts w:ascii="Times New Roman" w:hAnsi="Times New Roman" w:eastAsia="仿宋_GB2312"/>
        </w:rPr>
        <w:fldChar w:fldCharType="end"/>
      </w:r>
    </w:p>
    <w:p w14:paraId="0FA54834">
      <w:pPr>
        <w:pStyle w:val="24"/>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_Toc373033112 </w:instrText>
      </w:r>
      <w:r>
        <w:rPr>
          <w:rFonts w:ascii="Times New Roman" w:hAnsi="Times New Roman" w:eastAsia="仿宋_GB2312"/>
        </w:rPr>
        <w:fldChar w:fldCharType="separate"/>
      </w:r>
      <w:r>
        <w:rPr>
          <w:rFonts w:ascii="Times New Roman" w:hAnsi="Times New Roman" w:eastAsia="仿宋_GB2312"/>
        </w:rPr>
        <w:t>3.3.1 已完成渠道的验收与性能优化开发</w:t>
      </w:r>
      <w:r>
        <w:tab/>
      </w:r>
      <w:r>
        <w:fldChar w:fldCharType="begin"/>
      </w:r>
      <w:r>
        <w:instrText xml:space="preserve"> PAGEREF _Toc373033112 \h </w:instrText>
      </w:r>
      <w:r>
        <w:fldChar w:fldCharType="separate"/>
      </w:r>
      <w:r>
        <w:t>13</w:t>
      </w:r>
      <w:r>
        <w:fldChar w:fldCharType="end"/>
      </w:r>
      <w:r>
        <w:rPr>
          <w:rFonts w:ascii="Times New Roman" w:hAnsi="Times New Roman" w:eastAsia="仿宋_GB2312"/>
        </w:rPr>
        <w:fldChar w:fldCharType="end"/>
      </w:r>
    </w:p>
    <w:p w14:paraId="34AF6BDB">
      <w:pPr>
        <w:pStyle w:val="24"/>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_Toc1062747791 </w:instrText>
      </w:r>
      <w:r>
        <w:rPr>
          <w:rFonts w:ascii="Times New Roman" w:hAnsi="Times New Roman" w:eastAsia="仿宋_GB2312"/>
        </w:rPr>
        <w:fldChar w:fldCharType="separate"/>
      </w:r>
      <w:r>
        <w:rPr>
          <w:rFonts w:ascii="Times New Roman" w:hAnsi="Times New Roman" w:eastAsia="仿宋_GB2312"/>
        </w:rPr>
        <w:t>3.3.2 兼容性保障开发</w:t>
      </w:r>
      <w:r>
        <w:tab/>
      </w:r>
      <w:r>
        <w:fldChar w:fldCharType="begin"/>
      </w:r>
      <w:r>
        <w:instrText xml:space="preserve"> PAGEREF _Toc1062747791 \h </w:instrText>
      </w:r>
      <w:r>
        <w:fldChar w:fldCharType="separate"/>
      </w:r>
      <w:r>
        <w:t>14</w:t>
      </w:r>
      <w:r>
        <w:fldChar w:fldCharType="end"/>
      </w:r>
      <w:r>
        <w:rPr>
          <w:rFonts w:ascii="Times New Roman" w:hAnsi="Times New Roman" w:eastAsia="仿宋_GB2312"/>
        </w:rPr>
        <w:fldChar w:fldCharType="end"/>
      </w:r>
    </w:p>
    <w:p w14:paraId="4EC79C1B">
      <w:pPr>
        <w:pStyle w:val="24"/>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_Toc980631238 </w:instrText>
      </w:r>
      <w:r>
        <w:rPr>
          <w:rFonts w:ascii="Times New Roman" w:hAnsi="Times New Roman" w:eastAsia="仿宋_GB2312"/>
        </w:rPr>
        <w:fldChar w:fldCharType="separate"/>
      </w:r>
      <w:r>
        <w:rPr>
          <w:rFonts w:ascii="Times New Roman" w:hAnsi="Times New Roman" w:eastAsia="仿宋_GB2312"/>
        </w:rPr>
        <w:t>3.3.3 剩余渠道的迁移开发与仓库合并</w:t>
      </w:r>
      <w:r>
        <w:tab/>
      </w:r>
      <w:r>
        <w:fldChar w:fldCharType="begin"/>
      </w:r>
      <w:r>
        <w:instrText xml:space="preserve"> PAGEREF _Toc980631238 \h </w:instrText>
      </w:r>
      <w:r>
        <w:fldChar w:fldCharType="separate"/>
      </w:r>
      <w:r>
        <w:t>14</w:t>
      </w:r>
      <w:r>
        <w:fldChar w:fldCharType="end"/>
      </w:r>
      <w:r>
        <w:rPr>
          <w:rFonts w:ascii="Times New Roman" w:hAnsi="Times New Roman" w:eastAsia="仿宋_GB2312"/>
        </w:rPr>
        <w:fldChar w:fldCharType="end"/>
      </w:r>
    </w:p>
    <w:p w14:paraId="536291DC">
      <w:pPr>
        <w:pStyle w:val="24"/>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_Toc1679709988 </w:instrText>
      </w:r>
      <w:r>
        <w:rPr>
          <w:rFonts w:ascii="Times New Roman" w:hAnsi="Times New Roman" w:eastAsia="仿宋_GB2312"/>
        </w:rPr>
        <w:fldChar w:fldCharType="separate"/>
      </w:r>
      <w:r>
        <w:rPr>
          <w:rFonts w:ascii="Times New Roman" w:hAnsi="Times New Roman" w:eastAsia="仿宋_GB2312"/>
        </w:rPr>
        <w:t>3.3.4 日常维护开发</w:t>
      </w:r>
      <w:r>
        <w:tab/>
      </w:r>
      <w:r>
        <w:fldChar w:fldCharType="begin"/>
      </w:r>
      <w:r>
        <w:instrText xml:space="preserve"> PAGEREF _Toc1679709988 \h </w:instrText>
      </w:r>
      <w:r>
        <w:fldChar w:fldCharType="separate"/>
      </w:r>
      <w:r>
        <w:t>14</w:t>
      </w:r>
      <w:r>
        <w:fldChar w:fldCharType="end"/>
      </w:r>
      <w:r>
        <w:rPr>
          <w:rFonts w:ascii="Times New Roman" w:hAnsi="Times New Roman" w:eastAsia="仿宋_GB2312"/>
        </w:rPr>
        <w:fldChar w:fldCharType="end"/>
      </w:r>
    </w:p>
    <w:p w14:paraId="41C01358">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_Toc65744854 </w:instrText>
      </w:r>
      <w:r>
        <w:rPr>
          <w:rFonts w:ascii="Times New Roman" w:hAnsi="Times New Roman" w:eastAsia="仿宋_GB2312"/>
        </w:rPr>
        <w:fldChar w:fldCharType="separate"/>
      </w:r>
      <w:r>
        <w:rPr>
          <w:rFonts w:ascii="Times New Roman" w:hAnsi="Times New Roman" w:eastAsia="楷体_GB2312"/>
        </w:rPr>
        <w:t>3.4 软件工程化体系建设</w:t>
      </w:r>
      <w:r>
        <w:tab/>
      </w:r>
      <w:r>
        <w:fldChar w:fldCharType="begin"/>
      </w:r>
      <w:r>
        <w:instrText xml:space="preserve"> PAGEREF _Toc65744854 \h </w:instrText>
      </w:r>
      <w:r>
        <w:fldChar w:fldCharType="separate"/>
      </w:r>
      <w:r>
        <w:t>14</w:t>
      </w:r>
      <w:r>
        <w:fldChar w:fldCharType="end"/>
      </w:r>
      <w:r>
        <w:rPr>
          <w:rFonts w:ascii="Times New Roman" w:hAnsi="Times New Roman" w:eastAsia="仿宋_GB2312"/>
        </w:rPr>
        <w:fldChar w:fldCharType="end"/>
      </w:r>
    </w:p>
    <w:p w14:paraId="4C39199D">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_Toc1167166620 </w:instrText>
      </w:r>
      <w:r>
        <w:rPr>
          <w:rFonts w:ascii="Times New Roman" w:hAnsi="Times New Roman" w:eastAsia="仿宋_GB2312"/>
        </w:rPr>
        <w:fldChar w:fldCharType="separate"/>
      </w:r>
      <w:r>
        <w:rPr>
          <w:rFonts w:ascii="Times New Roman" w:hAnsi="Times New Roman" w:eastAsia="楷体_GB2312"/>
        </w:rPr>
        <w:t>3.5 遗留软件系统维护开发</w:t>
      </w:r>
      <w:r>
        <w:tab/>
      </w:r>
      <w:r>
        <w:fldChar w:fldCharType="begin"/>
      </w:r>
      <w:r>
        <w:instrText xml:space="preserve"> PAGEREF _Toc1167166620 \h </w:instrText>
      </w:r>
      <w:r>
        <w:fldChar w:fldCharType="separate"/>
      </w:r>
      <w:r>
        <w:t>16</w:t>
      </w:r>
      <w:r>
        <w:fldChar w:fldCharType="end"/>
      </w:r>
      <w:r>
        <w:rPr>
          <w:rFonts w:ascii="Times New Roman" w:hAnsi="Times New Roman" w:eastAsia="仿宋_GB2312"/>
        </w:rPr>
        <w:fldChar w:fldCharType="end"/>
      </w:r>
    </w:p>
    <w:p w14:paraId="67436ADF">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_Toc1453750642 </w:instrText>
      </w:r>
      <w:r>
        <w:rPr>
          <w:rFonts w:ascii="Times New Roman" w:hAnsi="Times New Roman" w:eastAsia="仿宋_GB2312"/>
        </w:rPr>
        <w:fldChar w:fldCharType="separate"/>
      </w:r>
      <w:r>
        <w:rPr>
          <w:rFonts w:ascii="Times New Roman" w:hAnsi="Times New Roman" w:eastAsia="楷体_GB2312"/>
        </w:rPr>
        <w:t>3.6 合作平台SDK集成开发</w:t>
      </w:r>
      <w:r>
        <w:tab/>
      </w:r>
      <w:r>
        <w:fldChar w:fldCharType="begin"/>
      </w:r>
      <w:r>
        <w:instrText xml:space="preserve"> PAGEREF _Toc1453750642 \h </w:instrText>
      </w:r>
      <w:r>
        <w:fldChar w:fldCharType="separate"/>
      </w:r>
      <w:r>
        <w:t>16</w:t>
      </w:r>
      <w:r>
        <w:fldChar w:fldCharType="end"/>
      </w:r>
      <w:r>
        <w:rPr>
          <w:rFonts w:ascii="Times New Roman" w:hAnsi="Times New Roman" w:eastAsia="仿宋_GB2312"/>
        </w:rPr>
        <w:fldChar w:fldCharType="end"/>
      </w:r>
    </w:p>
    <w:p w14:paraId="2C5B0D16">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_Toc1265588175 </w:instrText>
      </w:r>
      <w:r>
        <w:rPr>
          <w:rFonts w:ascii="Times New Roman" w:hAnsi="Times New Roman" w:eastAsia="仿宋_GB2312"/>
        </w:rPr>
        <w:fldChar w:fldCharType="separate"/>
      </w:r>
      <w:r>
        <w:rPr>
          <w:rFonts w:ascii="Times New Roman" w:hAnsi="Times New Roman" w:eastAsia="楷体_GB2312"/>
        </w:rPr>
        <w:t>3.7 未预见需求开发预留</w:t>
      </w:r>
      <w:r>
        <w:tab/>
      </w:r>
      <w:r>
        <w:fldChar w:fldCharType="begin"/>
      </w:r>
      <w:r>
        <w:instrText xml:space="preserve"> PAGEREF _Toc1265588175 \h </w:instrText>
      </w:r>
      <w:r>
        <w:fldChar w:fldCharType="separate"/>
      </w:r>
      <w:r>
        <w:t>17</w:t>
      </w:r>
      <w:r>
        <w:fldChar w:fldCharType="end"/>
      </w:r>
      <w:r>
        <w:rPr>
          <w:rFonts w:ascii="Times New Roman" w:hAnsi="Times New Roman" w:eastAsia="仿宋_GB2312"/>
        </w:rPr>
        <w:fldChar w:fldCharType="end"/>
      </w:r>
    </w:p>
    <w:p w14:paraId="6BF1E56C">
      <w:pPr>
        <w:pStyle w:val="27"/>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_Toc2062417337 </w:instrText>
      </w:r>
      <w:r>
        <w:rPr>
          <w:rFonts w:ascii="Times New Roman" w:hAnsi="Times New Roman" w:eastAsia="仿宋_GB2312"/>
        </w:rPr>
        <w:fldChar w:fldCharType="separate"/>
      </w:r>
      <w:r>
        <w:rPr>
          <w:rFonts w:ascii="黑体" w:hAnsi="黑体" w:eastAsia="黑体"/>
        </w:rPr>
        <w:t>四、技术方案要求</w:t>
      </w:r>
      <w:r>
        <w:tab/>
      </w:r>
      <w:r>
        <w:fldChar w:fldCharType="begin"/>
      </w:r>
      <w:r>
        <w:instrText xml:space="preserve"> PAGEREF _Toc2062417337 \h </w:instrText>
      </w:r>
      <w:r>
        <w:fldChar w:fldCharType="separate"/>
      </w:r>
      <w:r>
        <w:t>18</w:t>
      </w:r>
      <w:r>
        <w:fldChar w:fldCharType="end"/>
      </w:r>
      <w:r>
        <w:rPr>
          <w:rFonts w:ascii="Times New Roman" w:hAnsi="Times New Roman" w:eastAsia="仿宋_GB2312"/>
        </w:rPr>
        <w:fldChar w:fldCharType="end"/>
      </w:r>
    </w:p>
    <w:p w14:paraId="7E8D0813">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_Toc514636732 </w:instrText>
      </w:r>
      <w:r>
        <w:rPr>
          <w:rFonts w:ascii="Times New Roman" w:hAnsi="Times New Roman" w:eastAsia="仿宋_GB2312"/>
        </w:rPr>
        <w:fldChar w:fldCharType="separate"/>
      </w:r>
      <w:r>
        <w:rPr>
          <w:rFonts w:ascii="Times New Roman" w:hAnsi="Times New Roman" w:eastAsia="楷体_GB2312"/>
        </w:rPr>
        <w:t>4.1 架构设计原则（目标导向，手段开放）</w:t>
      </w:r>
      <w:r>
        <w:tab/>
      </w:r>
      <w:r>
        <w:fldChar w:fldCharType="begin"/>
      </w:r>
      <w:r>
        <w:instrText xml:space="preserve"> PAGEREF _Toc514636732 \h </w:instrText>
      </w:r>
      <w:r>
        <w:fldChar w:fldCharType="separate"/>
      </w:r>
      <w:r>
        <w:t>18</w:t>
      </w:r>
      <w:r>
        <w:fldChar w:fldCharType="end"/>
      </w:r>
      <w:r>
        <w:rPr>
          <w:rFonts w:ascii="Times New Roman" w:hAnsi="Times New Roman" w:eastAsia="仿宋_GB2312"/>
        </w:rPr>
        <w:fldChar w:fldCharType="end"/>
      </w:r>
    </w:p>
    <w:p w14:paraId="0C0EF729">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_Toc1582908255 </w:instrText>
      </w:r>
      <w:r>
        <w:rPr>
          <w:rFonts w:ascii="Times New Roman" w:hAnsi="Times New Roman" w:eastAsia="仿宋_GB2312"/>
        </w:rPr>
        <w:fldChar w:fldCharType="separate"/>
      </w:r>
      <w:r>
        <w:rPr>
          <w:rFonts w:ascii="Times New Roman" w:hAnsi="Times New Roman" w:eastAsia="楷体_GB2312"/>
        </w:rPr>
        <w:t>4.2 性能优化方向（必须响应）</w:t>
      </w:r>
      <w:r>
        <w:tab/>
      </w:r>
      <w:r>
        <w:fldChar w:fldCharType="begin"/>
      </w:r>
      <w:r>
        <w:instrText xml:space="preserve"> PAGEREF _Toc1582908255 \h </w:instrText>
      </w:r>
      <w:r>
        <w:fldChar w:fldCharType="separate"/>
      </w:r>
      <w:r>
        <w:t>19</w:t>
      </w:r>
      <w:r>
        <w:fldChar w:fldCharType="end"/>
      </w:r>
      <w:r>
        <w:rPr>
          <w:rFonts w:ascii="Times New Roman" w:hAnsi="Times New Roman" w:eastAsia="仿宋_GB2312"/>
        </w:rPr>
        <w:fldChar w:fldCharType="end"/>
      </w:r>
    </w:p>
    <w:p w14:paraId="418B04D0">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_Toc911622749 </w:instrText>
      </w:r>
      <w:r>
        <w:rPr>
          <w:rFonts w:ascii="Times New Roman" w:hAnsi="Times New Roman" w:eastAsia="仿宋_GB2312"/>
        </w:rPr>
        <w:fldChar w:fldCharType="separate"/>
      </w:r>
      <w:r>
        <w:rPr>
          <w:rFonts w:ascii="Times New Roman" w:hAnsi="Times New Roman" w:eastAsia="楷体_GB2312"/>
        </w:rPr>
        <w:t>4.3 多版本兼容关键技术约束</w:t>
      </w:r>
      <w:r>
        <w:tab/>
      </w:r>
      <w:r>
        <w:fldChar w:fldCharType="begin"/>
      </w:r>
      <w:r>
        <w:instrText xml:space="preserve"> PAGEREF _Toc911622749 \h </w:instrText>
      </w:r>
      <w:r>
        <w:fldChar w:fldCharType="separate"/>
      </w:r>
      <w:r>
        <w:t>20</w:t>
      </w:r>
      <w:r>
        <w:fldChar w:fldCharType="end"/>
      </w:r>
      <w:r>
        <w:rPr>
          <w:rFonts w:ascii="Times New Roman" w:hAnsi="Times New Roman" w:eastAsia="仿宋_GB2312"/>
        </w:rPr>
        <w:fldChar w:fldCharType="end"/>
      </w:r>
    </w:p>
    <w:p w14:paraId="50BFDDFE">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_Toc1495204745 </w:instrText>
      </w:r>
      <w:r>
        <w:rPr>
          <w:rFonts w:ascii="Times New Roman" w:hAnsi="Times New Roman" w:eastAsia="仿宋_GB2312"/>
        </w:rPr>
        <w:fldChar w:fldCharType="separate"/>
      </w:r>
      <w:r>
        <w:rPr>
          <w:rFonts w:ascii="Times New Roman" w:hAnsi="Times New Roman" w:eastAsia="楷体_GB2312"/>
        </w:rPr>
        <w:t>4.4 多渠道工程与CI/CD</w:t>
      </w:r>
      <w:r>
        <w:tab/>
      </w:r>
      <w:r>
        <w:fldChar w:fldCharType="begin"/>
      </w:r>
      <w:r>
        <w:instrText xml:space="preserve"> PAGEREF _Toc1495204745 \h </w:instrText>
      </w:r>
      <w:r>
        <w:fldChar w:fldCharType="separate"/>
      </w:r>
      <w:r>
        <w:t>21</w:t>
      </w:r>
      <w:r>
        <w:fldChar w:fldCharType="end"/>
      </w:r>
      <w:r>
        <w:rPr>
          <w:rFonts w:ascii="Times New Roman" w:hAnsi="Times New Roman" w:eastAsia="仿宋_GB2312"/>
        </w:rPr>
        <w:fldChar w:fldCharType="end"/>
      </w:r>
    </w:p>
    <w:p w14:paraId="50124ED6">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_Toc52512021 </w:instrText>
      </w:r>
      <w:r>
        <w:rPr>
          <w:rFonts w:ascii="Times New Roman" w:hAnsi="Times New Roman" w:eastAsia="仿宋_GB2312"/>
        </w:rPr>
        <w:fldChar w:fldCharType="separate"/>
      </w:r>
      <w:r>
        <w:rPr>
          <w:rFonts w:ascii="Times New Roman" w:hAnsi="Times New Roman" w:eastAsia="楷体_GB2312"/>
        </w:rPr>
        <w:t>4.5 AI编码辅助要求</w:t>
      </w:r>
      <w:r>
        <w:tab/>
      </w:r>
      <w:r>
        <w:fldChar w:fldCharType="begin"/>
      </w:r>
      <w:r>
        <w:instrText xml:space="preserve"> PAGEREF _Toc52512021 \h </w:instrText>
      </w:r>
      <w:r>
        <w:fldChar w:fldCharType="separate"/>
      </w:r>
      <w:r>
        <w:t>21</w:t>
      </w:r>
      <w:r>
        <w:fldChar w:fldCharType="end"/>
      </w:r>
      <w:r>
        <w:rPr>
          <w:rFonts w:ascii="Times New Roman" w:hAnsi="Times New Roman" w:eastAsia="仿宋_GB2312"/>
        </w:rPr>
        <w:fldChar w:fldCharType="end"/>
      </w:r>
    </w:p>
    <w:p w14:paraId="5036A878">
      <w:pPr>
        <w:pStyle w:val="27"/>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_Toc2101241677 </w:instrText>
      </w:r>
      <w:r>
        <w:rPr>
          <w:rFonts w:ascii="Times New Roman" w:hAnsi="Times New Roman" w:eastAsia="仿宋_GB2312"/>
        </w:rPr>
        <w:fldChar w:fldCharType="separate"/>
      </w:r>
      <w:r>
        <w:rPr>
          <w:rFonts w:ascii="黑体" w:hAnsi="黑体" w:eastAsia="黑体"/>
        </w:rPr>
        <w:t>五、项目开发模式与团队要求</w:t>
      </w:r>
      <w:r>
        <w:tab/>
      </w:r>
      <w:r>
        <w:fldChar w:fldCharType="begin"/>
      </w:r>
      <w:r>
        <w:instrText xml:space="preserve"> PAGEREF _Toc2101241677 \h </w:instrText>
      </w:r>
      <w:r>
        <w:fldChar w:fldCharType="separate"/>
      </w:r>
      <w:r>
        <w:t>23</w:t>
      </w:r>
      <w:r>
        <w:fldChar w:fldCharType="end"/>
      </w:r>
      <w:r>
        <w:rPr>
          <w:rFonts w:ascii="Times New Roman" w:hAnsi="Times New Roman" w:eastAsia="仿宋_GB2312"/>
        </w:rPr>
        <w:fldChar w:fldCharType="end"/>
      </w:r>
    </w:p>
    <w:p w14:paraId="7778A8CA">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_Toc200290424 </w:instrText>
      </w:r>
      <w:r>
        <w:rPr>
          <w:rFonts w:ascii="Times New Roman" w:hAnsi="Times New Roman" w:eastAsia="仿宋_GB2312"/>
        </w:rPr>
        <w:fldChar w:fldCharType="separate"/>
      </w:r>
      <w:r>
        <w:rPr>
          <w:rFonts w:ascii="Times New Roman" w:hAnsi="Times New Roman" w:eastAsia="楷体_GB2312"/>
        </w:rPr>
        <w:t>5.1 项目周期</w:t>
      </w:r>
      <w:r>
        <w:tab/>
      </w:r>
      <w:r>
        <w:fldChar w:fldCharType="begin"/>
      </w:r>
      <w:r>
        <w:instrText xml:space="preserve"> PAGEREF _Toc200290424 \h </w:instrText>
      </w:r>
      <w:r>
        <w:fldChar w:fldCharType="separate"/>
      </w:r>
      <w:r>
        <w:t>23</w:t>
      </w:r>
      <w:r>
        <w:fldChar w:fldCharType="end"/>
      </w:r>
      <w:r>
        <w:rPr>
          <w:rFonts w:ascii="Times New Roman" w:hAnsi="Times New Roman" w:eastAsia="仿宋_GB2312"/>
        </w:rPr>
        <w:fldChar w:fldCharType="end"/>
      </w:r>
    </w:p>
    <w:p w14:paraId="7FC268AC">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_Toc1174281319 </w:instrText>
      </w:r>
      <w:r>
        <w:rPr>
          <w:rFonts w:ascii="Times New Roman" w:hAnsi="Times New Roman" w:eastAsia="仿宋_GB2312"/>
        </w:rPr>
        <w:fldChar w:fldCharType="separate"/>
      </w:r>
      <w:r>
        <w:rPr>
          <w:rFonts w:ascii="Times New Roman" w:hAnsi="Times New Roman" w:eastAsia="楷体_GB2312"/>
        </w:rPr>
        <w:t>5.2 开发模式</w:t>
      </w:r>
      <w:r>
        <w:tab/>
      </w:r>
      <w:r>
        <w:fldChar w:fldCharType="begin"/>
      </w:r>
      <w:r>
        <w:instrText xml:space="preserve"> PAGEREF _Toc1174281319 \h </w:instrText>
      </w:r>
      <w:r>
        <w:fldChar w:fldCharType="separate"/>
      </w:r>
      <w:r>
        <w:t>23</w:t>
      </w:r>
      <w:r>
        <w:fldChar w:fldCharType="end"/>
      </w:r>
      <w:r>
        <w:rPr>
          <w:rFonts w:ascii="Times New Roman" w:hAnsi="Times New Roman" w:eastAsia="仿宋_GB2312"/>
        </w:rPr>
        <w:fldChar w:fldCharType="end"/>
      </w:r>
    </w:p>
    <w:p w14:paraId="6C5AF026">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_Toc771412503 </w:instrText>
      </w:r>
      <w:r>
        <w:rPr>
          <w:rFonts w:ascii="Times New Roman" w:hAnsi="Times New Roman" w:eastAsia="仿宋_GB2312"/>
        </w:rPr>
        <w:fldChar w:fldCharType="separate"/>
      </w:r>
      <w:r>
        <w:rPr>
          <w:rFonts w:ascii="Times New Roman" w:hAnsi="Times New Roman" w:eastAsia="楷体_GB2312"/>
        </w:rPr>
        <w:t>5.3 人力资源需求与规模建议</w:t>
      </w:r>
      <w:r>
        <w:tab/>
      </w:r>
      <w:r>
        <w:fldChar w:fldCharType="begin"/>
      </w:r>
      <w:r>
        <w:instrText xml:space="preserve"> PAGEREF _Toc771412503 \h </w:instrText>
      </w:r>
      <w:r>
        <w:fldChar w:fldCharType="separate"/>
      </w:r>
      <w:r>
        <w:t>24</w:t>
      </w:r>
      <w:r>
        <w:fldChar w:fldCharType="end"/>
      </w:r>
      <w:r>
        <w:rPr>
          <w:rFonts w:ascii="Times New Roman" w:hAnsi="Times New Roman" w:eastAsia="仿宋_GB2312"/>
        </w:rPr>
        <w:fldChar w:fldCharType="end"/>
      </w:r>
    </w:p>
    <w:p w14:paraId="1F3D9CFD">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_Toc771160982 </w:instrText>
      </w:r>
      <w:r>
        <w:rPr>
          <w:rFonts w:ascii="Times New Roman" w:hAnsi="Times New Roman" w:eastAsia="仿宋_GB2312"/>
        </w:rPr>
        <w:fldChar w:fldCharType="separate"/>
      </w:r>
      <w:r>
        <w:rPr>
          <w:rFonts w:ascii="Times New Roman" w:hAnsi="Times New Roman" w:eastAsia="楷体_GB2312"/>
        </w:rPr>
        <w:t>5.4 项目管理要求</w:t>
      </w:r>
      <w:r>
        <w:tab/>
      </w:r>
      <w:r>
        <w:fldChar w:fldCharType="begin"/>
      </w:r>
      <w:r>
        <w:instrText xml:space="preserve"> PAGEREF _Toc771160982 \h </w:instrText>
      </w:r>
      <w:r>
        <w:fldChar w:fldCharType="separate"/>
      </w:r>
      <w:r>
        <w:t>26</w:t>
      </w:r>
      <w:r>
        <w:fldChar w:fldCharType="end"/>
      </w:r>
      <w:r>
        <w:rPr>
          <w:rFonts w:ascii="Times New Roman" w:hAnsi="Times New Roman" w:eastAsia="仿宋_GB2312"/>
        </w:rPr>
        <w:fldChar w:fldCharType="end"/>
      </w:r>
    </w:p>
    <w:p w14:paraId="0D60DD46">
      <w:pPr>
        <w:pStyle w:val="27"/>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_Toc838814829 </w:instrText>
      </w:r>
      <w:r>
        <w:rPr>
          <w:rFonts w:ascii="Times New Roman" w:hAnsi="Times New Roman" w:eastAsia="仿宋_GB2312"/>
        </w:rPr>
        <w:fldChar w:fldCharType="separate"/>
      </w:r>
      <w:r>
        <w:rPr>
          <w:rFonts w:ascii="黑体" w:hAnsi="黑体" w:eastAsia="黑体"/>
        </w:rPr>
        <w:t>六、里程碑计划（12个月）</w:t>
      </w:r>
      <w:r>
        <w:tab/>
      </w:r>
      <w:r>
        <w:fldChar w:fldCharType="begin"/>
      </w:r>
      <w:r>
        <w:instrText xml:space="preserve"> PAGEREF _Toc838814829 \h </w:instrText>
      </w:r>
      <w:r>
        <w:fldChar w:fldCharType="separate"/>
      </w:r>
      <w:r>
        <w:t>27</w:t>
      </w:r>
      <w:r>
        <w:fldChar w:fldCharType="end"/>
      </w:r>
      <w:r>
        <w:rPr>
          <w:rFonts w:ascii="Times New Roman" w:hAnsi="Times New Roman" w:eastAsia="仿宋_GB2312"/>
        </w:rPr>
        <w:fldChar w:fldCharType="end"/>
      </w:r>
    </w:p>
    <w:p w14:paraId="34AAD8F2">
      <w:pPr>
        <w:pStyle w:val="27"/>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_Toc1878172095 </w:instrText>
      </w:r>
      <w:r>
        <w:rPr>
          <w:rFonts w:ascii="Times New Roman" w:hAnsi="Times New Roman" w:eastAsia="仿宋_GB2312"/>
        </w:rPr>
        <w:fldChar w:fldCharType="separate"/>
      </w:r>
      <w:r>
        <w:rPr>
          <w:rFonts w:ascii="黑体" w:hAnsi="黑体" w:eastAsia="黑体"/>
        </w:rPr>
        <w:t>七、交付物与验收标准</w:t>
      </w:r>
      <w:r>
        <w:tab/>
      </w:r>
      <w:r>
        <w:fldChar w:fldCharType="begin"/>
      </w:r>
      <w:r>
        <w:instrText xml:space="preserve"> PAGEREF _Toc1878172095 \h </w:instrText>
      </w:r>
      <w:r>
        <w:fldChar w:fldCharType="separate"/>
      </w:r>
      <w:r>
        <w:t>29</w:t>
      </w:r>
      <w:r>
        <w:fldChar w:fldCharType="end"/>
      </w:r>
      <w:r>
        <w:rPr>
          <w:rFonts w:ascii="Times New Roman" w:hAnsi="Times New Roman" w:eastAsia="仿宋_GB2312"/>
        </w:rPr>
        <w:fldChar w:fldCharType="end"/>
      </w:r>
    </w:p>
    <w:p w14:paraId="12CF8D64">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_Toc576273412 </w:instrText>
      </w:r>
      <w:r>
        <w:rPr>
          <w:rFonts w:ascii="Times New Roman" w:hAnsi="Times New Roman" w:eastAsia="仿宋_GB2312"/>
        </w:rPr>
        <w:fldChar w:fldCharType="separate"/>
      </w:r>
      <w:r>
        <w:rPr>
          <w:rFonts w:ascii="Times New Roman" w:hAnsi="Times New Roman" w:eastAsia="楷体_GB2312"/>
        </w:rPr>
        <w:t>7.1 交付物清单</w:t>
      </w:r>
      <w:r>
        <w:tab/>
      </w:r>
      <w:r>
        <w:fldChar w:fldCharType="begin"/>
      </w:r>
      <w:r>
        <w:instrText xml:space="preserve"> PAGEREF _Toc576273412 \h </w:instrText>
      </w:r>
      <w:r>
        <w:fldChar w:fldCharType="separate"/>
      </w:r>
      <w:r>
        <w:t>29</w:t>
      </w:r>
      <w:r>
        <w:fldChar w:fldCharType="end"/>
      </w:r>
      <w:r>
        <w:rPr>
          <w:rFonts w:ascii="Times New Roman" w:hAnsi="Times New Roman" w:eastAsia="仿宋_GB2312"/>
        </w:rPr>
        <w:fldChar w:fldCharType="end"/>
      </w:r>
    </w:p>
    <w:p w14:paraId="173973F3">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_Toc275987514 </w:instrText>
      </w:r>
      <w:r>
        <w:rPr>
          <w:rFonts w:ascii="Times New Roman" w:hAnsi="Times New Roman" w:eastAsia="仿宋_GB2312"/>
        </w:rPr>
        <w:fldChar w:fldCharType="separate"/>
      </w:r>
      <w:r>
        <w:rPr>
          <w:rFonts w:ascii="Times New Roman" w:hAnsi="Times New Roman" w:eastAsia="楷体_GB2312"/>
        </w:rPr>
        <w:t>7.2 验收标准与方式</w:t>
      </w:r>
      <w:r>
        <w:tab/>
      </w:r>
      <w:r>
        <w:fldChar w:fldCharType="begin"/>
      </w:r>
      <w:r>
        <w:instrText xml:space="preserve"> PAGEREF _Toc275987514 \h </w:instrText>
      </w:r>
      <w:r>
        <w:fldChar w:fldCharType="separate"/>
      </w:r>
      <w:r>
        <w:t>30</w:t>
      </w:r>
      <w:r>
        <w:fldChar w:fldCharType="end"/>
      </w:r>
      <w:r>
        <w:rPr>
          <w:rFonts w:ascii="Times New Roman" w:hAnsi="Times New Roman" w:eastAsia="仿宋_GB2312"/>
        </w:rPr>
        <w:fldChar w:fldCharType="end"/>
      </w:r>
    </w:p>
    <w:p w14:paraId="08157E91">
      <w:pPr>
        <w:pStyle w:val="27"/>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_Toc2104953925 </w:instrText>
      </w:r>
      <w:r>
        <w:rPr>
          <w:rFonts w:ascii="Times New Roman" w:hAnsi="Times New Roman" w:eastAsia="仿宋_GB2312"/>
        </w:rPr>
        <w:fldChar w:fldCharType="separate"/>
      </w:r>
      <w:r>
        <w:rPr>
          <w:rFonts w:ascii="黑体" w:hAnsi="黑体" w:eastAsia="黑体"/>
        </w:rPr>
        <w:t>八、软件开发质量与测试要求</w:t>
      </w:r>
      <w:r>
        <w:tab/>
      </w:r>
      <w:r>
        <w:fldChar w:fldCharType="begin"/>
      </w:r>
      <w:r>
        <w:instrText xml:space="preserve"> PAGEREF _Toc2104953925 \h </w:instrText>
      </w:r>
      <w:r>
        <w:fldChar w:fldCharType="separate"/>
      </w:r>
      <w:r>
        <w:t>31</w:t>
      </w:r>
      <w:r>
        <w:fldChar w:fldCharType="end"/>
      </w:r>
      <w:r>
        <w:rPr>
          <w:rFonts w:ascii="Times New Roman" w:hAnsi="Times New Roman" w:eastAsia="仿宋_GB2312"/>
        </w:rPr>
        <w:fldChar w:fldCharType="end"/>
      </w:r>
    </w:p>
    <w:p w14:paraId="743E5593">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_Toc315016797 </w:instrText>
      </w:r>
      <w:r>
        <w:rPr>
          <w:rFonts w:ascii="Times New Roman" w:hAnsi="Times New Roman" w:eastAsia="仿宋_GB2312"/>
        </w:rPr>
        <w:fldChar w:fldCharType="separate"/>
      </w:r>
      <w:r>
        <w:rPr>
          <w:rFonts w:ascii="Times New Roman" w:hAnsi="Times New Roman" w:eastAsia="楷体_GB2312"/>
        </w:rPr>
        <w:t>8.1 质量标准</w:t>
      </w:r>
      <w:r>
        <w:tab/>
      </w:r>
      <w:r>
        <w:fldChar w:fldCharType="begin"/>
      </w:r>
      <w:r>
        <w:instrText xml:space="preserve"> PAGEREF _Toc315016797 \h </w:instrText>
      </w:r>
      <w:r>
        <w:fldChar w:fldCharType="separate"/>
      </w:r>
      <w:r>
        <w:t>31</w:t>
      </w:r>
      <w:r>
        <w:fldChar w:fldCharType="end"/>
      </w:r>
      <w:r>
        <w:rPr>
          <w:rFonts w:ascii="Times New Roman" w:hAnsi="Times New Roman" w:eastAsia="仿宋_GB2312"/>
        </w:rPr>
        <w:fldChar w:fldCharType="end"/>
      </w:r>
    </w:p>
    <w:p w14:paraId="2421C513">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_Toc940117324 </w:instrText>
      </w:r>
      <w:r>
        <w:rPr>
          <w:rFonts w:ascii="Times New Roman" w:hAnsi="Times New Roman" w:eastAsia="仿宋_GB2312"/>
        </w:rPr>
        <w:fldChar w:fldCharType="separate"/>
      </w:r>
      <w:r>
        <w:rPr>
          <w:rFonts w:ascii="Times New Roman" w:hAnsi="Times New Roman" w:eastAsia="楷体_GB2312"/>
        </w:rPr>
        <w:t>8.2 测试要求</w:t>
      </w:r>
      <w:r>
        <w:tab/>
      </w:r>
      <w:r>
        <w:fldChar w:fldCharType="begin"/>
      </w:r>
      <w:r>
        <w:instrText xml:space="preserve"> PAGEREF _Toc940117324 \h </w:instrText>
      </w:r>
      <w:r>
        <w:fldChar w:fldCharType="separate"/>
      </w:r>
      <w:r>
        <w:t>31</w:t>
      </w:r>
      <w:r>
        <w:fldChar w:fldCharType="end"/>
      </w:r>
      <w:r>
        <w:rPr>
          <w:rFonts w:ascii="Times New Roman" w:hAnsi="Times New Roman" w:eastAsia="仿宋_GB2312"/>
        </w:rPr>
        <w:fldChar w:fldCharType="end"/>
      </w:r>
    </w:p>
    <w:p w14:paraId="7A0370DF">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_Toc1514673489 </w:instrText>
      </w:r>
      <w:r>
        <w:rPr>
          <w:rFonts w:ascii="Times New Roman" w:hAnsi="Times New Roman" w:eastAsia="仿宋_GB2312"/>
        </w:rPr>
        <w:fldChar w:fldCharType="separate"/>
      </w:r>
      <w:r>
        <w:rPr>
          <w:rFonts w:ascii="Times New Roman" w:hAnsi="Times New Roman" w:eastAsia="楷体_GB2312"/>
        </w:rPr>
        <w:t>8.3 性能指标要求</w:t>
      </w:r>
      <w:r>
        <w:tab/>
      </w:r>
      <w:r>
        <w:fldChar w:fldCharType="begin"/>
      </w:r>
      <w:r>
        <w:instrText xml:space="preserve"> PAGEREF _Toc1514673489 \h </w:instrText>
      </w:r>
      <w:r>
        <w:fldChar w:fldCharType="separate"/>
      </w:r>
      <w:r>
        <w:t>32</w:t>
      </w:r>
      <w:r>
        <w:fldChar w:fldCharType="end"/>
      </w:r>
      <w:r>
        <w:rPr>
          <w:rFonts w:ascii="Times New Roman" w:hAnsi="Times New Roman" w:eastAsia="仿宋_GB2312"/>
        </w:rPr>
        <w:fldChar w:fldCharType="end"/>
      </w:r>
    </w:p>
    <w:p w14:paraId="5F22C4D1">
      <w:pPr>
        <w:pStyle w:val="27"/>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_Toc846178085 </w:instrText>
      </w:r>
      <w:r>
        <w:rPr>
          <w:rFonts w:ascii="Times New Roman" w:hAnsi="Times New Roman" w:eastAsia="仿宋_GB2312"/>
        </w:rPr>
        <w:fldChar w:fldCharType="separate"/>
      </w:r>
      <w:r>
        <w:rPr>
          <w:rFonts w:ascii="黑体" w:hAnsi="黑体" w:eastAsia="黑体"/>
        </w:rPr>
        <w:t>九、软件质保与技术支持</w:t>
      </w:r>
      <w:r>
        <w:tab/>
      </w:r>
      <w:r>
        <w:fldChar w:fldCharType="begin"/>
      </w:r>
      <w:r>
        <w:instrText xml:space="preserve"> PAGEREF _Toc846178085 \h </w:instrText>
      </w:r>
      <w:r>
        <w:fldChar w:fldCharType="separate"/>
      </w:r>
      <w:r>
        <w:t>32</w:t>
      </w:r>
      <w:r>
        <w:fldChar w:fldCharType="end"/>
      </w:r>
      <w:r>
        <w:rPr>
          <w:rFonts w:ascii="Times New Roman" w:hAnsi="Times New Roman" w:eastAsia="仿宋_GB2312"/>
        </w:rPr>
        <w:fldChar w:fldCharType="end"/>
      </w:r>
    </w:p>
    <w:p w14:paraId="41CB9FD2">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_Toc1078364161 </w:instrText>
      </w:r>
      <w:r>
        <w:rPr>
          <w:rFonts w:ascii="Times New Roman" w:hAnsi="Times New Roman" w:eastAsia="仿宋_GB2312"/>
        </w:rPr>
        <w:fldChar w:fldCharType="separate"/>
      </w:r>
      <w:r>
        <w:rPr>
          <w:rFonts w:ascii="Times New Roman" w:hAnsi="Times New Roman" w:eastAsia="楷体_GB2312"/>
        </w:rPr>
        <w:t>9.1 质保服务</w:t>
      </w:r>
      <w:r>
        <w:tab/>
      </w:r>
      <w:r>
        <w:fldChar w:fldCharType="begin"/>
      </w:r>
      <w:r>
        <w:instrText xml:space="preserve"> PAGEREF _Toc1078364161 \h </w:instrText>
      </w:r>
      <w:r>
        <w:fldChar w:fldCharType="separate"/>
      </w:r>
      <w:r>
        <w:t>32</w:t>
      </w:r>
      <w:r>
        <w:fldChar w:fldCharType="end"/>
      </w:r>
      <w:r>
        <w:rPr>
          <w:rFonts w:ascii="Times New Roman" w:hAnsi="Times New Roman" w:eastAsia="仿宋_GB2312"/>
        </w:rPr>
        <w:fldChar w:fldCharType="end"/>
      </w:r>
    </w:p>
    <w:p w14:paraId="1453EE4A">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_Toc1451956894 </w:instrText>
      </w:r>
      <w:r>
        <w:rPr>
          <w:rFonts w:ascii="Times New Roman" w:hAnsi="Times New Roman" w:eastAsia="仿宋_GB2312"/>
        </w:rPr>
        <w:fldChar w:fldCharType="separate"/>
      </w:r>
      <w:r>
        <w:rPr>
          <w:rFonts w:ascii="Times New Roman" w:hAnsi="Times New Roman" w:eastAsia="楷体_GB2312"/>
        </w:rPr>
        <w:t>9.2 技术支持响应要求</w:t>
      </w:r>
      <w:r>
        <w:tab/>
      </w:r>
      <w:r>
        <w:fldChar w:fldCharType="begin"/>
      </w:r>
      <w:r>
        <w:instrText xml:space="preserve"> PAGEREF _Toc1451956894 \h </w:instrText>
      </w:r>
      <w:r>
        <w:fldChar w:fldCharType="separate"/>
      </w:r>
      <w:r>
        <w:t>32</w:t>
      </w:r>
      <w:r>
        <w:fldChar w:fldCharType="end"/>
      </w:r>
      <w:r>
        <w:rPr>
          <w:rFonts w:ascii="Times New Roman" w:hAnsi="Times New Roman" w:eastAsia="仿宋_GB2312"/>
        </w:rPr>
        <w:fldChar w:fldCharType="end"/>
      </w:r>
    </w:p>
    <w:p w14:paraId="61E33C4D">
      <w:pPr>
        <w:pStyle w:val="30"/>
        <w:tabs>
          <w:tab w:val="right" w:leader="dot" w:pos="8180"/>
        </w:tabs>
      </w:pPr>
      <w:r>
        <w:rPr>
          <w:rFonts w:ascii="Times New Roman" w:hAnsi="Times New Roman" w:eastAsia="仿宋_GB2312"/>
        </w:rPr>
        <w:fldChar w:fldCharType="begin"/>
      </w:r>
      <w:r>
        <w:rPr>
          <w:rFonts w:ascii="Times New Roman" w:hAnsi="Times New Roman" w:eastAsia="仿宋_GB2312"/>
        </w:rPr>
        <w:instrText xml:space="preserve"> HYPERLINK \l _Toc1182836597 </w:instrText>
      </w:r>
      <w:r>
        <w:rPr>
          <w:rFonts w:ascii="Times New Roman" w:hAnsi="Times New Roman" w:eastAsia="仿宋_GB2312"/>
        </w:rPr>
        <w:fldChar w:fldCharType="separate"/>
      </w:r>
      <w:r>
        <w:rPr>
          <w:rFonts w:ascii="Times New Roman" w:hAnsi="Times New Roman" w:eastAsia="楷体_GB2312"/>
        </w:rPr>
        <w:t>9.3 质保期外服务</w:t>
      </w:r>
      <w:r>
        <w:tab/>
      </w:r>
      <w:r>
        <w:fldChar w:fldCharType="begin"/>
      </w:r>
      <w:r>
        <w:instrText xml:space="preserve"> PAGEREF _Toc1182836597 \h </w:instrText>
      </w:r>
      <w:r>
        <w:fldChar w:fldCharType="separate"/>
      </w:r>
      <w:r>
        <w:t>33</w:t>
      </w:r>
      <w:r>
        <w:fldChar w:fldCharType="end"/>
      </w:r>
      <w:r>
        <w:rPr>
          <w:rFonts w:ascii="Times New Roman" w:hAnsi="Times New Roman" w:eastAsia="仿宋_GB2312"/>
        </w:rPr>
        <w:fldChar w:fldCharType="end"/>
      </w:r>
    </w:p>
    <w:p w14:paraId="1E318256">
      <w:pPr>
        <w:spacing w:before="0" w:after="0" w:line="600" w:lineRule="exact"/>
        <w:jc w:val="left"/>
      </w:pPr>
      <w:r>
        <w:rPr>
          <w:rFonts w:ascii="Times New Roman" w:hAnsi="Times New Roman" w:eastAsia="仿宋_GB2312"/>
        </w:rPr>
        <w:fldChar w:fldCharType="end"/>
      </w:r>
    </w:p>
    <w:p w14:paraId="2E0F4777">
      <w:r>
        <w:br w:type="page"/>
      </w:r>
    </w:p>
    <w:p w14:paraId="32D4DD53">
      <w:pPr>
        <w:spacing w:before="0" w:after="0" w:line="600" w:lineRule="exact"/>
        <w:ind w:firstLine="640"/>
        <w:jc w:val="left"/>
        <w:outlineLvl w:val="0"/>
      </w:pPr>
      <w:bookmarkStart w:id="0" w:name="_Toc765072476"/>
      <w:r>
        <w:rPr>
          <w:rFonts w:ascii="黑体" w:hAnsi="黑体" w:eastAsia="黑体"/>
          <w:b w:val="0"/>
          <w:sz w:val="32"/>
        </w:rPr>
        <w:t>一、项目背景与现状</w:t>
      </w:r>
      <w:bookmarkEnd w:id="0"/>
    </w:p>
    <w:p w14:paraId="65E8A78E">
      <w:pPr>
        <w:spacing w:before="0" w:after="0" w:line="600" w:lineRule="exact"/>
        <w:ind w:firstLine="640"/>
        <w:jc w:val="left"/>
        <w:outlineLvl w:val="1"/>
      </w:pPr>
      <w:bookmarkStart w:id="1" w:name="_Toc1588509543"/>
      <w:r>
        <w:rPr>
          <w:rFonts w:ascii="Times New Roman" w:hAnsi="Times New Roman" w:eastAsia="楷体_GB2312"/>
          <w:b/>
          <w:sz w:val="32"/>
        </w:rPr>
        <w:t>1.1 项目背景</w:t>
      </w:r>
      <w:bookmarkEnd w:id="1"/>
    </w:p>
    <w:p w14:paraId="2AA5BCA4">
      <w:pPr>
        <w:spacing w:before="0" w:after="0" w:line="600" w:lineRule="exact"/>
        <w:ind w:firstLine="640"/>
        <w:jc w:val="both"/>
      </w:pPr>
      <w:r>
        <w:rPr>
          <w:rFonts w:ascii="Times New Roman" w:hAnsi="Times New Roman" w:eastAsia="仿宋_GB2312"/>
          <w:b w:val="0"/>
          <w:sz w:val="32"/>
        </w:rPr>
        <w:t>广东南广影视互动技术有限公司专注于为国内专网电视业务（IPTV）运营商提供一站式综合性服务，涵盖技术、运维、视听节目内容及应用增值服务。公司已成功在广东省外的多个省份推出IPTV增值付费业务，合作渠道持续拓展。</w:t>
      </w:r>
    </w:p>
    <w:p w14:paraId="672773D7">
      <w:pPr>
        <w:spacing w:before="0" w:after="0" w:line="600" w:lineRule="exact"/>
        <w:ind w:firstLine="640"/>
        <w:jc w:val="both"/>
      </w:pPr>
      <w:r>
        <w:rPr>
          <w:rFonts w:ascii="Times New Roman" w:hAnsi="Times New Roman" w:eastAsia="仿宋_GB2312"/>
          <w:b w:val="0"/>
          <w:sz w:val="32"/>
        </w:rPr>
        <w:t>随着省外业务的纵深推进，现有终端产品软件面临以下持续演进的开发需求：</w:t>
      </w:r>
    </w:p>
    <w:p w14:paraId="0E1983E1">
      <w:pPr>
        <w:spacing w:before="0" w:after="0" w:line="600" w:lineRule="exact"/>
        <w:ind w:firstLine="640"/>
        <w:jc w:val="both"/>
      </w:pPr>
      <w:r>
        <w:rPr>
          <w:rFonts w:ascii="Times New Roman" w:hAnsi="Times New Roman" w:eastAsia="仿宋_GB2312"/>
          <w:b w:val="0"/>
          <w:sz w:val="32"/>
        </w:rPr>
        <w:t>新合作渠道的接入与定制化终端产品软件开发，满足不同运营商差异化需求；</w:t>
      </w:r>
    </w:p>
    <w:p w14:paraId="33FE77A1">
      <w:pPr>
        <w:spacing w:before="0" w:after="0" w:line="600" w:lineRule="exact"/>
        <w:ind w:firstLine="640"/>
        <w:jc w:val="both"/>
      </w:pPr>
      <w:r>
        <w:rPr>
          <w:rFonts w:ascii="Times New Roman" w:hAnsi="Times New Roman" w:eastAsia="仿宋_GB2312"/>
          <w:b w:val="0"/>
          <w:sz w:val="32"/>
        </w:rPr>
        <w:t>现有渠道终端产品的技术升级与功能迭代开发，提升用户体验与市场竞争力；</w:t>
      </w:r>
    </w:p>
    <w:p w14:paraId="443C6142">
      <w:pPr>
        <w:spacing w:before="0" w:after="0" w:line="600" w:lineRule="exact"/>
        <w:ind w:firstLine="640"/>
        <w:jc w:val="both"/>
      </w:pPr>
      <w:r>
        <w:rPr>
          <w:rFonts w:ascii="Times New Roman" w:hAnsi="Times New Roman" w:eastAsia="仿宋_GB2312"/>
          <w:b w:val="0"/>
          <w:sz w:val="32"/>
        </w:rPr>
        <w:t>合作平台（腾讯、酷喵等）SDK的持续集成与版本适配开发，保障播放链路稳定性；</w:t>
      </w:r>
    </w:p>
    <w:p w14:paraId="6921E3E4">
      <w:pPr>
        <w:spacing w:before="0" w:after="0" w:line="600" w:lineRule="exact"/>
        <w:ind w:firstLine="640"/>
        <w:jc w:val="both"/>
      </w:pPr>
      <w:r>
        <w:rPr>
          <w:rFonts w:ascii="Times New Roman" w:hAnsi="Times New Roman" w:eastAsia="仿宋_GB2312"/>
          <w:b w:val="0"/>
          <w:sz w:val="32"/>
        </w:rPr>
        <w:t>现有软件系统存在严重技术债务，需进行系统性架构重构开发以消除隐式耦合、提升代码质量和开发效率；</w:t>
      </w:r>
    </w:p>
    <w:p w14:paraId="1118A467">
      <w:pPr>
        <w:spacing w:before="0" w:after="0" w:line="600" w:lineRule="exact"/>
        <w:ind w:firstLine="640"/>
        <w:jc w:val="both"/>
      </w:pPr>
      <w:r>
        <w:rPr>
          <w:rFonts w:ascii="Times New Roman" w:hAnsi="Times New Roman" w:eastAsia="仿宋_GB2312"/>
          <w:b w:val="0"/>
          <w:sz w:val="32"/>
        </w:rPr>
        <w:t>全年运营过程中将不断产生新增功能开发需求，部分需求现阶段尚无法完整预见。</w:t>
      </w:r>
    </w:p>
    <w:p w14:paraId="378260AE">
      <w:pPr>
        <w:spacing w:before="0" w:after="0" w:line="600" w:lineRule="exact"/>
        <w:ind w:firstLine="640"/>
        <w:jc w:val="left"/>
        <w:outlineLvl w:val="1"/>
      </w:pPr>
      <w:bookmarkStart w:id="2" w:name="_Toc563189697"/>
      <w:r>
        <w:rPr>
          <w:rFonts w:ascii="Times New Roman" w:hAnsi="Times New Roman" w:eastAsia="楷体_GB2312"/>
          <w:b/>
          <w:sz w:val="32"/>
        </w:rPr>
        <w:t>1.2 现有软件系统资产与核心痛点</w:t>
      </w:r>
      <w:bookmarkEnd w:id="2"/>
    </w:p>
    <w:p w14:paraId="22C5E2FB">
      <w:pPr>
        <w:spacing w:before="0" w:after="0" w:line="600" w:lineRule="exact"/>
        <w:ind w:firstLine="640"/>
        <w:jc w:val="left"/>
        <w:outlineLvl w:val="2"/>
      </w:pPr>
      <w:bookmarkStart w:id="3" w:name="_Toc1568805150"/>
      <w:r>
        <w:rPr>
          <w:rFonts w:ascii="Times New Roman" w:hAnsi="Times New Roman" w:eastAsia="仿宋_GB2312"/>
          <w:b/>
          <w:sz w:val="32"/>
        </w:rPr>
        <w:t>1.2.1 代码仓库规模与构成</w:t>
      </w:r>
      <w:bookmarkEnd w:id="3"/>
    </w:p>
    <w:p w14:paraId="62A599E9">
      <w:pPr>
        <w:spacing w:before="0" w:after="0" w:line="600" w:lineRule="exact"/>
        <w:ind w:firstLine="640"/>
        <w:jc w:val="both"/>
      </w:pPr>
      <w:r>
        <w:rPr>
          <w:rFonts w:ascii="Times New Roman" w:hAnsi="Times New Roman" w:eastAsia="仿宋_GB2312"/>
          <w:b w:val="0"/>
          <w:sz w:val="32"/>
        </w:rPr>
        <w:t>线上活跃代码仓库高达40+个。</w:t>
      </w:r>
    </w:p>
    <w:p w14:paraId="6426F69A">
      <w:pPr>
        <w:spacing w:before="0" w:after="0" w:line="600" w:lineRule="exact"/>
        <w:ind w:firstLine="640"/>
        <w:jc w:val="both"/>
      </w:pPr>
      <w:r>
        <w:rPr>
          <w:rFonts w:ascii="Times New Roman" w:hAnsi="Times New Roman" w:eastAsia="仿宋_GB2312"/>
          <w:b w:val="0"/>
          <w:sz w:val="32"/>
        </w:rPr>
        <w:t>约2/3为Android终端/EPG综合类、纯Android终端及供第三方使用的Android播放器类。</w:t>
      </w:r>
    </w:p>
    <w:p w14:paraId="736D4C75">
      <w:pPr>
        <w:spacing w:before="0" w:after="0" w:line="600" w:lineRule="exact"/>
        <w:ind w:firstLine="640"/>
        <w:jc w:val="both"/>
      </w:pPr>
      <w:r>
        <w:rPr>
          <w:rFonts w:ascii="Times New Roman" w:hAnsi="Times New Roman" w:eastAsia="仿宋_GB2312"/>
          <w:b w:val="0"/>
          <w:sz w:val="32"/>
        </w:rPr>
        <w:t>约1/3为纯EPG前端类。</w:t>
      </w:r>
    </w:p>
    <w:p w14:paraId="07252179">
      <w:pPr>
        <w:spacing w:before="0" w:after="0" w:line="600" w:lineRule="exact"/>
        <w:ind w:firstLine="640"/>
        <w:jc w:val="left"/>
        <w:outlineLvl w:val="2"/>
      </w:pPr>
      <w:bookmarkStart w:id="4" w:name="_Toc103938184"/>
      <w:r>
        <w:rPr>
          <w:rFonts w:ascii="Times New Roman" w:hAnsi="Times New Roman" w:eastAsia="仿宋_GB2312"/>
          <w:b/>
          <w:sz w:val="32"/>
        </w:rPr>
        <w:t>1.2.2 Android终端软件现状</w:t>
      </w:r>
      <w:bookmarkEnd w:id="4"/>
    </w:p>
    <w:p w14:paraId="1187A419">
      <w:pPr>
        <w:spacing w:before="0" w:after="0" w:line="600" w:lineRule="exact"/>
        <w:ind w:firstLine="640"/>
        <w:jc w:val="both"/>
      </w:pPr>
      <w:r>
        <w:rPr>
          <w:rFonts w:ascii="Times New Roman" w:hAnsi="Times New Roman" w:eastAsia="仿宋_GB2312"/>
          <w:b w:val="0"/>
          <w:sz w:val="32"/>
        </w:rPr>
        <w:t>全面采用Java + MVP模式。模块间存在大量具体实现类的直接依赖，接口抽象不足，跨仓库逻辑复用极为困难，需同时维护数十套高度相似但相互独立的代码仓库。</w:t>
      </w:r>
    </w:p>
    <w:p w14:paraId="0402C595">
      <w:pPr>
        <w:spacing w:before="0" w:after="0" w:line="600" w:lineRule="exact"/>
        <w:ind w:firstLine="640"/>
        <w:jc w:val="both"/>
      </w:pPr>
      <w:r>
        <w:rPr>
          <w:rFonts w:ascii="Times New Roman" w:hAnsi="Times New Roman" w:eastAsia="仿宋_GB2312"/>
          <w:b w:val="0"/>
          <w:sz w:val="32"/>
        </w:rPr>
        <w:t>软件系统中存在较为普遍的全局单例使用，部分核心能力通过静态单例直接获取，缺乏接口抽象层，导致模块间形成隐式的强耦合关系，已实际阻碍部分差异化功能的开发落地。</w:t>
      </w:r>
    </w:p>
    <w:p w14:paraId="65CD6D99">
      <w:pPr>
        <w:spacing w:before="0" w:after="0" w:line="600" w:lineRule="exact"/>
        <w:ind w:firstLine="640"/>
        <w:jc w:val="both"/>
      </w:pPr>
      <w:r>
        <w:rPr>
          <w:rFonts w:ascii="Times New Roman" w:hAnsi="Times New Roman" w:eastAsia="仿宋_GB2312"/>
          <w:b w:val="0"/>
          <w:sz w:val="32"/>
        </w:rPr>
        <w:t>目标运行环境硬性约束：以Android 4.4（API 19）为基线版本，同时必须向上兼容至当前主流及指定的更高Android版本（API 19至指定目标API级别均需正常运行）。</w:t>
      </w:r>
    </w:p>
    <w:p w14:paraId="78C379F3">
      <w:pPr>
        <w:spacing w:before="0" w:after="0" w:line="600" w:lineRule="exact"/>
        <w:ind w:firstLine="640"/>
        <w:jc w:val="left"/>
        <w:outlineLvl w:val="2"/>
      </w:pPr>
      <w:bookmarkStart w:id="5" w:name="_Toc984853477"/>
      <w:r>
        <w:rPr>
          <w:rFonts w:ascii="Times New Roman" w:hAnsi="Times New Roman" w:eastAsia="仿宋_GB2312"/>
          <w:b/>
          <w:sz w:val="32"/>
        </w:rPr>
        <w:t>1.2.3 EPG前端软件现状</w:t>
      </w:r>
      <w:bookmarkEnd w:id="5"/>
    </w:p>
    <w:p w14:paraId="6BAA4321">
      <w:pPr>
        <w:spacing w:before="0" w:after="0" w:line="600" w:lineRule="exact"/>
        <w:ind w:firstLine="640"/>
        <w:jc w:val="both"/>
      </w:pPr>
      <w:r>
        <w:rPr>
          <w:rFonts w:ascii="Times New Roman" w:hAnsi="Times New Roman" w:eastAsia="仿宋_GB2312"/>
          <w:b w:val="0"/>
          <w:sz w:val="32"/>
        </w:rPr>
        <w:t>部分渠道已完成从jQuery到Vue2的技术改造，但尚未进行正式验收测试。</w:t>
      </w:r>
    </w:p>
    <w:p w14:paraId="3CF35957">
      <w:pPr>
        <w:spacing w:before="0" w:after="0" w:line="600" w:lineRule="exact"/>
        <w:ind w:firstLine="640"/>
        <w:jc w:val="both"/>
      </w:pPr>
      <w:r>
        <w:rPr>
          <w:rFonts w:ascii="Times New Roman" w:hAnsi="Times New Roman" w:eastAsia="仿宋_GB2312"/>
          <w:b w:val="0"/>
          <w:sz w:val="32"/>
        </w:rPr>
        <w:t>其余渠道仍沿用老旧的jQuery技术栈，存在仓库分散、组件复用度低、部分页面加载及渲染性能待优化等问题。</w:t>
      </w:r>
    </w:p>
    <w:p w14:paraId="23C84271">
      <w:pPr>
        <w:spacing w:before="0" w:after="0" w:line="600" w:lineRule="exact"/>
        <w:ind w:firstLine="640"/>
        <w:jc w:val="left"/>
        <w:outlineLvl w:val="2"/>
      </w:pPr>
      <w:bookmarkStart w:id="6" w:name="_Toc1775920510"/>
      <w:r>
        <w:rPr>
          <w:rFonts w:ascii="Times New Roman" w:hAnsi="Times New Roman" w:eastAsia="仿宋_GB2312"/>
          <w:b/>
          <w:sz w:val="32"/>
        </w:rPr>
        <w:t>1.2.4 工程化建设现状</w:t>
      </w:r>
      <w:bookmarkEnd w:id="6"/>
    </w:p>
    <w:p w14:paraId="48A88110">
      <w:pPr>
        <w:spacing w:before="0" w:after="0" w:line="600" w:lineRule="exact"/>
        <w:ind w:firstLine="640"/>
        <w:jc w:val="both"/>
      </w:pPr>
      <w:r>
        <w:rPr>
          <w:rFonts w:ascii="Times New Roman" w:hAnsi="Times New Roman" w:eastAsia="仿宋_GB2312"/>
          <w:b w:val="0"/>
          <w:sz w:val="32"/>
        </w:rPr>
        <w:t>项目已建有CI/CD平台及制品管理系统，目前尚未在日常开发中充分运用。</w:t>
      </w:r>
    </w:p>
    <w:p w14:paraId="15AB5DDE">
      <w:pPr>
        <w:spacing w:before="0" w:after="0" w:line="600" w:lineRule="exact"/>
        <w:ind w:firstLine="640"/>
        <w:jc w:val="left"/>
        <w:outlineLvl w:val="2"/>
      </w:pPr>
      <w:bookmarkStart w:id="7" w:name="_Toc20801917"/>
      <w:r>
        <w:rPr>
          <w:rFonts w:ascii="Times New Roman" w:hAnsi="Times New Roman" w:eastAsia="仿宋_GB2312"/>
          <w:b/>
          <w:sz w:val="32"/>
        </w:rPr>
        <w:t>1.2.5 核心挑战</w:t>
      </w:r>
      <w:bookmarkEnd w:id="7"/>
    </w:p>
    <w:p w14:paraId="6309DF90">
      <w:pPr>
        <w:spacing w:before="0" w:after="0" w:line="600" w:lineRule="exact"/>
        <w:ind w:firstLine="640"/>
        <w:jc w:val="both"/>
      </w:pPr>
      <w:r>
        <w:rPr>
          <w:rFonts w:ascii="Times New Roman" w:hAnsi="Times New Roman" w:eastAsia="仿宋_GB2312"/>
          <w:b w:val="0"/>
          <w:sz w:val="32"/>
        </w:rPr>
        <w:t>代码仓库分散、软件架构缺乏合理抽象（面向实现编程而非面向接口编程）、全局单例的大量使用导致模块间隐式强耦合、模块边界模糊、技术栈陈旧；同时，沉重的历史包袱与从API 19到指定高版本的多版本兼容硬约束，叠加资源受限的运行环境，共同构成了本项目软件平台化开发中的核心挑战。</w:t>
      </w:r>
    </w:p>
    <w:p w14:paraId="7D067D20">
      <w:pPr>
        <w:spacing w:before="0" w:after="0" w:line="600" w:lineRule="exact"/>
        <w:ind w:firstLine="640"/>
        <w:jc w:val="left"/>
        <w:outlineLvl w:val="0"/>
      </w:pPr>
      <w:bookmarkStart w:id="8" w:name="_Toc1725468205"/>
      <w:r>
        <w:rPr>
          <w:rFonts w:ascii="黑体" w:hAnsi="黑体" w:eastAsia="黑体"/>
          <w:b w:val="0"/>
          <w:sz w:val="32"/>
        </w:rPr>
        <w:t>二、总体任务与开发目标</w:t>
      </w:r>
      <w:bookmarkEnd w:id="8"/>
    </w:p>
    <w:p w14:paraId="05F8A26D">
      <w:pPr>
        <w:spacing w:before="0" w:after="0" w:line="600" w:lineRule="exact"/>
        <w:ind w:firstLine="640"/>
        <w:jc w:val="left"/>
        <w:outlineLvl w:val="1"/>
      </w:pPr>
      <w:bookmarkStart w:id="9" w:name="_Toc324952347"/>
      <w:r>
        <w:rPr>
          <w:rFonts w:ascii="Times New Roman" w:hAnsi="Times New Roman" w:eastAsia="楷体_GB2312"/>
          <w:b/>
          <w:sz w:val="32"/>
        </w:rPr>
        <w:t>2.1 总体目标</w:t>
      </w:r>
      <w:bookmarkEnd w:id="9"/>
    </w:p>
    <w:p w14:paraId="41F44B95">
      <w:pPr>
        <w:spacing w:before="0" w:after="0" w:line="600" w:lineRule="exact"/>
        <w:ind w:firstLine="640"/>
        <w:jc w:val="both"/>
      </w:pPr>
      <w:r>
        <w:rPr>
          <w:rFonts w:ascii="Times New Roman" w:hAnsi="Times New Roman" w:eastAsia="仿宋_GB2312"/>
          <w:b w:val="0"/>
          <w:sz w:val="32"/>
        </w:rPr>
        <w:t>本年度软件开发的总体目标是在技术负责人的统筹下，以Android 4.4为基线、确保向上主要指定版本兼容，并在运行环境资源受限的前提下，通过系统性的软件架构升级开发，消除隐式耦合、建立清晰的模块边界、实现代码仓库大幅收敛，从而全面提升软件代码质量、开发效率和系统性能。主要开发目标包括：</w:t>
      </w:r>
    </w:p>
    <w:p w14:paraId="7165AA80">
      <w:pPr>
        <w:spacing w:before="0" w:after="0" w:line="600" w:lineRule="exact"/>
        <w:ind w:firstLine="640"/>
        <w:jc w:val="both"/>
      </w:pPr>
      <w:r>
        <w:rPr>
          <w:rFonts w:ascii="Times New Roman" w:hAnsi="Times New Roman" w:eastAsia="仿宋_GB2312"/>
          <w:b w:val="0"/>
          <w:sz w:val="32"/>
        </w:rPr>
        <w:t>Android终端软件架构全面升级与仓库归并开发（从40+仓库收敛至5个以内，理想目标1个）；</w:t>
      </w:r>
    </w:p>
    <w:p w14:paraId="0BF2CA8D">
      <w:pPr>
        <w:spacing w:before="0" w:after="0" w:line="600" w:lineRule="exact"/>
        <w:ind w:firstLine="640"/>
        <w:jc w:val="both"/>
      </w:pPr>
      <w:r>
        <w:rPr>
          <w:rFonts w:ascii="Times New Roman" w:hAnsi="Times New Roman" w:eastAsia="仿宋_GB2312"/>
          <w:b w:val="0"/>
          <w:sz w:val="32"/>
        </w:rPr>
        <w:t>核心业务省份终端产品功能重大开发与交付（渐进式分批上线）；</w:t>
      </w:r>
    </w:p>
    <w:p w14:paraId="27FFD9C1">
      <w:pPr>
        <w:spacing w:before="0" w:after="0" w:line="600" w:lineRule="exact"/>
        <w:ind w:firstLine="640"/>
        <w:jc w:val="both"/>
      </w:pPr>
      <w:r>
        <w:rPr>
          <w:rFonts w:ascii="Times New Roman" w:hAnsi="Times New Roman" w:eastAsia="仿宋_GB2312"/>
          <w:b w:val="0"/>
          <w:sz w:val="32"/>
        </w:rPr>
        <w:t>EPG前端平台Vue2迁移验收、性能优化开发与逐步推广；</w:t>
      </w:r>
    </w:p>
    <w:p w14:paraId="1CFD3D99">
      <w:pPr>
        <w:spacing w:before="0" w:after="0" w:line="600" w:lineRule="exact"/>
        <w:ind w:firstLine="640"/>
        <w:jc w:val="both"/>
      </w:pPr>
      <w:r>
        <w:rPr>
          <w:rFonts w:ascii="Times New Roman" w:hAnsi="Times New Roman" w:eastAsia="仿宋_GB2312"/>
          <w:b w:val="0"/>
          <w:sz w:val="32"/>
        </w:rPr>
        <w:t>软件工程化体系建设与质量门禁部署落地；</w:t>
      </w:r>
    </w:p>
    <w:p w14:paraId="28D9C7EC">
      <w:pPr>
        <w:spacing w:before="0" w:after="0" w:line="600" w:lineRule="exact"/>
        <w:ind w:firstLine="640"/>
        <w:jc w:val="both"/>
      </w:pPr>
      <w:r>
        <w:rPr>
          <w:rFonts w:ascii="Times New Roman" w:hAnsi="Times New Roman" w:eastAsia="仿宋_GB2312"/>
          <w:b w:val="0"/>
          <w:sz w:val="32"/>
        </w:rPr>
        <w:t>持续保障各线上软件系统的稳定运行与新业务功能开发响应。</w:t>
      </w:r>
    </w:p>
    <w:p w14:paraId="29EE81D1">
      <w:pPr>
        <w:spacing w:before="0" w:after="0" w:line="600" w:lineRule="exact"/>
        <w:ind w:firstLine="640"/>
        <w:jc w:val="left"/>
        <w:outlineLvl w:val="1"/>
      </w:pPr>
      <w:bookmarkStart w:id="10" w:name="_Toc423181708"/>
      <w:r>
        <w:rPr>
          <w:rFonts w:ascii="Times New Roman" w:hAnsi="Times New Roman" w:eastAsia="楷体_GB2312"/>
          <w:b/>
          <w:sz w:val="32"/>
        </w:rPr>
        <w:t>2.2 架构升级与平台化核心目标</w:t>
      </w:r>
      <w:bookmarkEnd w:id="10"/>
    </w:p>
    <w:p w14:paraId="27B0C2D6">
      <w:pPr>
        <w:spacing w:before="0" w:after="0" w:line="600" w:lineRule="exact"/>
      </w:pPr>
    </w:p>
    <w:tbl>
      <w:tblPr>
        <w:tblStyle w:val="35"/>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60" w:type="dxa"/>
          <w:left w:w="60" w:type="dxa"/>
          <w:bottom w:w="60" w:type="dxa"/>
          <w:right w:w="60" w:type="dxa"/>
        </w:tblCellMar>
      </w:tblPr>
      <w:tblGrid>
        <w:gridCol w:w="1634"/>
        <w:gridCol w:w="2077"/>
        <w:gridCol w:w="4589"/>
      </w:tblGrid>
      <w:tr w14:paraId="02A8A864">
        <w:trPr>
          <w:jc w:val="center"/>
        </w:trPr>
        <w:tc>
          <w:tcPr>
            <w:tcW w:w="1701" w:type="dxa"/>
            <w:shd w:val="clear" w:color="auto" w:fill="D9E2F3"/>
          </w:tcPr>
          <w:p w14:paraId="1D480818">
            <w:pPr>
              <w:spacing w:before="0" w:after="0" w:line="600" w:lineRule="exact"/>
              <w:jc w:val="center"/>
            </w:pPr>
            <w:r>
              <w:rPr>
                <w:rFonts w:ascii="黑体" w:hAnsi="黑体" w:eastAsia="黑体"/>
                <w:b/>
                <w:sz w:val="32"/>
              </w:rPr>
              <w:t>目标领域</w:t>
            </w:r>
          </w:p>
        </w:tc>
        <w:tc>
          <w:tcPr>
            <w:tcW w:w="2268" w:type="dxa"/>
            <w:shd w:val="clear" w:color="auto" w:fill="D9E2F3"/>
          </w:tcPr>
          <w:p w14:paraId="29FFBE65">
            <w:pPr>
              <w:spacing w:before="0" w:after="0" w:line="600" w:lineRule="exact"/>
              <w:jc w:val="center"/>
            </w:pPr>
            <w:r>
              <w:rPr>
                <w:rFonts w:ascii="黑体" w:hAnsi="黑体" w:eastAsia="黑体"/>
                <w:b/>
                <w:sz w:val="32"/>
              </w:rPr>
              <w:t>核心目标</w:t>
            </w:r>
          </w:p>
        </w:tc>
        <w:tc>
          <w:tcPr>
            <w:tcW w:w="5102" w:type="dxa"/>
            <w:shd w:val="clear" w:color="auto" w:fill="D9E2F3"/>
          </w:tcPr>
          <w:p w14:paraId="03FB8C6E">
            <w:pPr>
              <w:spacing w:before="0" w:after="0" w:line="600" w:lineRule="exact"/>
              <w:jc w:val="center"/>
            </w:pPr>
            <w:r>
              <w:rPr>
                <w:rFonts w:ascii="黑体" w:hAnsi="黑体" w:eastAsia="黑体"/>
                <w:b/>
                <w:sz w:val="32"/>
              </w:rPr>
              <w:t>具体指标</w:t>
            </w:r>
          </w:p>
        </w:tc>
      </w:tr>
      <w:tr w14:paraId="41EDB3CB">
        <w:trPr>
          <w:jc w:val="center"/>
        </w:trPr>
        <w:tc>
          <w:tcPr>
            <w:tcW w:w="1701" w:type="dxa"/>
            <w:vAlign w:val="center"/>
          </w:tcPr>
          <w:p w14:paraId="118C2E97">
            <w:pPr>
              <w:spacing w:before="0" w:after="0" w:line="600" w:lineRule="exact"/>
              <w:jc w:val="left"/>
            </w:pPr>
            <w:r>
              <w:rPr>
                <w:rFonts w:ascii="Times New Roman" w:hAnsi="Times New Roman" w:eastAsia="仿宋_GB2312"/>
                <w:sz w:val="32"/>
              </w:rPr>
              <w:t>Android终端平台</w:t>
            </w:r>
          </w:p>
        </w:tc>
        <w:tc>
          <w:tcPr>
            <w:tcW w:w="2268" w:type="dxa"/>
            <w:vAlign w:val="center"/>
          </w:tcPr>
          <w:p w14:paraId="6E87CD2F">
            <w:pPr>
              <w:spacing w:before="0" w:after="0" w:line="600" w:lineRule="exact"/>
              <w:jc w:val="left"/>
            </w:pPr>
            <w:r>
              <w:rPr>
                <w:rFonts w:ascii="Times New Roman" w:hAnsi="Times New Roman" w:eastAsia="仿宋_GB2312"/>
                <w:sz w:val="32"/>
              </w:rPr>
              <w:t>运行提速、高质量代码、架构全面升级、仓库归并</w:t>
            </w:r>
          </w:p>
        </w:tc>
        <w:tc>
          <w:tcPr>
            <w:tcW w:w="5102" w:type="dxa"/>
            <w:vAlign w:val="center"/>
          </w:tcPr>
          <w:p w14:paraId="0E9B4C9D">
            <w:pPr>
              <w:spacing w:before="0" w:after="0" w:line="600" w:lineRule="exact"/>
              <w:jc w:val="left"/>
            </w:pPr>
            <w:r>
              <w:rPr>
                <w:rFonts w:ascii="Times New Roman" w:hAnsi="Times New Roman" w:eastAsia="仿宋_GB2312"/>
                <w:sz w:val="32"/>
              </w:rPr>
              <w:t>将40+仓库中Android及播放器相关部分归并至5个仓库以内（理想目标1个）；接口抽象取代隐式耦合，实现模块化组件化；通过差异化打包实现一套代码支撑多渠道；全面覆盖API 19至指定高版本的兼容性。</w:t>
            </w:r>
          </w:p>
        </w:tc>
      </w:tr>
      <w:tr w14:paraId="6328A2AA">
        <w:trPr>
          <w:jc w:val="center"/>
        </w:trPr>
        <w:tc>
          <w:tcPr>
            <w:tcW w:w="1701" w:type="dxa"/>
            <w:vAlign w:val="center"/>
          </w:tcPr>
          <w:p w14:paraId="02BD4706">
            <w:pPr>
              <w:spacing w:before="0" w:after="0" w:line="600" w:lineRule="exact"/>
              <w:jc w:val="left"/>
            </w:pPr>
            <w:r>
              <w:rPr>
                <w:rFonts w:ascii="Times New Roman" w:hAnsi="Times New Roman" w:eastAsia="仿宋_GB2312"/>
                <w:sz w:val="32"/>
              </w:rPr>
              <w:t>核心业务省份开发</w:t>
            </w:r>
          </w:p>
        </w:tc>
        <w:tc>
          <w:tcPr>
            <w:tcW w:w="2268" w:type="dxa"/>
            <w:vAlign w:val="center"/>
          </w:tcPr>
          <w:p w14:paraId="7E222CA7">
            <w:pPr>
              <w:spacing w:before="0" w:after="0" w:line="600" w:lineRule="exact"/>
              <w:jc w:val="left"/>
            </w:pPr>
            <w:r>
              <w:rPr>
                <w:rFonts w:ascii="Times New Roman" w:hAnsi="Times New Roman" w:eastAsia="仿宋_GB2312"/>
                <w:sz w:val="32"/>
              </w:rPr>
              <w:t>渐进式融入，新架构首个全功能实践标杆</w:t>
            </w:r>
          </w:p>
        </w:tc>
        <w:tc>
          <w:tcPr>
            <w:tcW w:w="5102" w:type="dxa"/>
            <w:vAlign w:val="center"/>
          </w:tcPr>
          <w:p w14:paraId="2EA4DB71">
            <w:pPr>
              <w:spacing w:before="0" w:after="0" w:line="600" w:lineRule="exact"/>
              <w:jc w:val="left"/>
            </w:pPr>
            <w:r>
              <w:rPr>
                <w:rFonts w:ascii="Times New Roman" w:hAnsi="Times New Roman" w:eastAsia="仿宋_GB2312"/>
                <w:sz w:val="32"/>
              </w:rPr>
              <w:t>Android终端及第三方播放器重大业务功能开发，按模块/页面粒度分批开发、分批上线。开发工程须完全遵循新的架构原则与多版本兼容要求，成为新架构下首个全功能实践标杆。</w:t>
            </w:r>
          </w:p>
        </w:tc>
      </w:tr>
      <w:tr w14:paraId="49A21151">
        <w:trPr>
          <w:jc w:val="center"/>
        </w:trPr>
        <w:tc>
          <w:tcPr>
            <w:tcW w:w="1701" w:type="dxa"/>
            <w:vAlign w:val="center"/>
          </w:tcPr>
          <w:p w14:paraId="75B3DD33">
            <w:pPr>
              <w:spacing w:before="0" w:after="0" w:line="600" w:lineRule="exact"/>
              <w:jc w:val="left"/>
            </w:pPr>
            <w:r>
              <w:rPr>
                <w:rFonts w:ascii="Times New Roman" w:hAnsi="Times New Roman" w:eastAsia="仿宋_GB2312"/>
                <w:sz w:val="32"/>
              </w:rPr>
              <w:t>EPG前端平台</w:t>
            </w:r>
          </w:p>
        </w:tc>
        <w:tc>
          <w:tcPr>
            <w:tcW w:w="2268" w:type="dxa"/>
            <w:vAlign w:val="center"/>
          </w:tcPr>
          <w:p w14:paraId="6F1801A2">
            <w:pPr>
              <w:spacing w:before="0" w:after="0" w:line="600" w:lineRule="exact"/>
              <w:jc w:val="left"/>
            </w:pPr>
            <w:r>
              <w:rPr>
                <w:rFonts w:ascii="Times New Roman" w:hAnsi="Times New Roman" w:eastAsia="仿宋_GB2312"/>
                <w:sz w:val="32"/>
              </w:rPr>
              <w:t>Vue2验收与推广、前端仓库合并、性能达标</w:t>
            </w:r>
          </w:p>
        </w:tc>
        <w:tc>
          <w:tcPr>
            <w:tcW w:w="5102" w:type="dxa"/>
            <w:vAlign w:val="center"/>
          </w:tcPr>
          <w:p w14:paraId="1A1F3603">
            <w:pPr>
              <w:spacing w:before="0" w:after="0" w:line="600" w:lineRule="exact"/>
              <w:jc w:val="left"/>
            </w:pPr>
            <w:r>
              <w:rPr>
                <w:rFonts w:ascii="Times New Roman" w:hAnsi="Times New Roman" w:eastAsia="仿宋_GB2312"/>
                <w:sz w:val="32"/>
              </w:rPr>
              <w:t>完成已改造省份的Vue2版本验收与上线；进行针对性性能优化开发；逐步推动剩余jQuery渠道的Vue2迁移与前端仓库合并，实现技术栈统一、性能达标与仓库精简。</w:t>
            </w:r>
          </w:p>
        </w:tc>
      </w:tr>
      <w:tr w14:paraId="073F5D83">
        <w:trPr>
          <w:jc w:val="center"/>
        </w:trPr>
        <w:tc>
          <w:tcPr>
            <w:tcW w:w="1701" w:type="dxa"/>
            <w:vAlign w:val="center"/>
          </w:tcPr>
          <w:p w14:paraId="7D9A7B86">
            <w:pPr>
              <w:spacing w:before="0" w:after="0" w:line="600" w:lineRule="exact"/>
              <w:jc w:val="left"/>
            </w:pPr>
            <w:r>
              <w:rPr>
                <w:rFonts w:ascii="Times New Roman" w:hAnsi="Times New Roman" w:eastAsia="仿宋_GB2312"/>
                <w:sz w:val="32"/>
              </w:rPr>
              <w:t>旧仓退役</w:t>
            </w:r>
          </w:p>
        </w:tc>
        <w:tc>
          <w:tcPr>
            <w:tcW w:w="2268" w:type="dxa"/>
            <w:vAlign w:val="center"/>
          </w:tcPr>
          <w:p w14:paraId="1D998E31">
            <w:pPr>
              <w:spacing w:before="0" w:after="0" w:line="600" w:lineRule="exact"/>
              <w:jc w:val="left"/>
            </w:pPr>
            <w:r>
              <w:rPr>
                <w:rFonts w:ascii="Times New Roman" w:hAnsi="Times New Roman" w:eastAsia="仿宋_GB2312"/>
                <w:sz w:val="32"/>
              </w:rPr>
              <w:t>新架构覆盖一个渠道即下线对应旧仓</w:t>
            </w:r>
          </w:p>
        </w:tc>
        <w:tc>
          <w:tcPr>
            <w:tcW w:w="5102" w:type="dxa"/>
            <w:vAlign w:val="center"/>
          </w:tcPr>
          <w:p w14:paraId="7CA33CF5">
            <w:pPr>
              <w:spacing w:before="0" w:after="0" w:line="600" w:lineRule="exact"/>
              <w:jc w:val="left"/>
            </w:pPr>
            <w:r>
              <w:rPr>
                <w:rFonts w:ascii="Times New Roman" w:hAnsi="Times New Roman" w:eastAsia="仿宋_GB2312"/>
                <w:sz w:val="32"/>
              </w:rPr>
              <w:t>新架构每覆盖一个渠道，对应的老旧仓库即转为仅紧急维护状态，并逐步下线。</w:t>
            </w:r>
          </w:p>
        </w:tc>
      </w:tr>
    </w:tbl>
    <w:p w14:paraId="145D1C62">
      <w:pPr>
        <w:spacing w:before="0" w:after="0" w:line="600" w:lineRule="exact"/>
        <w:ind w:firstLine="640"/>
        <w:jc w:val="left"/>
        <w:outlineLvl w:val="0"/>
      </w:pPr>
      <w:bookmarkStart w:id="11" w:name="_Toc2096611139"/>
      <w:r>
        <w:rPr>
          <w:rFonts w:ascii="黑体" w:hAnsi="黑体" w:eastAsia="黑体"/>
          <w:b w:val="0"/>
          <w:sz w:val="32"/>
        </w:rPr>
        <w:t>三、详细软件开发范围与需求说明</w:t>
      </w:r>
      <w:bookmarkEnd w:id="11"/>
    </w:p>
    <w:p w14:paraId="14596AFE">
      <w:pPr>
        <w:spacing w:before="0" w:after="0" w:line="600" w:lineRule="exact"/>
        <w:ind w:firstLine="640"/>
        <w:jc w:val="left"/>
        <w:outlineLvl w:val="1"/>
      </w:pPr>
      <w:bookmarkStart w:id="12" w:name="_Toc1831733197"/>
      <w:r>
        <w:rPr>
          <w:rFonts w:ascii="Times New Roman" w:hAnsi="Times New Roman" w:eastAsia="楷体_GB2312"/>
          <w:b/>
          <w:sz w:val="32"/>
        </w:rPr>
        <w:t>3.1 Android终端平台架构升级与仓库归并开发</w:t>
      </w:r>
      <w:bookmarkEnd w:id="12"/>
    </w:p>
    <w:p w14:paraId="7B6773F9">
      <w:pPr>
        <w:spacing w:before="0" w:after="0" w:line="600" w:lineRule="exact"/>
        <w:ind w:firstLine="640"/>
        <w:jc w:val="both"/>
      </w:pPr>
      <w:r>
        <w:rPr>
          <w:rFonts w:ascii="Times New Roman" w:hAnsi="Times New Roman" w:eastAsia="仿宋_GB2312"/>
          <w:b w:val="0"/>
          <w:sz w:val="32"/>
        </w:rPr>
        <w:t>本模块是本项目的核心开发工作，要求开发合作方在技术负责人的统筹下完成系统性软件架构升级开发，消除技术债务，实现代码仓库大幅收敛。</w:t>
      </w:r>
    </w:p>
    <w:p w14:paraId="7C303E26">
      <w:pPr>
        <w:spacing w:before="0" w:after="0" w:line="600" w:lineRule="exact"/>
        <w:ind w:firstLine="640"/>
        <w:jc w:val="left"/>
        <w:outlineLvl w:val="2"/>
      </w:pPr>
      <w:bookmarkStart w:id="13" w:name="_Toc1761762234"/>
      <w:r>
        <w:rPr>
          <w:rFonts w:ascii="Times New Roman" w:hAnsi="Times New Roman" w:eastAsia="仿宋_GB2312"/>
          <w:b/>
          <w:sz w:val="32"/>
        </w:rPr>
        <w:t>3.1.1 架构设计与基线确立</w:t>
      </w:r>
      <w:bookmarkEnd w:id="13"/>
    </w:p>
    <w:p w14:paraId="07B7CBE7">
      <w:pPr>
        <w:spacing w:before="0" w:after="0" w:line="600" w:lineRule="exact"/>
        <w:ind w:firstLine="640"/>
        <w:jc w:val="both"/>
      </w:pPr>
      <w:r>
        <w:rPr>
          <w:rFonts w:ascii="Times New Roman" w:hAnsi="Times New Roman" w:eastAsia="仿宋_GB2312"/>
          <w:b w:val="0"/>
          <w:sz w:val="32"/>
        </w:rPr>
        <w:t>盘点所有Android及播放器仓库的公共能力与真实差异，从消除隐式耦合、性能优化和代码质量三个维度出发进行领域建模，明确各模块职责边界。</w:t>
      </w:r>
    </w:p>
    <w:p w14:paraId="51C98C6A">
      <w:pPr>
        <w:spacing w:before="0" w:after="0" w:line="600" w:lineRule="exact"/>
        <w:ind w:firstLine="640"/>
        <w:jc w:val="both"/>
      </w:pPr>
      <w:r>
        <w:rPr>
          <w:rFonts w:ascii="Times New Roman" w:hAnsi="Times New Roman" w:eastAsia="仿宋_GB2312"/>
          <w:b w:val="0"/>
          <w:sz w:val="32"/>
        </w:rPr>
        <w:t>以面向接口为核心定义组件间通信协议和服务契约，明确各核心能力（播放器、支付、登录、日志等）的服务接口，通过接口注册或依赖注入方式替代全局单例获取。</w:t>
      </w:r>
    </w:p>
    <w:p w14:paraId="69688093">
      <w:pPr>
        <w:spacing w:before="0" w:after="0" w:line="600" w:lineRule="exact"/>
        <w:ind w:firstLine="640"/>
        <w:jc w:val="both"/>
      </w:pPr>
      <w:r>
        <w:rPr>
          <w:rFonts w:ascii="Times New Roman" w:hAnsi="Times New Roman" w:eastAsia="仿宋_GB2312"/>
          <w:b w:val="0"/>
          <w:sz w:val="32"/>
        </w:rPr>
        <w:t>以面向组件为粒度划分业务组件，以面向模块为层次规划基础库、核心能力组件、业务组件、宿主壳的分层依赖关系。</w:t>
      </w:r>
    </w:p>
    <w:p w14:paraId="0D6316AF">
      <w:pPr>
        <w:spacing w:before="0" w:after="0" w:line="600" w:lineRule="exact"/>
        <w:ind w:firstLine="640"/>
        <w:jc w:val="both"/>
      </w:pPr>
      <w:r>
        <w:rPr>
          <w:rFonts w:ascii="Times New Roman" w:hAnsi="Times New Roman" w:eastAsia="仿宋_GB2312"/>
          <w:b w:val="0"/>
          <w:sz w:val="32"/>
        </w:rPr>
        <w:t>确定多渠道打包策略。播放器部分定义为独立SDK组件，对外暴露稳定接口。</w:t>
      </w:r>
    </w:p>
    <w:p w14:paraId="3CB47B76">
      <w:pPr>
        <w:spacing w:before="0" w:after="0" w:line="600" w:lineRule="exact"/>
        <w:ind w:firstLine="640"/>
        <w:jc w:val="both"/>
      </w:pPr>
      <w:r>
        <w:rPr>
          <w:rFonts w:ascii="Times New Roman" w:hAnsi="Times New Roman" w:eastAsia="仿宋_GB2312"/>
          <w:b w:val="0"/>
          <w:sz w:val="32"/>
        </w:rPr>
        <w:t>多版本兼容设计：确定各目标API级别的差异清单（权限模型、存储访问、后台执行、通知、WebView内核差异等），建立版本适配编码规范。</w:t>
      </w:r>
    </w:p>
    <w:p w14:paraId="287421CA">
      <w:pPr>
        <w:spacing w:before="0" w:after="0" w:line="600" w:lineRule="exact"/>
        <w:ind w:firstLine="640"/>
        <w:jc w:val="both"/>
      </w:pPr>
      <w:r>
        <w:rPr>
          <w:rFonts w:ascii="Times New Roman" w:hAnsi="Times New Roman" w:eastAsia="仿宋_GB2312"/>
          <w:b w:val="0"/>
          <w:sz w:val="32"/>
        </w:rPr>
        <w:t>性能目标基线：在架构设计阶段即明确关键性能指标的目标值，作为后续开发的约束条件。</w:t>
      </w:r>
    </w:p>
    <w:p w14:paraId="4FDC3C7F">
      <w:pPr>
        <w:spacing w:before="0" w:after="0" w:line="600" w:lineRule="exact"/>
        <w:ind w:firstLine="640"/>
        <w:jc w:val="left"/>
        <w:outlineLvl w:val="2"/>
      </w:pPr>
      <w:bookmarkStart w:id="14" w:name="_Toc433342002"/>
      <w:r>
        <w:rPr>
          <w:rFonts w:ascii="Times New Roman" w:hAnsi="Times New Roman" w:eastAsia="仿宋_GB2312"/>
          <w:b/>
          <w:sz w:val="32"/>
        </w:rPr>
        <w:t>3.1.2 基础组件层重构开发（接口先行，性能优先）</w:t>
      </w:r>
      <w:bookmarkEnd w:id="14"/>
    </w:p>
    <w:p w14:paraId="12EF8A5D">
      <w:pPr>
        <w:spacing w:before="0" w:after="0" w:line="600" w:lineRule="exact"/>
        <w:ind w:firstLine="640"/>
        <w:jc w:val="both"/>
      </w:pPr>
      <w:r>
        <w:rPr>
          <w:rFonts w:ascii="Times New Roman" w:hAnsi="Times New Roman" w:eastAsia="仿宋_GB2312"/>
          <w:b w:val="0"/>
          <w:sz w:val="32"/>
        </w:rPr>
        <w:t>先定义各基础模块的服务接口，再进行实现。网络请求、播放器内核、登录鉴权、支付、日志等核心基础模块，以标准化AAR形式发布至制品库，仅暴露接口，隐藏实现细节。</w:t>
      </w:r>
    </w:p>
    <w:p w14:paraId="631B343E">
      <w:pPr>
        <w:spacing w:before="0" w:after="0" w:line="600" w:lineRule="exact"/>
        <w:ind w:firstLine="640"/>
        <w:jc w:val="both"/>
      </w:pPr>
      <w:r>
        <w:rPr>
          <w:rFonts w:ascii="Times New Roman" w:hAnsi="Times New Roman" w:eastAsia="仿宋_GB2312"/>
          <w:b w:val="0"/>
          <w:sz w:val="32"/>
        </w:rPr>
        <w:t>所有核心能力统一通过接口对外提供服务，杜绝业务代码中的全局单例直接引用。基础组件须封装版本差异，对外提供统一接口。</w:t>
      </w:r>
    </w:p>
    <w:p w14:paraId="6ABA1321">
      <w:pPr>
        <w:spacing w:before="0" w:after="0" w:line="600" w:lineRule="exact"/>
        <w:ind w:firstLine="640"/>
        <w:jc w:val="both"/>
      </w:pPr>
      <w:r>
        <w:rPr>
          <w:rFonts w:ascii="Times New Roman" w:hAnsi="Times New Roman" w:eastAsia="仿宋_GB2312"/>
          <w:b w:val="0"/>
          <w:sz w:val="32"/>
        </w:rPr>
        <w:t>性能开发要求：重点优化对象创建和回收策略，减少内存分配和GC压力；针对低内存设备优化缓存策略；确保在高版本设备上无后台执行限制导致的服务中断等问题。</w:t>
      </w:r>
    </w:p>
    <w:p w14:paraId="47474FC9">
      <w:pPr>
        <w:spacing w:before="0" w:after="0" w:line="600" w:lineRule="exact"/>
        <w:ind w:firstLine="640"/>
        <w:jc w:val="left"/>
        <w:outlineLvl w:val="2"/>
      </w:pPr>
      <w:bookmarkStart w:id="15" w:name="_Toc1061980637"/>
      <w:r>
        <w:rPr>
          <w:rFonts w:ascii="Times New Roman" w:hAnsi="Times New Roman" w:eastAsia="仿宋_GB2312"/>
          <w:b/>
          <w:sz w:val="32"/>
        </w:rPr>
        <w:t>3.1.3 业务组件抽象与多渠道工程搭建</w:t>
      </w:r>
      <w:bookmarkEnd w:id="15"/>
    </w:p>
    <w:p w14:paraId="133C1C88">
      <w:pPr>
        <w:spacing w:before="0" w:after="0" w:line="600" w:lineRule="exact"/>
        <w:ind w:firstLine="640"/>
        <w:jc w:val="both"/>
      </w:pPr>
      <w:r>
        <w:rPr>
          <w:rFonts w:ascii="Times New Roman" w:hAnsi="Times New Roman" w:eastAsia="仿宋_GB2312"/>
          <w:b w:val="0"/>
          <w:sz w:val="32"/>
        </w:rPr>
        <w:t>将各省份业务依据共同接口契约抽象为可装配的业务组件，差异部分通过接口的不同实现隔离。</w:t>
      </w:r>
    </w:p>
    <w:p w14:paraId="694C4302">
      <w:pPr>
        <w:spacing w:before="0" w:after="0" w:line="600" w:lineRule="exact"/>
        <w:ind w:firstLine="640"/>
        <w:jc w:val="both"/>
      </w:pPr>
      <w:r>
        <w:rPr>
          <w:rFonts w:ascii="Times New Roman" w:hAnsi="Times New Roman" w:eastAsia="仿宋_GB2312"/>
          <w:b w:val="0"/>
          <w:sz w:val="32"/>
        </w:rPr>
        <w:t>搭建宿主壳工程，利用Gradle管理产品变体，实现一套代码、差异化打包产出。宿主工程仅依赖业务组件的接口，不感知具体实现。工程统一配置minSdk 19，targetSdk保持与指定高版本对齐。</w:t>
      </w:r>
    </w:p>
    <w:p w14:paraId="4301B27C">
      <w:pPr>
        <w:spacing w:before="0" w:after="0" w:line="600" w:lineRule="exact"/>
        <w:ind w:firstLine="640"/>
        <w:jc w:val="left"/>
        <w:outlineLvl w:val="2"/>
      </w:pPr>
      <w:bookmarkStart w:id="16" w:name="_Toc971975842"/>
      <w:r>
        <w:rPr>
          <w:rFonts w:ascii="Times New Roman" w:hAnsi="Times New Roman" w:eastAsia="仿宋_GB2312"/>
          <w:b/>
          <w:sz w:val="32"/>
        </w:rPr>
        <w:t>3.1.4 仓库收敛开发执行</w:t>
      </w:r>
      <w:bookmarkEnd w:id="16"/>
    </w:p>
    <w:p w14:paraId="1A99FF1C">
      <w:pPr>
        <w:spacing w:before="0" w:after="0" w:line="600" w:lineRule="exact"/>
        <w:ind w:firstLine="640"/>
        <w:jc w:val="both"/>
      </w:pPr>
      <w:r>
        <w:rPr>
          <w:rFonts w:ascii="Times New Roman" w:hAnsi="Times New Roman" w:eastAsia="仿宋_GB2312"/>
          <w:b w:val="0"/>
          <w:sz w:val="32"/>
        </w:rPr>
        <w:t>分批次将旧有渠道迁移至新架构，每接入一个渠道即下线一批老仓库。</w:t>
      </w:r>
    </w:p>
    <w:p w14:paraId="717394E3">
      <w:pPr>
        <w:spacing w:before="0" w:after="0" w:line="600" w:lineRule="exact"/>
        <w:ind w:firstLine="640"/>
        <w:jc w:val="both"/>
      </w:pPr>
      <w:r>
        <w:rPr>
          <w:rFonts w:ascii="Times New Roman" w:hAnsi="Times New Roman" w:eastAsia="仿宋_GB2312"/>
          <w:b w:val="0"/>
          <w:sz w:val="32"/>
        </w:rPr>
        <w:t>迁移开发过程中必须同步消除旧代码中的面向实现耦合和全局单例依赖，替换为面向接口调用，并持续测量性能指标确保不退化。</w:t>
      </w:r>
    </w:p>
    <w:p w14:paraId="206F7910">
      <w:pPr>
        <w:spacing w:before="0" w:after="0" w:line="600" w:lineRule="exact"/>
        <w:ind w:firstLine="640"/>
        <w:jc w:val="both"/>
      </w:pPr>
      <w:r>
        <w:rPr>
          <w:rFonts w:ascii="Times New Roman" w:hAnsi="Times New Roman" w:eastAsia="仿宋_GB2312"/>
          <w:b w:val="0"/>
          <w:sz w:val="32"/>
        </w:rPr>
        <w:t>迁移开发全程需进行API 19至指定高版本多级设备的回归测试，最终实现Android端工程仓库从40+降至5个以内。</w:t>
      </w:r>
    </w:p>
    <w:p w14:paraId="34C0C940">
      <w:pPr>
        <w:spacing w:before="0" w:after="0" w:line="600" w:lineRule="exact"/>
        <w:ind w:firstLine="640"/>
        <w:jc w:val="left"/>
        <w:outlineLvl w:val="1"/>
      </w:pPr>
      <w:bookmarkStart w:id="17" w:name="_Toc89873765"/>
      <w:r>
        <w:rPr>
          <w:rFonts w:ascii="Times New Roman" w:hAnsi="Times New Roman" w:eastAsia="楷体_GB2312"/>
          <w:b/>
          <w:sz w:val="32"/>
        </w:rPr>
        <w:t>3.2 核心业务省份终端产品功能重大开发</w:t>
      </w:r>
      <w:bookmarkEnd w:id="17"/>
    </w:p>
    <w:p w14:paraId="275BA401">
      <w:pPr>
        <w:spacing w:before="0" w:after="0" w:line="600" w:lineRule="exact"/>
        <w:ind w:firstLine="640"/>
        <w:jc w:val="both"/>
      </w:pPr>
      <w:r>
        <w:rPr>
          <w:rFonts w:ascii="Times New Roman" w:hAnsi="Times New Roman" w:eastAsia="仿宋_GB2312"/>
          <w:b w:val="0"/>
          <w:sz w:val="32"/>
        </w:rPr>
        <w:t>此项功能开发仅涉及Android终端及第三方播放器，不含EPG前端。</w:t>
      </w:r>
    </w:p>
    <w:p w14:paraId="2337D132">
      <w:pPr>
        <w:spacing w:before="0" w:after="0" w:line="600" w:lineRule="exact"/>
        <w:ind w:firstLine="640"/>
        <w:jc w:val="left"/>
        <w:outlineLvl w:val="2"/>
      </w:pPr>
      <w:bookmarkStart w:id="18" w:name="_Toc827364514"/>
      <w:r>
        <w:rPr>
          <w:rFonts w:ascii="Times New Roman" w:hAnsi="Times New Roman" w:eastAsia="仿宋_GB2312"/>
          <w:b/>
          <w:sz w:val="32"/>
        </w:rPr>
        <w:t>3.2.1 渐进式开发与上线策略</w:t>
      </w:r>
      <w:bookmarkEnd w:id="18"/>
    </w:p>
    <w:p w14:paraId="6BCF5CF3">
      <w:pPr>
        <w:spacing w:before="0" w:after="0" w:line="600" w:lineRule="exact"/>
        <w:ind w:firstLine="640"/>
        <w:jc w:val="both"/>
      </w:pPr>
      <w:r>
        <w:rPr>
          <w:rFonts w:ascii="Times New Roman" w:hAnsi="Times New Roman" w:eastAsia="仿宋_GB2312"/>
          <w:b w:val="0"/>
          <w:sz w:val="32"/>
        </w:rPr>
        <w:t>功能开发采用渐进式融入方案，按模块或页面粒度分批开发，完成一个功能模块/页面并验证通过后即安排上线，而非等待整体开发完毕一次性发布。</w:t>
      </w:r>
    </w:p>
    <w:p w14:paraId="320DD9DC">
      <w:pPr>
        <w:spacing w:before="0" w:after="0" w:line="600" w:lineRule="exact"/>
        <w:ind w:firstLine="640"/>
        <w:jc w:val="both"/>
      </w:pPr>
      <w:r>
        <w:rPr>
          <w:rFonts w:ascii="Times New Roman" w:hAnsi="Times New Roman" w:eastAsia="仿宋_GB2312"/>
          <w:b w:val="0"/>
          <w:sz w:val="32"/>
        </w:rPr>
        <w:t>软件架构设计需支持新老功能并行运行的过渡阶段，通过功能开关或组件化装配实现新模块的独立上线与回滚。</w:t>
      </w:r>
    </w:p>
    <w:p w14:paraId="6BB4BCDA">
      <w:pPr>
        <w:spacing w:before="0" w:after="0" w:line="600" w:lineRule="exact"/>
        <w:ind w:firstLine="640"/>
        <w:jc w:val="left"/>
        <w:outlineLvl w:val="2"/>
      </w:pPr>
      <w:bookmarkStart w:id="19" w:name="_Toc558772473"/>
      <w:r>
        <w:rPr>
          <w:rFonts w:ascii="Times New Roman" w:hAnsi="Times New Roman" w:eastAsia="仿宋_GB2312"/>
          <w:b/>
          <w:sz w:val="32"/>
        </w:rPr>
        <w:t>3.2.2 技术要求</w:t>
      </w:r>
      <w:bookmarkEnd w:id="19"/>
    </w:p>
    <w:p w14:paraId="66876075">
      <w:pPr>
        <w:spacing w:before="0" w:after="0" w:line="600" w:lineRule="exact"/>
        <w:ind w:firstLine="640"/>
        <w:jc w:val="both"/>
      </w:pPr>
      <w:r>
        <w:rPr>
          <w:rFonts w:ascii="Times New Roman" w:hAnsi="Times New Roman" w:eastAsia="仿宋_GB2312"/>
          <w:b w:val="0"/>
          <w:sz w:val="32"/>
        </w:rPr>
        <w:t>所有新开发功能直接在新架构上构建，严格按照接口契约开发，不得为赶工绕过接口直接依赖实现类或全局单例，使该省份成为新架构下的首个完整落地渠道。</w:t>
      </w:r>
    </w:p>
    <w:p w14:paraId="4A18F686">
      <w:pPr>
        <w:spacing w:before="0" w:after="0" w:line="600" w:lineRule="exact"/>
        <w:ind w:firstLine="640"/>
        <w:jc w:val="both"/>
      </w:pPr>
      <w:r>
        <w:rPr>
          <w:rFonts w:ascii="Times New Roman" w:hAnsi="Times New Roman" w:eastAsia="仿宋_GB2312"/>
          <w:b w:val="0"/>
          <w:sz w:val="32"/>
        </w:rPr>
        <w:t>开发过程中须时刻关注在API 19基线设备及更高版本设备上的表现。</w:t>
      </w:r>
    </w:p>
    <w:p w14:paraId="298BA22F">
      <w:pPr>
        <w:spacing w:before="0" w:after="0" w:line="600" w:lineRule="exact"/>
        <w:ind w:firstLine="640"/>
        <w:jc w:val="both"/>
      </w:pPr>
      <w:r>
        <w:rPr>
          <w:rFonts w:ascii="Times New Roman" w:hAnsi="Times New Roman" w:eastAsia="仿宋_GB2312"/>
          <w:b w:val="0"/>
          <w:sz w:val="32"/>
        </w:rPr>
        <w:t>技术方案须重点考虑对内存泄漏、资源未释放等影响平台稳定性行为的防范，须通过架构设计和技术框架的自动管理来规避此类问题。</w:t>
      </w:r>
    </w:p>
    <w:p w14:paraId="540C80E3">
      <w:pPr>
        <w:spacing w:before="0" w:after="0" w:line="600" w:lineRule="exact"/>
        <w:ind w:firstLine="640"/>
        <w:jc w:val="both"/>
      </w:pPr>
      <w:r>
        <w:rPr>
          <w:rFonts w:ascii="Times New Roman" w:hAnsi="Times New Roman" w:eastAsia="仿宋_GB2312"/>
          <w:b w:val="0"/>
          <w:sz w:val="32"/>
        </w:rPr>
        <w:t>开发完成后须通过架构合规审查，并通过多级Android版本（至少覆盖API 19、API 23、API 28及当前主要指定版本）的兼容性测试。</w:t>
      </w:r>
    </w:p>
    <w:p w14:paraId="53EE310C">
      <w:pPr>
        <w:spacing w:before="0" w:after="0" w:line="600" w:lineRule="exact"/>
        <w:ind w:firstLine="640"/>
        <w:jc w:val="left"/>
        <w:outlineLvl w:val="1"/>
      </w:pPr>
      <w:bookmarkStart w:id="20" w:name="_Toc342965380"/>
      <w:r>
        <w:rPr>
          <w:rFonts w:ascii="Times New Roman" w:hAnsi="Times New Roman" w:eastAsia="楷体_GB2312"/>
          <w:b/>
          <w:sz w:val="32"/>
        </w:rPr>
        <w:t>3.3 EPG前端平台现代化改造开发</w:t>
      </w:r>
      <w:bookmarkEnd w:id="20"/>
    </w:p>
    <w:p w14:paraId="465FBF11">
      <w:pPr>
        <w:spacing w:before="0" w:after="0" w:line="600" w:lineRule="exact"/>
        <w:ind w:firstLine="640"/>
        <w:jc w:val="left"/>
        <w:outlineLvl w:val="2"/>
      </w:pPr>
      <w:bookmarkStart w:id="21" w:name="_Toc373033112"/>
      <w:r>
        <w:rPr>
          <w:rFonts w:ascii="Times New Roman" w:hAnsi="Times New Roman" w:eastAsia="仿宋_GB2312"/>
          <w:b/>
          <w:sz w:val="32"/>
        </w:rPr>
        <w:t>3.3.1 已完成渠道的验收与性能优化开发</w:t>
      </w:r>
      <w:bookmarkEnd w:id="21"/>
    </w:p>
    <w:p w14:paraId="5F68EE81">
      <w:pPr>
        <w:spacing w:before="0" w:after="0" w:line="600" w:lineRule="exact"/>
        <w:ind w:firstLine="640"/>
        <w:jc w:val="both"/>
      </w:pPr>
      <w:r>
        <w:rPr>
          <w:rFonts w:ascii="Times New Roman" w:hAnsi="Times New Roman" w:eastAsia="仿宋_GB2312"/>
          <w:b w:val="0"/>
          <w:sz w:val="32"/>
        </w:rPr>
        <w:t>对由jQuery迁移至Vue2的省份渠道，进行全面的功能、兼容性和性能回归测试，修复遗留缺陷，完成正式验收。</w:t>
      </w:r>
    </w:p>
    <w:p w14:paraId="1AEBC01F">
      <w:pPr>
        <w:spacing w:before="0" w:after="0" w:line="600" w:lineRule="exact"/>
        <w:ind w:firstLine="640"/>
        <w:jc w:val="both"/>
      </w:pPr>
      <w:r>
        <w:rPr>
          <w:rFonts w:ascii="Times New Roman" w:hAnsi="Times New Roman" w:eastAsia="仿宋_GB2312"/>
          <w:b w:val="0"/>
          <w:sz w:val="32"/>
        </w:rPr>
        <w:t>首屏加载优化开发：通过组件懒加载、资源预加载与按需加载、关键渲染路径优化等手段，缩短用户可见的首屏内容呈现时间。</w:t>
      </w:r>
    </w:p>
    <w:p w14:paraId="15B16B73">
      <w:pPr>
        <w:spacing w:before="0" w:after="0" w:line="600" w:lineRule="exact"/>
        <w:ind w:firstLine="640"/>
        <w:jc w:val="both"/>
      </w:pPr>
      <w:r>
        <w:rPr>
          <w:rFonts w:ascii="Times New Roman" w:hAnsi="Times New Roman" w:eastAsia="仿宋_GB2312"/>
          <w:b w:val="0"/>
          <w:sz w:val="32"/>
        </w:rPr>
        <w:t>页面切换流畅度开发：优化路由切换时的组件销毁与重建开销，减少不必要的重渲染。</w:t>
      </w:r>
    </w:p>
    <w:p w14:paraId="0BE817AA">
      <w:pPr>
        <w:spacing w:before="0" w:after="0" w:line="600" w:lineRule="exact"/>
        <w:ind w:firstLine="640"/>
        <w:jc w:val="both"/>
      </w:pPr>
      <w:r>
        <w:rPr>
          <w:rFonts w:ascii="Times New Roman" w:hAnsi="Times New Roman" w:eastAsia="仿宋_GB2312"/>
          <w:b w:val="0"/>
          <w:sz w:val="32"/>
        </w:rPr>
        <w:t>内存与资源管理开发：排查并修复内存泄漏，优化图片资源加载和缓存策略，降低在低内存设备（基于Android 4.4 WebView）上的运行时内存占用。</w:t>
      </w:r>
    </w:p>
    <w:p w14:paraId="2CA9576A">
      <w:pPr>
        <w:spacing w:before="0" w:after="0" w:line="600" w:lineRule="exact"/>
        <w:ind w:firstLine="640"/>
        <w:jc w:val="both"/>
      </w:pPr>
      <w:r>
        <w:rPr>
          <w:rFonts w:ascii="Times New Roman" w:hAnsi="Times New Roman" w:eastAsia="仿宋_GB2312"/>
          <w:b w:val="0"/>
          <w:sz w:val="32"/>
        </w:rPr>
        <w:t>渲染性能开发：减少不必要的DOM操作，合理使用虚拟滚动等技术处理长列表，确保在老旧WebView内核下页面滚动与交互流畅。</w:t>
      </w:r>
    </w:p>
    <w:p w14:paraId="25558B24">
      <w:pPr>
        <w:spacing w:before="0" w:after="0" w:line="600" w:lineRule="exact"/>
        <w:ind w:firstLine="640"/>
        <w:jc w:val="left"/>
        <w:outlineLvl w:val="2"/>
      </w:pPr>
      <w:bookmarkStart w:id="22" w:name="_Toc1062747791"/>
      <w:r>
        <w:rPr>
          <w:rFonts w:ascii="Times New Roman" w:hAnsi="Times New Roman" w:eastAsia="仿宋_GB2312"/>
          <w:b/>
          <w:sz w:val="32"/>
        </w:rPr>
        <w:t>3.3.2 兼容性保障开发</w:t>
      </w:r>
      <w:bookmarkEnd w:id="22"/>
    </w:p>
    <w:p w14:paraId="7619B0B2">
      <w:pPr>
        <w:spacing w:before="0" w:after="0" w:line="600" w:lineRule="exact"/>
        <w:ind w:firstLine="640"/>
        <w:jc w:val="both"/>
      </w:pPr>
      <w:r>
        <w:rPr>
          <w:rFonts w:ascii="Times New Roman" w:hAnsi="Times New Roman" w:eastAsia="仿宋_GB2312"/>
          <w:b w:val="0"/>
          <w:sz w:val="32"/>
        </w:rPr>
        <w:t>测试须覆盖Android 4.4内置WebView（Chromium 30-33内核）及高版本WebView环境。</w:t>
      </w:r>
    </w:p>
    <w:p w14:paraId="5B85AC05">
      <w:pPr>
        <w:spacing w:before="0" w:after="0" w:line="600" w:lineRule="exact"/>
        <w:ind w:firstLine="640"/>
        <w:jc w:val="both"/>
      </w:pPr>
      <w:r>
        <w:rPr>
          <w:rFonts w:ascii="Times New Roman" w:hAnsi="Times New Roman" w:eastAsia="仿宋_GB2312"/>
          <w:b w:val="0"/>
          <w:sz w:val="32"/>
        </w:rPr>
        <w:t>针对低版本WebView的特定限制（如ES6语法支持不完整、CSS特性缺失等），须明确polyfill及降级方案，确保功能正常且性能可接受。</w:t>
      </w:r>
    </w:p>
    <w:p w14:paraId="2EE8EBBE">
      <w:pPr>
        <w:spacing w:before="0" w:after="0" w:line="600" w:lineRule="exact"/>
        <w:ind w:firstLine="640"/>
        <w:jc w:val="left"/>
        <w:outlineLvl w:val="2"/>
      </w:pPr>
      <w:bookmarkStart w:id="23" w:name="_Toc980631238"/>
      <w:r>
        <w:rPr>
          <w:rFonts w:ascii="Times New Roman" w:hAnsi="Times New Roman" w:eastAsia="仿宋_GB2312"/>
          <w:b/>
          <w:sz w:val="32"/>
        </w:rPr>
        <w:t>3.3.3 剩余渠道的迁移开发与仓库合并</w:t>
      </w:r>
      <w:bookmarkEnd w:id="23"/>
    </w:p>
    <w:p w14:paraId="11959CA2">
      <w:pPr>
        <w:spacing w:before="0" w:after="0" w:line="600" w:lineRule="exact"/>
        <w:ind w:firstLine="640"/>
        <w:jc w:val="both"/>
      </w:pPr>
      <w:r>
        <w:rPr>
          <w:rFonts w:ascii="Times New Roman" w:hAnsi="Times New Roman" w:eastAsia="仿宋_GB2312"/>
          <w:b w:val="0"/>
          <w:sz w:val="32"/>
        </w:rPr>
        <w:t>基于已验证并优化后的Vue2方案，规划并实施剩余老旧前端渠道的迁移开发。</w:t>
      </w:r>
    </w:p>
    <w:p w14:paraId="115DA815">
      <w:pPr>
        <w:spacing w:before="0" w:after="0" w:line="600" w:lineRule="exact"/>
        <w:ind w:firstLine="640"/>
        <w:jc w:val="both"/>
      </w:pPr>
      <w:r>
        <w:rPr>
          <w:rFonts w:ascii="Times New Roman" w:hAnsi="Times New Roman" w:eastAsia="仿宋_GB2312"/>
          <w:b w:val="0"/>
          <w:sz w:val="32"/>
        </w:rPr>
        <w:t>将性能优化措施的落地作为迁移开发的组成部分，避免性能问题随迁移扩散。</w:t>
      </w:r>
    </w:p>
    <w:p w14:paraId="266DD993">
      <w:pPr>
        <w:spacing w:before="0" w:after="0" w:line="600" w:lineRule="exact"/>
        <w:ind w:firstLine="640"/>
        <w:jc w:val="both"/>
      </w:pPr>
      <w:r>
        <w:rPr>
          <w:rFonts w:ascii="Times New Roman" w:hAnsi="Times New Roman" w:eastAsia="仿宋_GB2312"/>
          <w:b w:val="0"/>
          <w:sz w:val="32"/>
        </w:rPr>
        <w:t>同步进行前端仓库的合并与清理，抽取公共组件，削减冗余仓库数量。</w:t>
      </w:r>
    </w:p>
    <w:p w14:paraId="02D59448">
      <w:pPr>
        <w:spacing w:before="0" w:after="0" w:line="600" w:lineRule="exact"/>
        <w:ind w:firstLine="640"/>
        <w:jc w:val="left"/>
        <w:outlineLvl w:val="2"/>
      </w:pPr>
      <w:bookmarkStart w:id="24" w:name="_Toc1679709988"/>
      <w:r>
        <w:rPr>
          <w:rFonts w:ascii="Times New Roman" w:hAnsi="Times New Roman" w:eastAsia="仿宋_GB2312"/>
          <w:b/>
          <w:sz w:val="32"/>
        </w:rPr>
        <w:t>3.3.4 日常维护开发</w:t>
      </w:r>
      <w:bookmarkEnd w:id="24"/>
    </w:p>
    <w:p w14:paraId="3321F0F3">
      <w:pPr>
        <w:spacing w:before="0" w:after="0" w:line="600" w:lineRule="exact"/>
        <w:ind w:firstLine="640"/>
        <w:jc w:val="both"/>
      </w:pPr>
      <w:r>
        <w:rPr>
          <w:rFonts w:ascii="Times New Roman" w:hAnsi="Times New Roman" w:eastAsia="仿宋_GB2312"/>
          <w:b w:val="0"/>
          <w:sz w:val="32"/>
        </w:rPr>
        <w:t>承接线上EPG前端渠道的日常问题修复、紧急功能开发及持续的小幅性能改进。</w:t>
      </w:r>
    </w:p>
    <w:p w14:paraId="648CC793">
      <w:pPr>
        <w:spacing w:before="0" w:after="0" w:line="600" w:lineRule="exact"/>
        <w:ind w:firstLine="640"/>
        <w:jc w:val="left"/>
        <w:outlineLvl w:val="1"/>
      </w:pPr>
      <w:bookmarkStart w:id="25" w:name="_Toc65744854"/>
      <w:r>
        <w:rPr>
          <w:rFonts w:ascii="Times New Roman" w:hAnsi="Times New Roman" w:eastAsia="楷体_GB2312"/>
          <w:b/>
          <w:sz w:val="32"/>
        </w:rPr>
        <w:t>3.4 软件工程化体系建设</w:t>
      </w:r>
      <w:bookmarkEnd w:id="25"/>
    </w:p>
    <w:p w14:paraId="677438E8">
      <w:pPr>
        <w:spacing w:before="0" w:after="0" w:line="600" w:lineRule="exact"/>
        <w:ind w:firstLine="640"/>
        <w:jc w:val="both"/>
      </w:pPr>
      <w:r>
        <w:rPr>
          <w:rFonts w:ascii="Times New Roman" w:hAnsi="Times New Roman" w:eastAsia="仿宋_GB2312"/>
          <w:b w:val="0"/>
          <w:sz w:val="32"/>
        </w:rPr>
        <w:t>要求新旧代码仓库完成CI/CD流水线接入开发，实现代码提交即自动触发检查、构建和单元测试。流水线中必须包含以下质量检查项：</w:t>
      </w:r>
    </w:p>
    <w:p w14:paraId="618A241A">
      <w:pPr>
        <w:spacing w:before="0" w:after="0" w:line="600" w:lineRule="exact"/>
      </w:pPr>
    </w:p>
    <w:tbl>
      <w:tblPr>
        <w:tblStyle w:val="35"/>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60" w:type="dxa"/>
          <w:left w:w="60" w:type="dxa"/>
          <w:bottom w:w="60" w:type="dxa"/>
          <w:right w:w="60" w:type="dxa"/>
        </w:tblCellMar>
      </w:tblPr>
      <w:tblGrid>
        <w:gridCol w:w="802"/>
        <w:gridCol w:w="2054"/>
        <w:gridCol w:w="5444"/>
      </w:tblGrid>
      <w:tr w14:paraId="75ACB92E">
        <w:trPr>
          <w:jc w:val="center"/>
        </w:trPr>
        <w:tc>
          <w:tcPr>
            <w:tcW w:w="850" w:type="dxa"/>
            <w:shd w:val="clear" w:color="auto" w:fill="D9E2F3"/>
          </w:tcPr>
          <w:p w14:paraId="6E9F7EAD">
            <w:pPr>
              <w:spacing w:before="0" w:after="0" w:line="600" w:lineRule="exact"/>
              <w:jc w:val="center"/>
            </w:pPr>
            <w:r>
              <w:rPr>
                <w:rFonts w:ascii="黑体" w:hAnsi="黑体" w:eastAsia="黑体"/>
                <w:b/>
                <w:sz w:val="32"/>
              </w:rPr>
              <w:t>序号</w:t>
            </w:r>
          </w:p>
        </w:tc>
        <w:tc>
          <w:tcPr>
            <w:tcW w:w="2268" w:type="dxa"/>
            <w:shd w:val="clear" w:color="auto" w:fill="D9E2F3"/>
          </w:tcPr>
          <w:p w14:paraId="3DADE2ED">
            <w:pPr>
              <w:spacing w:before="0" w:after="0" w:line="600" w:lineRule="exact"/>
              <w:jc w:val="center"/>
            </w:pPr>
            <w:r>
              <w:rPr>
                <w:rFonts w:ascii="黑体" w:hAnsi="黑体" w:eastAsia="黑体"/>
                <w:b/>
                <w:sz w:val="32"/>
              </w:rPr>
              <w:t>需求标题</w:t>
            </w:r>
          </w:p>
        </w:tc>
        <w:tc>
          <w:tcPr>
            <w:tcW w:w="5953" w:type="dxa"/>
            <w:shd w:val="clear" w:color="auto" w:fill="D9E2F3"/>
          </w:tcPr>
          <w:p w14:paraId="60502FED">
            <w:pPr>
              <w:spacing w:before="0" w:after="0" w:line="600" w:lineRule="exact"/>
              <w:jc w:val="center"/>
            </w:pPr>
            <w:r>
              <w:rPr>
                <w:rFonts w:ascii="黑体" w:hAnsi="黑体" w:eastAsia="黑体"/>
                <w:b/>
                <w:sz w:val="32"/>
              </w:rPr>
              <w:t>需求描述</w:t>
            </w:r>
          </w:p>
        </w:tc>
      </w:tr>
      <w:tr w14:paraId="546F4F22">
        <w:trPr>
          <w:jc w:val="center"/>
        </w:trPr>
        <w:tc>
          <w:tcPr>
            <w:tcW w:w="850" w:type="dxa"/>
            <w:vAlign w:val="center"/>
          </w:tcPr>
          <w:p w14:paraId="6F55898F">
            <w:pPr>
              <w:spacing w:before="0" w:after="0" w:line="600" w:lineRule="exact"/>
              <w:jc w:val="left"/>
            </w:pPr>
            <w:r>
              <w:rPr>
                <w:rFonts w:ascii="Times New Roman" w:hAnsi="Times New Roman" w:eastAsia="仿宋_GB2312"/>
                <w:sz w:val="32"/>
              </w:rPr>
              <w:t>1</w:t>
            </w:r>
          </w:p>
        </w:tc>
        <w:tc>
          <w:tcPr>
            <w:tcW w:w="2268" w:type="dxa"/>
            <w:vAlign w:val="center"/>
          </w:tcPr>
          <w:p w14:paraId="156B9229">
            <w:pPr>
              <w:spacing w:before="0" w:after="0" w:line="600" w:lineRule="exact"/>
              <w:jc w:val="left"/>
            </w:pPr>
            <w:r>
              <w:rPr>
                <w:rFonts w:ascii="Times New Roman" w:hAnsi="Times New Roman" w:eastAsia="仿宋_GB2312"/>
                <w:sz w:val="32"/>
              </w:rPr>
              <w:t>语法与编译检查</w:t>
            </w:r>
          </w:p>
        </w:tc>
        <w:tc>
          <w:tcPr>
            <w:tcW w:w="5953" w:type="dxa"/>
            <w:vAlign w:val="center"/>
          </w:tcPr>
          <w:p w14:paraId="1C6C22F7">
            <w:pPr>
              <w:spacing w:before="0" w:after="0" w:line="600" w:lineRule="exact"/>
              <w:jc w:val="left"/>
            </w:pPr>
            <w:r>
              <w:rPr>
                <w:rFonts w:ascii="Times New Roman" w:hAnsi="Times New Roman" w:eastAsia="仿宋_GB2312"/>
                <w:sz w:val="32"/>
              </w:rPr>
              <w:t>确保代码无编译错误，并配置相关语言版本的语法校验。</w:t>
            </w:r>
          </w:p>
        </w:tc>
      </w:tr>
      <w:tr w14:paraId="5D490E6D">
        <w:trPr>
          <w:jc w:val="center"/>
        </w:trPr>
        <w:tc>
          <w:tcPr>
            <w:tcW w:w="850" w:type="dxa"/>
            <w:vAlign w:val="center"/>
          </w:tcPr>
          <w:p w14:paraId="18CF414A">
            <w:pPr>
              <w:spacing w:before="0" w:after="0" w:line="600" w:lineRule="exact"/>
              <w:jc w:val="left"/>
            </w:pPr>
            <w:r>
              <w:rPr>
                <w:rFonts w:ascii="Times New Roman" w:hAnsi="Times New Roman" w:eastAsia="仿宋_GB2312"/>
                <w:sz w:val="32"/>
              </w:rPr>
              <w:t>2</w:t>
            </w:r>
          </w:p>
        </w:tc>
        <w:tc>
          <w:tcPr>
            <w:tcW w:w="2268" w:type="dxa"/>
            <w:vAlign w:val="center"/>
          </w:tcPr>
          <w:p w14:paraId="2D9758CB">
            <w:pPr>
              <w:spacing w:before="0" w:after="0" w:line="600" w:lineRule="exact"/>
              <w:jc w:val="left"/>
            </w:pPr>
            <w:r>
              <w:rPr>
                <w:rFonts w:ascii="Times New Roman" w:hAnsi="Times New Roman" w:eastAsia="仿宋_GB2312"/>
                <w:sz w:val="32"/>
              </w:rPr>
              <w:t>编码规范检查</w:t>
            </w:r>
          </w:p>
        </w:tc>
        <w:tc>
          <w:tcPr>
            <w:tcW w:w="5953" w:type="dxa"/>
            <w:vAlign w:val="center"/>
          </w:tcPr>
          <w:p w14:paraId="52E8035C">
            <w:pPr>
              <w:spacing w:before="0" w:after="0" w:line="600" w:lineRule="exact"/>
              <w:jc w:val="left"/>
            </w:pPr>
            <w:r>
              <w:rPr>
                <w:rFonts w:ascii="Times New Roman" w:hAnsi="Times New Roman" w:eastAsia="仿宋_GB2312"/>
                <w:sz w:val="32"/>
              </w:rPr>
              <w:t>强制执行统一的代码风格与命名规范（如Kotlin/Java规范、前端ESLint规则等），不符合规范者不得合入。</w:t>
            </w:r>
          </w:p>
        </w:tc>
      </w:tr>
      <w:tr w14:paraId="631EA74E">
        <w:trPr>
          <w:jc w:val="center"/>
        </w:trPr>
        <w:tc>
          <w:tcPr>
            <w:tcW w:w="850" w:type="dxa"/>
            <w:vAlign w:val="center"/>
          </w:tcPr>
          <w:p w14:paraId="5B66C7EA">
            <w:pPr>
              <w:spacing w:before="0" w:after="0" w:line="600" w:lineRule="exact"/>
              <w:jc w:val="left"/>
            </w:pPr>
            <w:r>
              <w:rPr>
                <w:rFonts w:ascii="Times New Roman" w:hAnsi="Times New Roman" w:eastAsia="仿宋_GB2312"/>
                <w:sz w:val="32"/>
              </w:rPr>
              <w:t>3</w:t>
            </w:r>
          </w:p>
        </w:tc>
        <w:tc>
          <w:tcPr>
            <w:tcW w:w="2268" w:type="dxa"/>
            <w:vAlign w:val="center"/>
          </w:tcPr>
          <w:p w14:paraId="523851D3">
            <w:pPr>
              <w:spacing w:before="0" w:after="0" w:line="600" w:lineRule="exact"/>
              <w:jc w:val="left"/>
            </w:pPr>
            <w:r>
              <w:rPr>
                <w:rFonts w:ascii="Times New Roman" w:hAnsi="Times New Roman" w:eastAsia="仿宋_GB2312"/>
                <w:sz w:val="32"/>
              </w:rPr>
              <w:t>文档与注释完整性检查</w:t>
            </w:r>
          </w:p>
        </w:tc>
        <w:tc>
          <w:tcPr>
            <w:tcW w:w="5953" w:type="dxa"/>
            <w:vAlign w:val="center"/>
          </w:tcPr>
          <w:p w14:paraId="1476791D">
            <w:pPr>
              <w:spacing w:before="0" w:after="0" w:line="600" w:lineRule="exact"/>
              <w:jc w:val="left"/>
            </w:pPr>
            <w:r>
              <w:rPr>
                <w:rFonts w:ascii="Times New Roman" w:hAnsi="Times New Roman" w:eastAsia="仿宋_GB2312"/>
                <w:sz w:val="32"/>
              </w:rPr>
              <w:t>对关键公共接口、模块说明、业务逻辑注释等进行必要检查，保证代码可读性与可维护性。</w:t>
            </w:r>
          </w:p>
        </w:tc>
      </w:tr>
      <w:tr w14:paraId="7634074B">
        <w:trPr>
          <w:jc w:val="center"/>
        </w:trPr>
        <w:tc>
          <w:tcPr>
            <w:tcW w:w="850" w:type="dxa"/>
            <w:vAlign w:val="center"/>
          </w:tcPr>
          <w:p w14:paraId="224AF3EF">
            <w:pPr>
              <w:spacing w:before="0" w:after="0" w:line="600" w:lineRule="exact"/>
              <w:jc w:val="left"/>
            </w:pPr>
            <w:r>
              <w:rPr>
                <w:rFonts w:ascii="Times New Roman" w:hAnsi="Times New Roman" w:eastAsia="仿宋_GB2312"/>
                <w:sz w:val="32"/>
              </w:rPr>
              <w:t>4</w:t>
            </w:r>
          </w:p>
        </w:tc>
        <w:tc>
          <w:tcPr>
            <w:tcW w:w="2268" w:type="dxa"/>
            <w:vAlign w:val="center"/>
          </w:tcPr>
          <w:p w14:paraId="0D090191">
            <w:pPr>
              <w:spacing w:before="0" w:after="0" w:line="600" w:lineRule="exact"/>
              <w:jc w:val="left"/>
            </w:pPr>
            <w:r>
              <w:rPr>
                <w:rFonts w:ascii="Times New Roman" w:hAnsi="Times New Roman" w:eastAsia="仿宋_GB2312"/>
                <w:sz w:val="32"/>
              </w:rPr>
              <w:t>多版本兼容性检查</w:t>
            </w:r>
          </w:p>
        </w:tc>
        <w:tc>
          <w:tcPr>
            <w:tcW w:w="5953" w:type="dxa"/>
            <w:vAlign w:val="center"/>
          </w:tcPr>
          <w:p w14:paraId="4AEBEFF0">
            <w:pPr>
              <w:spacing w:before="0" w:after="0" w:line="600" w:lineRule="exact"/>
              <w:jc w:val="left"/>
            </w:pPr>
            <w:r>
              <w:rPr>
                <w:rFonts w:ascii="Times New Roman" w:hAnsi="Times New Roman" w:eastAsia="仿宋_GB2312"/>
                <w:sz w:val="32"/>
              </w:rPr>
              <w:t>针对不同目标API级别进行Lint矩阵扫描，覆盖API 19至指定高版本。</w:t>
            </w:r>
          </w:p>
        </w:tc>
      </w:tr>
      <w:tr w14:paraId="36E3A773">
        <w:trPr>
          <w:jc w:val="center"/>
        </w:trPr>
        <w:tc>
          <w:tcPr>
            <w:tcW w:w="850" w:type="dxa"/>
            <w:vAlign w:val="center"/>
          </w:tcPr>
          <w:p w14:paraId="0C79A37B">
            <w:pPr>
              <w:spacing w:before="0" w:after="0" w:line="600" w:lineRule="exact"/>
              <w:jc w:val="left"/>
            </w:pPr>
            <w:r>
              <w:rPr>
                <w:rFonts w:ascii="Times New Roman" w:hAnsi="Times New Roman" w:eastAsia="仿宋_GB2312"/>
                <w:sz w:val="32"/>
              </w:rPr>
              <w:t>5</w:t>
            </w:r>
          </w:p>
        </w:tc>
        <w:tc>
          <w:tcPr>
            <w:tcW w:w="2268" w:type="dxa"/>
            <w:vAlign w:val="center"/>
          </w:tcPr>
          <w:p w14:paraId="0D0B4FB4">
            <w:pPr>
              <w:spacing w:before="0" w:after="0" w:line="600" w:lineRule="exact"/>
              <w:jc w:val="left"/>
            </w:pPr>
            <w:r>
              <w:rPr>
                <w:rFonts w:ascii="Times New Roman" w:hAnsi="Times New Roman" w:eastAsia="仿宋_GB2312"/>
                <w:sz w:val="32"/>
              </w:rPr>
              <w:t>架构合规检查</w:t>
            </w:r>
          </w:p>
        </w:tc>
        <w:tc>
          <w:tcPr>
            <w:tcW w:w="5953" w:type="dxa"/>
            <w:vAlign w:val="center"/>
          </w:tcPr>
          <w:p w14:paraId="0A457193">
            <w:pPr>
              <w:spacing w:before="0" w:after="0" w:line="600" w:lineRule="exact"/>
              <w:jc w:val="left"/>
            </w:pPr>
            <w:r>
              <w:rPr>
                <w:rFonts w:ascii="Times New Roman" w:hAnsi="Times New Roman" w:eastAsia="仿宋_GB2312"/>
                <w:sz w:val="32"/>
              </w:rPr>
              <w:t>包括模块依赖方向合规、接口依赖合规、全局单例引用检测等，违规则阻断合入。</w:t>
            </w:r>
          </w:p>
        </w:tc>
      </w:tr>
      <w:tr w14:paraId="5E5FD2CA">
        <w:trPr>
          <w:jc w:val="center"/>
        </w:trPr>
        <w:tc>
          <w:tcPr>
            <w:tcW w:w="850" w:type="dxa"/>
            <w:vAlign w:val="center"/>
          </w:tcPr>
          <w:p w14:paraId="3E7A4BE4">
            <w:pPr>
              <w:spacing w:before="0" w:after="0" w:line="600" w:lineRule="exact"/>
              <w:jc w:val="left"/>
            </w:pPr>
            <w:r>
              <w:rPr>
                <w:rFonts w:ascii="Times New Roman" w:hAnsi="Times New Roman" w:eastAsia="仿宋_GB2312"/>
                <w:sz w:val="32"/>
              </w:rPr>
              <w:t>6</w:t>
            </w:r>
          </w:p>
        </w:tc>
        <w:tc>
          <w:tcPr>
            <w:tcW w:w="2268" w:type="dxa"/>
            <w:vAlign w:val="center"/>
          </w:tcPr>
          <w:p w14:paraId="7122B7E4">
            <w:pPr>
              <w:spacing w:before="0" w:after="0" w:line="600" w:lineRule="exact"/>
              <w:jc w:val="left"/>
            </w:pPr>
            <w:r>
              <w:rPr>
                <w:rFonts w:ascii="Times New Roman" w:hAnsi="Times New Roman" w:eastAsia="仿宋_GB2312"/>
                <w:sz w:val="32"/>
              </w:rPr>
              <w:t>平台稳定性检查</w:t>
            </w:r>
          </w:p>
        </w:tc>
        <w:tc>
          <w:tcPr>
            <w:tcW w:w="5953" w:type="dxa"/>
            <w:vAlign w:val="center"/>
          </w:tcPr>
          <w:p w14:paraId="14FDE124">
            <w:pPr>
              <w:spacing w:before="0" w:after="0" w:line="600" w:lineRule="exact"/>
              <w:jc w:val="left"/>
            </w:pPr>
            <w:r>
              <w:rPr>
                <w:rFonts w:ascii="Times New Roman" w:hAnsi="Times New Roman" w:eastAsia="仿宋_GB2312"/>
                <w:sz w:val="32"/>
              </w:rPr>
              <w:t>集成内存泄漏静态检测或资源释放规则检查，对常见泄漏模式进行自动识别与告警。</w:t>
            </w:r>
          </w:p>
        </w:tc>
      </w:tr>
      <w:tr w14:paraId="556CD697">
        <w:trPr>
          <w:jc w:val="center"/>
        </w:trPr>
        <w:tc>
          <w:tcPr>
            <w:tcW w:w="850" w:type="dxa"/>
            <w:vAlign w:val="center"/>
          </w:tcPr>
          <w:p w14:paraId="22E1EFDB">
            <w:pPr>
              <w:spacing w:before="0" w:after="0" w:line="600" w:lineRule="exact"/>
              <w:jc w:val="left"/>
            </w:pPr>
            <w:r>
              <w:rPr>
                <w:rFonts w:ascii="Times New Roman" w:hAnsi="Times New Roman" w:eastAsia="仿宋_GB2312"/>
                <w:sz w:val="32"/>
              </w:rPr>
              <w:t>7</w:t>
            </w:r>
          </w:p>
        </w:tc>
        <w:tc>
          <w:tcPr>
            <w:tcW w:w="2268" w:type="dxa"/>
            <w:vAlign w:val="center"/>
          </w:tcPr>
          <w:p w14:paraId="415F885D">
            <w:pPr>
              <w:spacing w:before="0" w:after="0" w:line="600" w:lineRule="exact"/>
              <w:jc w:val="left"/>
            </w:pPr>
            <w:r>
              <w:rPr>
                <w:rFonts w:ascii="Times New Roman" w:hAnsi="Times New Roman" w:eastAsia="仿宋_GB2312"/>
                <w:sz w:val="32"/>
              </w:rPr>
              <w:t>性能基线检查</w:t>
            </w:r>
          </w:p>
        </w:tc>
        <w:tc>
          <w:tcPr>
            <w:tcW w:w="5953" w:type="dxa"/>
            <w:vAlign w:val="center"/>
          </w:tcPr>
          <w:p w14:paraId="12982B61">
            <w:pPr>
              <w:spacing w:before="0" w:after="0" w:line="600" w:lineRule="exact"/>
              <w:jc w:val="left"/>
            </w:pPr>
            <w:r>
              <w:rPr>
                <w:rFonts w:ascii="Times New Roman" w:hAnsi="Times New Roman" w:eastAsia="仿宋_GB2312"/>
                <w:sz w:val="32"/>
              </w:rPr>
              <w:t>对设定性能指标（含前端页面加载性能）进行自动化比对，退化时告警并阻断。</w:t>
            </w:r>
          </w:p>
        </w:tc>
      </w:tr>
    </w:tbl>
    <w:p w14:paraId="2E69623E">
      <w:pPr>
        <w:spacing w:before="0" w:after="0" w:line="600" w:lineRule="exact"/>
      </w:pPr>
    </w:p>
    <w:p w14:paraId="0B4019C3">
      <w:pPr>
        <w:spacing w:before="0" w:after="0" w:line="600" w:lineRule="exact"/>
        <w:ind w:firstLine="640"/>
        <w:jc w:val="both"/>
      </w:pPr>
      <w:r>
        <w:rPr>
          <w:rFonts w:ascii="Times New Roman" w:hAnsi="Times New Roman" w:eastAsia="仿宋_GB2312"/>
          <w:b w:val="0"/>
          <w:sz w:val="32"/>
        </w:rPr>
        <w:t>所有构建产物通过制品库统一流转，杜绝手动交接。针对新架构设置严格的质量门禁：循环依赖检测、模块间源码依赖限制、多版本API兼容性红线、面向接口合规检查、全局单例引用告警、内存泄漏告警、性能基线退化告警等。</w:t>
      </w:r>
    </w:p>
    <w:p w14:paraId="558DE935">
      <w:pPr>
        <w:spacing w:before="0" w:after="0" w:line="600" w:lineRule="exact"/>
        <w:ind w:firstLine="640"/>
        <w:jc w:val="left"/>
        <w:outlineLvl w:val="1"/>
      </w:pPr>
      <w:bookmarkStart w:id="26" w:name="_Toc1167166620"/>
      <w:r>
        <w:rPr>
          <w:rFonts w:ascii="Times New Roman" w:hAnsi="Times New Roman" w:eastAsia="楷体_GB2312"/>
          <w:b/>
          <w:sz w:val="32"/>
        </w:rPr>
        <w:t>3.5 遗留软件</w:t>
      </w:r>
      <w:bookmarkStart w:id="52" w:name="_GoBack"/>
      <w:r>
        <w:rPr>
          <w:rFonts w:ascii="Times New Roman" w:hAnsi="Times New Roman" w:eastAsia="楷体_GB2312"/>
          <w:b/>
          <w:sz w:val="32"/>
        </w:rPr>
        <w:t>系统</w:t>
      </w:r>
      <w:bookmarkEnd w:id="52"/>
      <w:r>
        <w:rPr>
          <w:rFonts w:ascii="Times New Roman" w:hAnsi="Times New Roman" w:eastAsia="楷体_GB2312"/>
          <w:b/>
          <w:sz w:val="32"/>
        </w:rPr>
        <w:t>维护开发</w:t>
      </w:r>
      <w:bookmarkEnd w:id="26"/>
    </w:p>
    <w:p w14:paraId="630A9327">
      <w:pPr>
        <w:spacing w:before="0" w:after="0" w:line="600" w:lineRule="exact"/>
        <w:ind w:firstLine="640"/>
        <w:jc w:val="both"/>
      </w:pPr>
      <w:r>
        <w:rPr>
          <w:rFonts w:ascii="Times New Roman" w:hAnsi="Times New Roman" w:eastAsia="仿宋_GB2312"/>
          <w:b w:val="0"/>
          <w:sz w:val="32"/>
        </w:rPr>
        <w:t>在各渠道完成新旧切换前，继续对线上存量代码仓库提供必需的缺陷修复和必要的小版本迭代开发支持。所有修复须同时保障从API 19到指定高版本的多版本兼容性。</w:t>
      </w:r>
    </w:p>
    <w:p w14:paraId="3AB13213">
      <w:pPr>
        <w:spacing w:before="0" w:after="0" w:line="600" w:lineRule="exact"/>
        <w:ind w:firstLine="640"/>
        <w:jc w:val="left"/>
        <w:outlineLvl w:val="1"/>
      </w:pPr>
      <w:bookmarkStart w:id="27" w:name="_Toc1453750642"/>
      <w:r>
        <w:rPr>
          <w:rFonts w:ascii="Times New Roman" w:hAnsi="Times New Roman" w:eastAsia="楷体_GB2312"/>
          <w:b/>
          <w:sz w:val="32"/>
        </w:rPr>
        <w:t>3.6 合作平台SDK集成开发</w:t>
      </w:r>
      <w:bookmarkEnd w:id="27"/>
    </w:p>
    <w:p w14:paraId="5E16383E">
      <w:pPr>
        <w:spacing w:before="0" w:after="0" w:line="600" w:lineRule="exact"/>
        <w:ind w:firstLine="640"/>
        <w:jc w:val="both"/>
      </w:pPr>
      <w:r>
        <w:rPr>
          <w:rFonts w:ascii="Times New Roman" w:hAnsi="Times New Roman" w:eastAsia="仿宋_GB2312"/>
          <w:b w:val="0"/>
          <w:sz w:val="32"/>
        </w:rPr>
        <w:t>承担合作单位（腾讯、酷喵等）的SDK集成升级开发工作，确保各机顶盒型号播放功能的适配性，并持续响应运营商平台接口变更。</w:t>
      </w:r>
    </w:p>
    <w:p w14:paraId="6EFBC68B">
      <w:pPr>
        <w:spacing w:before="0" w:after="0" w:line="600" w:lineRule="exact"/>
      </w:pPr>
    </w:p>
    <w:tbl>
      <w:tblPr>
        <w:tblStyle w:val="35"/>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60" w:type="dxa"/>
          <w:left w:w="60" w:type="dxa"/>
          <w:bottom w:w="60" w:type="dxa"/>
          <w:right w:w="60" w:type="dxa"/>
        </w:tblCellMar>
      </w:tblPr>
      <w:tblGrid>
        <w:gridCol w:w="803"/>
        <w:gridCol w:w="2100"/>
        <w:gridCol w:w="5397"/>
      </w:tblGrid>
      <w:tr w14:paraId="66120E39">
        <w:trPr>
          <w:jc w:val="center"/>
        </w:trPr>
        <w:tc>
          <w:tcPr>
            <w:tcW w:w="850" w:type="dxa"/>
            <w:shd w:val="clear" w:color="auto" w:fill="D9E2F3"/>
          </w:tcPr>
          <w:p w14:paraId="33ACA095">
            <w:pPr>
              <w:spacing w:before="0" w:after="0" w:line="600" w:lineRule="exact"/>
              <w:jc w:val="center"/>
            </w:pPr>
            <w:r>
              <w:rPr>
                <w:rFonts w:ascii="黑体" w:hAnsi="黑体" w:eastAsia="黑体"/>
                <w:b/>
                <w:sz w:val="32"/>
              </w:rPr>
              <w:t>序号</w:t>
            </w:r>
          </w:p>
        </w:tc>
        <w:tc>
          <w:tcPr>
            <w:tcW w:w="2268" w:type="dxa"/>
            <w:shd w:val="clear" w:color="auto" w:fill="D9E2F3"/>
          </w:tcPr>
          <w:p w14:paraId="336A7649">
            <w:pPr>
              <w:spacing w:before="0" w:after="0" w:line="600" w:lineRule="exact"/>
              <w:jc w:val="center"/>
            </w:pPr>
            <w:r>
              <w:rPr>
                <w:rFonts w:ascii="黑体" w:hAnsi="黑体" w:eastAsia="黑体"/>
                <w:b/>
                <w:sz w:val="32"/>
              </w:rPr>
              <w:t>需求标题</w:t>
            </w:r>
          </w:p>
        </w:tc>
        <w:tc>
          <w:tcPr>
            <w:tcW w:w="5953" w:type="dxa"/>
            <w:shd w:val="clear" w:color="auto" w:fill="D9E2F3"/>
          </w:tcPr>
          <w:p w14:paraId="1DC70E66">
            <w:pPr>
              <w:spacing w:before="0" w:after="0" w:line="600" w:lineRule="exact"/>
              <w:jc w:val="center"/>
            </w:pPr>
            <w:r>
              <w:rPr>
                <w:rFonts w:ascii="黑体" w:hAnsi="黑体" w:eastAsia="黑体"/>
                <w:b/>
                <w:sz w:val="32"/>
              </w:rPr>
              <w:t>需求描述</w:t>
            </w:r>
          </w:p>
        </w:tc>
      </w:tr>
      <w:tr w14:paraId="4FB47B91">
        <w:trPr>
          <w:jc w:val="center"/>
        </w:trPr>
        <w:tc>
          <w:tcPr>
            <w:tcW w:w="850" w:type="dxa"/>
            <w:vAlign w:val="center"/>
          </w:tcPr>
          <w:p w14:paraId="27D1BFF1">
            <w:pPr>
              <w:spacing w:before="0" w:after="0" w:line="600" w:lineRule="exact"/>
              <w:jc w:val="left"/>
            </w:pPr>
            <w:r>
              <w:rPr>
                <w:rFonts w:ascii="Times New Roman" w:hAnsi="Times New Roman" w:eastAsia="仿宋_GB2312"/>
                <w:sz w:val="32"/>
              </w:rPr>
              <w:t>1</w:t>
            </w:r>
          </w:p>
        </w:tc>
        <w:tc>
          <w:tcPr>
            <w:tcW w:w="2268" w:type="dxa"/>
            <w:vAlign w:val="center"/>
          </w:tcPr>
          <w:p w14:paraId="7A1D0118">
            <w:pPr>
              <w:spacing w:before="0" w:after="0" w:line="600" w:lineRule="exact"/>
              <w:jc w:val="left"/>
            </w:pPr>
            <w:r>
              <w:rPr>
                <w:rFonts w:ascii="Times New Roman" w:hAnsi="Times New Roman" w:eastAsia="仿宋_GB2312"/>
                <w:sz w:val="32"/>
              </w:rPr>
              <w:t>腾讯SDK集成升级</w:t>
            </w:r>
          </w:p>
        </w:tc>
        <w:tc>
          <w:tcPr>
            <w:tcW w:w="5953" w:type="dxa"/>
            <w:vAlign w:val="center"/>
          </w:tcPr>
          <w:p w14:paraId="18111870">
            <w:pPr>
              <w:spacing w:before="0" w:after="0" w:line="600" w:lineRule="exact"/>
              <w:jc w:val="left"/>
            </w:pPr>
            <w:r>
              <w:rPr>
                <w:rFonts w:ascii="Times New Roman" w:hAnsi="Times New Roman" w:eastAsia="仿宋_GB2312"/>
                <w:sz w:val="32"/>
              </w:rPr>
              <w:t>根据腾讯SDK版本升级，安排省外各项目集成更新SDK，并适配所有机顶盒播放功能。</w:t>
            </w:r>
          </w:p>
        </w:tc>
      </w:tr>
      <w:tr w14:paraId="154BCB83">
        <w:trPr>
          <w:jc w:val="center"/>
        </w:trPr>
        <w:tc>
          <w:tcPr>
            <w:tcW w:w="850" w:type="dxa"/>
            <w:vAlign w:val="center"/>
          </w:tcPr>
          <w:p w14:paraId="46870041">
            <w:pPr>
              <w:spacing w:before="0" w:after="0" w:line="600" w:lineRule="exact"/>
              <w:jc w:val="left"/>
            </w:pPr>
            <w:r>
              <w:rPr>
                <w:rFonts w:ascii="Times New Roman" w:hAnsi="Times New Roman" w:eastAsia="仿宋_GB2312"/>
                <w:sz w:val="32"/>
              </w:rPr>
              <w:t>2</w:t>
            </w:r>
          </w:p>
        </w:tc>
        <w:tc>
          <w:tcPr>
            <w:tcW w:w="2268" w:type="dxa"/>
            <w:vAlign w:val="center"/>
          </w:tcPr>
          <w:p w14:paraId="590C0B91">
            <w:pPr>
              <w:spacing w:before="0" w:after="0" w:line="600" w:lineRule="exact"/>
              <w:jc w:val="left"/>
            </w:pPr>
            <w:r>
              <w:rPr>
                <w:rFonts w:ascii="Times New Roman" w:hAnsi="Times New Roman" w:eastAsia="仿宋_GB2312"/>
                <w:sz w:val="32"/>
              </w:rPr>
              <w:t>酷喵SDK集成升级</w:t>
            </w:r>
          </w:p>
        </w:tc>
        <w:tc>
          <w:tcPr>
            <w:tcW w:w="5953" w:type="dxa"/>
            <w:vAlign w:val="center"/>
          </w:tcPr>
          <w:p w14:paraId="5B171BD4">
            <w:pPr>
              <w:spacing w:before="0" w:after="0" w:line="600" w:lineRule="exact"/>
              <w:jc w:val="left"/>
            </w:pPr>
            <w:r>
              <w:rPr>
                <w:rFonts w:ascii="Times New Roman" w:hAnsi="Times New Roman" w:eastAsia="仿宋_GB2312"/>
                <w:sz w:val="32"/>
              </w:rPr>
              <w:t>根据酷喵SDK版本升级，安排省外各项目集成更新SDK，并适配所有机顶盒播放功能。</w:t>
            </w:r>
          </w:p>
        </w:tc>
      </w:tr>
      <w:tr w14:paraId="09E95F82">
        <w:trPr>
          <w:jc w:val="center"/>
        </w:trPr>
        <w:tc>
          <w:tcPr>
            <w:tcW w:w="850" w:type="dxa"/>
            <w:vAlign w:val="center"/>
          </w:tcPr>
          <w:p w14:paraId="03521E8E">
            <w:pPr>
              <w:spacing w:before="0" w:after="0" w:line="600" w:lineRule="exact"/>
              <w:jc w:val="left"/>
            </w:pPr>
            <w:r>
              <w:rPr>
                <w:rFonts w:ascii="Times New Roman" w:hAnsi="Times New Roman" w:eastAsia="仿宋_GB2312"/>
                <w:sz w:val="32"/>
              </w:rPr>
              <w:t>3</w:t>
            </w:r>
          </w:p>
        </w:tc>
        <w:tc>
          <w:tcPr>
            <w:tcW w:w="2268" w:type="dxa"/>
            <w:vAlign w:val="center"/>
          </w:tcPr>
          <w:p w14:paraId="40368DFC">
            <w:pPr>
              <w:spacing w:before="0" w:after="0" w:line="600" w:lineRule="exact"/>
              <w:jc w:val="left"/>
            </w:pPr>
            <w:r>
              <w:rPr>
                <w:rFonts w:ascii="Times New Roman" w:hAnsi="Times New Roman" w:eastAsia="仿宋_GB2312"/>
                <w:sz w:val="32"/>
              </w:rPr>
              <w:t>酷喵带界面AAR集成</w:t>
            </w:r>
          </w:p>
        </w:tc>
        <w:tc>
          <w:tcPr>
            <w:tcW w:w="5953" w:type="dxa"/>
            <w:vAlign w:val="center"/>
          </w:tcPr>
          <w:p w14:paraId="5D62DE72">
            <w:pPr>
              <w:spacing w:before="0" w:after="0" w:line="600" w:lineRule="exact"/>
              <w:jc w:val="left"/>
            </w:pPr>
            <w:r>
              <w:rPr>
                <w:rFonts w:ascii="Times New Roman" w:hAnsi="Times New Roman" w:eastAsia="仿宋_GB2312"/>
                <w:sz w:val="32"/>
              </w:rPr>
              <w:t>根据酷喵AAR版本升级，安排省外各项目集成更新，确保UI展示和播放功能正常运行。</w:t>
            </w:r>
          </w:p>
        </w:tc>
      </w:tr>
      <w:tr w14:paraId="68A0CB5F">
        <w:trPr>
          <w:jc w:val="center"/>
        </w:trPr>
        <w:tc>
          <w:tcPr>
            <w:tcW w:w="850" w:type="dxa"/>
            <w:vAlign w:val="center"/>
          </w:tcPr>
          <w:p w14:paraId="5FD6858F">
            <w:pPr>
              <w:spacing w:before="0" w:after="0" w:line="600" w:lineRule="exact"/>
              <w:jc w:val="left"/>
            </w:pPr>
            <w:r>
              <w:rPr>
                <w:rFonts w:ascii="Times New Roman" w:hAnsi="Times New Roman" w:eastAsia="仿宋_GB2312"/>
                <w:sz w:val="32"/>
              </w:rPr>
              <w:t>4</w:t>
            </w:r>
          </w:p>
        </w:tc>
        <w:tc>
          <w:tcPr>
            <w:tcW w:w="2268" w:type="dxa"/>
            <w:vAlign w:val="center"/>
          </w:tcPr>
          <w:p w14:paraId="65C0A5C5">
            <w:pPr>
              <w:spacing w:before="0" w:after="0" w:line="600" w:lineRule="exact"/>
              <w:jc w:val="left"/>
            </w:pPr>
            <w:r>
              <w:rPr>
                <w:rFonts w:ascii="Times New Roman" w:hAnsi="Times New Roman" w:eastAsia="仿宋_GB2312"/>
                <w:sz w:val="32"/>
              </w:rPr>
              <w:t>运营商平台对接</w:t>
            </w:r>
          </w:p>
        </w:tc>
        <w:tc>
          <w:tcPr>
            <w:tcW w:w="5953" w:type="dxa"/>
            <w:vAlign w:val="center"/>
          </w:tcPr>
          <w:p w14:paraId="76E78F2D">
            <w:pPr>
              <w:spacing w:before="0" w:after="0" w:line="600" w:lineRule="exact"/>
              <w:jc w:val="left"/>
            </w:pPr>
            <w:r>
              <w:rPr>
                <w:rFonts w:ascii="Times New Roman" w:hAnsi="Times New Roman" w:eastAsia="仿宋_GB2312"/>
                <w:sz w:val="32"/>
              </w:rPr>
              <w:t>根据运营商平台接口变更（鉴权、订购、数据上报等接口）进行适配开发，保障业务流程正常。</w:t>
            </w:r>
          </w:p>
        </w:tc>
      </w:tr>
    </w:tbl>
    <w:p w14:paraId="6ED0258D">
      <w:pPr>
        <w:spacing w:before="0" w:after="0" w:line="600" w:lineRule="exact"/>
        <w:ind w:firstLine="640"/>
        <w:jc w:val="left"/>
        <w:outlineLvl w:val="1"/>
      </w:pPr>
      <w:bookmarkStart w:id="28" w:name="_Toc1265588175"/>
      <w:r>
        <w:rPr>
          <w:rFonts w:ascii="Times New Roman" w:hAnsi="Times New Roman" w:eastAsia="楷体_GB2312"/>
          <w:b/>
          <w:sz w:val="32"/>
        </w:rPr>
        <w:t>3.7 未预见需求开发预留</w:t>
      </w:r>
      <w:bookmarkEnd w:id="28"/>
    </w:p>
    <w:p w14:paraId="49193157">
      <w:pPr>
        <w:spacing w:before="0" w:after="0" w:line="600" w:lineRule="exact"/>
        <w:ind w:firstLine="640"/>
        <w:jc w:val="both"/>
      </w:pPr>
      <w:r>
        <w:rPr>
          <w:rFonts w:ascii="Times New Roman" w:hAnsi="Times New Roman" w:eastAsia="仿宋_GB2312"/>
          <w:b w:val="0"/>
          <w:sz w:val="32"/>
        </w:rPr>
        <w:t>鉴于IPTV业务的持续运营特性，2026年度内将不可避免地产生以下类型的未预见功能开发需求：</w:t>
      </w:r>
    </w:p>
    <w:p w14:paraId="506DA3DE">
      <w:pPr>
        <w:spacing w:before="0" w:after="0" w:line="600" w:lineRule="exact"/>
        <w:ind w:firstLine="640"/>
        <w:jc w:val="both"/>
      </w:pPr>
      <w:r>
        <w:rPr>
          <w:rFonts w:ascii="Times New Roman" w:hAnsi="Times New Roman" w:eastAsia="仿宋_GB2312"/>
          <w:b w:val="0"/>
          <w:sz w:val="32"/>
        </w:rPr>
        <w:t>各省运营商临时性需求变更和新增功能要求；</w:t>
      </w:r>
    </w:p>
    <w:p w14:paraId="6E84AB68">
      <w:pPr>
        <w:spacing w:before="0" w:after="0" w:line="600" w:lineRule="exact"/>
        <w:ind w:firstLine="640"/>
        <w:jc w:val="both"/>
      </w:pPr>
      <w:r>
        <w:rPr>
          <w:rFonts w:ascii="Times New Roman" w:hAnsi="Times New Roman" w:eastAsia="仿宋_GB2312"/>
          <w:b w:val="0"/>
          <w:sz w:val="32"/>
        </w:rPr>
        <w:t>新合作渠道的接入与终端产品定制开发；</w:t>
      </w:r>
    </w:p>
    <w:p w14:paraId="4B3B92A0">
      <w:pPr>
        <w:spacing w:before="0" w:after="0" w:line="600" w:lineRule="exact"/>
        <w:ind w:firstLine="640"/>
        <w:jc w:val="both"/>
      </w:pPr>
      <w:r>
        <w:rPr>
          <w:rFonts w:ascii="Times New Roman" w:hAnsi="Times New Roman" w:eastAsia="仿宋_GB2312"/>
          <w:b w:val="0"/>
          <w:sz w:val="32"/>
        </w:rPr>
        <w:t>现网紧急问题排查与修复；</w:t>
      </w:r>
    </w:p>
    <w:p w14:paraId="41021AAA">
      <w:pPr>
        <w:spacing w:before="0" w:after="0" w:line="600" w:lineRule="exact"/>
        <w:ind w:firstLine="640"/>
        <w:jc w:val="both"/>
      </w:pPr>
      <w:r>
        <w:rPr>
          <w:rFonts w:ascii="Times New Roman" w:hAnsi="Times New Roman" w:eastAsia="仿宋_GB2312"/>
          <w:b w:val="0"/>
          <w:sz w:val="32"/>
        </w:rPr>
        <w:t>政策法规或合规要求变更引发的功能调整；</w:t>
      </w:r>
    </w:p>
    <w:p w14:paraId="447F1EB0">
      <w:pPr>
        <w:spacing w:before="0" w:after="0" w:line="600" w:lineRule="exact"/>
        <w:ind w:firstLine="640"/>
        <w:jc w:val="both"/>
      </w:pPr>
      <w:r>
        <w:rPr>
          <w:rFonts w:ascii="Times New Roman" w:hAnsi="Times New Roman" w:eastAsia="仿宋_GB2312"/>
          <w:b w:val="0"/>
          <w:sz w:val="32"/>
        </w:rPr>
        <w:t>合作方SDK/接口升级带来的适配开发工作；</w:t>
      </w:r>
    </w:p>
    <w:p w14:paraId="1A9BF492">
      <w:pPr>
        <w:spacing w:before="0" w:after="0" w:line="600" w:lineRule="exact"/>
        <w:ind w:firstLine="640"/>
        <w:jc w:val="both"/>
      </w:pPr>
      <w:r>
        <w:rPr>
          <w:rFonts w:ascii="Times New Roman" w:hAnsi="Times New Roman" w:eastAsia="仿宋_GB2312"/>
          <w:b w:val="0"/>
          <w:sz w:val="32"/>
        </w:rPr>
        <w:t>其他因业务发展而产生的合理功能开发需求。</w:t>
      </w:r>
    </w:p>
    <w:p w14:paraId="75FAE400">
      <w:pPr>
        <w:spacing w:before="0" w:after="0" w:line="600" w:lineRule="exact"/>
        <w:ind w:firstLine="640"/>
        <w:jc w:val="both"/>
      </w:pPr>
      <w:r>
        <w:rPr>
          <w:rFonts w:ascii="Times New Roman" w:hAnsi="Times New Roman" w:eastAsia="仿宋_GB2312"/>
          <w:b w:val="0"/>
          <w:sz w:val="32"/>
        </w:rPr>
        <w:t>开发合作方须在项目执行过程中具备灵活调配开发资源的能力，确保上述未预见功能需求能够得到及时响应和高效实施。具体需求将根据实际发生情况，由甲方以书面形式提出。</w:t>
      </w:r>
    </w:p>
    <w:p w14:paraId="11F2B6E9">
      <w:pPr>
        <w:spacing w:before="0" w:after="0" w:line="600" w:lineRule="exact"/>
        <w:ind w:firstLine="640"/>
        <w:jc w:val="left"/>
        <w:outlineLvl w:val="0"/>
      </w:pPr>
      <w:bookmarkStart w:id="29" w:name="_Toc2062417337"/>
      <w:r>
        <w:rPr>
          <w:rFonts w:ascii="黑体" w:hAnsi="黑体" w:eastAsia="黑体"/>
          <w:b w:val="0"/>
          <w:sz w:val="32"/>
        </w:rPr>
        <w:t>四、技术方案要求</w:t>
      </w:r>
      <w:bookmarkEnd w:id="29"/>
    </w:p>
    <w:p w14:paraId="4AE848CE">
      <w:pPr>
        <w:spacing w:before="0" w:after="0" w:line="600" w:lineRule="exact"/>
        <w:ind w:firstLine="640"/>
        <w:jc w:val="both"/>
      </w:pPr>
      <w:r>
        <w:rPr>
          <w:rFonts w:ascii="Times New Roman" w:hAnsi="Times New Roman" w:eastAsia="仿宋_GB2312"/>
          <w:b w:val="0"/>
          <w:sz w:val="32"/>
        </w:rPr>
        <w:t>开发合作方在响应文件中须针对以下技术方向提供详细的技术方案，技术方案将作为重要的评审依据。</w:t>
      </w:r>
    </w:p>
    <w:p w14:paraId="0DE41E84">
      <w:pPr>
        <w:spacing w:before="0" w:after="0" w:line="600" w:lineRule="exact"/>
        <w:ind w:firstLine="640"/>
        <w:jc w:val="left"/>
        <w:outlineLvl w:val="1"/>
      </w:pPr>
      <w:bookmarkStart w:id="30" w:name="_Toc514636732"/>
      <w:r>
        <w:rPr>
          <w:rFonts w:ascii="Times New Roman" w:hAnsi="Times New Roman" w:eastAsia="楷体_GB2312"/>
          <w:b/>
          <w:sz w:val="32"/>
        </w:rPr>
        <w:t>4.1 架构设计原则（目标导向，手段开放）</w:t>
      </w:r>
      <w:bookmarkEnd w:id="30"/>
    </w:p>
    <w:p w14:paraId="32C5E800">
      <w:pPr>
        <w:spacing w:before="0" w:after="0" w:line="600" w:lineRule="exact"/>
        <w:ind w:firstLine="640"/>
        <w:jc w:val="both"/>
      </w:pPr>
      <w:r>
        <w:rPr>
          <w:rFonts w:ascii="Times New Roman" w:hAnsi="Times New Roman" w:eastAsia="仿宋_GB2312"/>
          <w:b w:val="0"/>
          <w:sz w:val="32"/>
        </w:rPr>
        <w:t>项目基线技术方案为Kotlin + MVVM架构模式。开发合作方亦可提出兼容的更优技术方案，但须提供详细对比论证，说明其在目标运行环境下相对于基线方案的明确优势与可行性。</w:t>
      </w:r>
    </w:p>
    <w:p w14:paraId="5D70E398">
      <w:pPr>
        <w:spacing w:before="0" w:after="0" w:line="600" w:lineRule="exact"/>
      </w:pPr>
    </w:p>
    <w:tbl>
      <w:tblPr>
        <w:tblStyle w:val="35"/>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60" w:type="dxa"/>
          <w:left w:w="60" w:type="dxa"/>
          <w:bottom w:w="60" w:type="dxa"/>
          <w:right w:w="60" w:type="dxa"/>
        </w:tblCellMar>
      </w:tblPr>
      <w:tblGrid>
        <w:gridCol w:w="1853"/>
        <w:gridCol w:w="6447"/>
      </w:tblGrid>
      <w:tr w14:paraId="4FBFFF75">
        <w:trPr>
          <w:jc w:val="center"/>
        </w:trPr>
        <w:tc>
          <w:tcPr>
            <w:tcW w:w="1984" w:type="dxa"/>
            <w:shd w:val="clear" w:color="auto" w:fill="D9E2F3"/>
          </w:tcPr>
          <w:p w14:paraId="00B80449">
            <w:pPr>
              <w:spacing w:before="0" w:after="0" w:line="600" w:lineRule="exact"/>
              <w:jc w:val="center"/>
            </w:pPr>
            <w:r>
              <w:rPr>
                <w:rFonts w:ascii="黑体" w:hAnsi="黑体" w:eastAsia="黑体"/>
                <w:b/>
                <w:sz w:val="32"/>
              </w:rPr>
              <w:t>架构原则</w:t>
            </w:r>
          </w:p>
        </w:tc>
        <w:tc>
          <w:tcPr>
            <w:tcW w:w="7087" w:type="dxa"/>
            <w:shd w:val="clear" w:color="auto" w:fill="D9E2F3"/>
          </w:tcPr>
          <w:p w14:paraId="0FAA3BDC">
            <w:pPr>
              <w:spacing w:before="0" w:after="0" w:line="600" w:lineRule="exact"/>
              <w:jc w:val="center"/>
            </w:pPr>
            <w:r>
              <w:rPr>
                <w:rFonts w:ascii="黑体" w:hAnsi="黑体" w:eastAsia="黑体"/>
                <w:b/>
                <w:sz w:val="32"/>
              </w:rPr>
              <w:t>具体要求</w:t>
            </w:r>
          </w:p>
        </w:tc>
      </w:tr>
      <w:tr w14:paraId="120645C8">
        <w:trPr>
          <w:jc w:val="center"/>
        </w:trPr>
        <w:tc>
          <w:tcPr>
            <w:tcW w:w="1984" w:type="dxa"/>
            <w:vAlign w:val="center"/>
          </w:tcPr>
          <w:p w14:paraId="6AE4D1DE">
            <w:pPr>
              <w:spacing w:before="0" w:after="0" w:line="600" w:lineRule="exact"/>
              <w:jc w:val="left"/>
            </w:pPr>
            <w:r>
              <w:rPr>
                <w:rFonts w:ascii="Times New Roman" w:hAnsi="Times New Roman" w:eastAsia="仿宋_GB2312"/>
                <w:sz w:val="32"/>
              </w:rPr>
              <w:t>面向对象，职责清晰</w:t>
            </w:r>
          </w:p>
        </w:tc>
        <w:tc>
          <w:tcPr>
            <w:tcW w:w="7087" w:type="dxa"/>
            <w:vAlign w:val="center"/>
          </w:tcPr>
          <w:p w14:paraId="6020792A">
            <w:pPr>
              <w:spacing w:before="0" w:after="0" w:line="600" w:lineRule="exact"/>
              <w:jc w:val="left"/>
            </w:pPr>
            <w:r>
              <w:rPr>
                <w:rFonts w:ascii="Times New Roman" w:hAnsi="Times New Roman" w:eastAsia="仿宋_GB2312"/>
                <w:sz w:val="32"/>
              </w:rPr>
              <w:t>代码以职责单一、高内聚的类组织，避免巨型类，倡导组合优于继承，领域模型清晰可维护。</w:t>
            </w:r>
          </w:p>
        </w:tc>
      </w:tr>
      <w:tr w14:paraId="7E5347D7">
        <w:trPr>
          <w:jc w:val="center"/>
        </w:trPr>
        <w:tc>
          <w:tcPr>
            <w:tcW w:w="1984" w:type="dxa"/>
            <w:vAlign w:val="center"/>
          </w:tcPr>
          <w:p w14:paraId="174AA206">
            <w:pPr>
              <w:spacing w:before="0" w:after="0" w:line="600" w:lineRule="exact"/>
              <w:jc w:val="left"/>
            </w:pPr>
            <w:r>
              <w:rPr>
                <w:rFonts w:ascii="Times New Roman" w:hAnsi="Times New Roman" w:eastAsia="仿宋_GB2312"/>
                <w:sz w:val="32"/>
              </w:rPr>
              <w:t>面向接口，降低耦合</w:t>
            </w:r>
          </w:p>
        </w:tc>
        <w:tc>
          <w:tcPr>
            <w:tcW w:w="7087" w:type="dxa"/>
            <w:vAlign w:val="center"/>
          </w:tcPr>
          <w:p w14:paraId="1003E7CA">
            <w:pPr>
              <w:spacing w:before="0" w:after="0" w:line="600" w:lineRule="exact"/>
              <w:jc w:val="left"/>
            </w:pPr>
            <w:r>
              <w:rPr>
                <w:rFonts w:ascii="Times New Roman" w:hAnsi="Times New Roman" w:eastAsia="仿宋_GB2312"/>
                <w:sz w:val="32"/>
              </w:rPr>
              <w:t>所有跨模块调用必须基于接口。模块对外仅暴露接口，实现细节模块内封闭。核心能力（播放器SDK、支付、登录、日志等）必须定义标准服务接口，通过接口注册或依赖注入等方式获取。全局单例引用须逐步消减至必要最小集，新增代码原则上不得使用全局单例。</w:t>
            </w:r>
          </w:p>
        </w:tc>
      </w:tr>
      <w:tr w14:paraId="7FEA82B9">
        <w:trPr>
          <w:jc w:val="center"/>
        </w:trPr>
        <w:tc>
          <w:tcPr>
            <w:tcW w:w="1984" w:type="dxa"/>
            <w:vAlign w:val="center"/>
          </w:tcPr>
          <w:p w14:paraId="6B2242F1">
            <w:pPr>
              <w:spacing w:before="0" w:after="0" w:line="600" w:lineRule="exact"/>
              <w:jc w:val="left"/>
            </w:pPr>
            <w:r>
              <w:rPr>
                <w:rFonts w:ascii="Times New Roman" w:hAnsi="Times New Roman" w:eastAsia="仿宋_GB2312"/>
                <w:sz w:val="32"/>
              </w:rPr>
              <w:t>面向组件，独立装配</w:t>
            </w:r>
          </w:p>
        </w:tc>
        <w:tc>
          <w:tcPr>
            <w:tcW w:w="7087" w:type="dxa"/>
            <w:vAlign w:val="center"/>
          </w:tcPr>
          <w:p w14:paraId="456F7E94">
            <w:pPr>
              <w:spacing w:before="0" w:after="0" w:line="600" w:lineRule="exact"/>
              <w:jc w:val="left"/>
            </w:pPr>
            <w:r>
              <w:rPr>
                <w:rFonts w:ascii="Times New Roman" w:hAnsi="Times New Roman" w:eastAsia="仿宋_GB2312"/>
                <w:sz w:val="32"/>
              </w:rPr>
              <w:t>业务功能按领域聚合为独立组件，组件可独立开发、测试、发布。组件间通过路由和接口服务通信，不得直接持有对方内部类引用。</w:t>
            </w:r>
          </w:p>
        </w:tc>
      </w:tr>
      <w:tr w14:paraId="60941582">
        <w:trPr>
          <w:jc w:val="center"/>
        </w:trPr>
        <w:tc>
          <w:tcPr>
            <w:tcW w:w="1984" w:type="dxa"/>
            <w:vAlign w:val="center"/>
          </w:tcPr>
          <w:p w14:paraId="3FB7A8F7">
            <w:pPr>
              <w:spacing w:before="0" w:after="0" w:line="600" w:lineRule="exact"/>
              <w:jc w:val="left"/>
            </w:pPr>
            <w:r>
              <w:rPr>
                <w:rFonts w:ascii="Times New Roman" w:hAnsi="Times New Roman" w:eastAsia="仿宋_GB2312"/>
                <w:sz w:val="32"/>
              </w:rPr>
              <w:t>面向模块，单向依赖</w:t>
            </w:r>
          </w:p>
        </w:tc>
        <w:tc>
          <w:tcPr>
            <w:tcW w:w="7087" w:type="dxa"/>
            <w:vAlign w:val="center"/>
          </w:tcPr>
          <w:p w14:paraId="19F12E4B">
            <w:pPr>
              <w:spacing w:before="0" w:after="0" w:line="600" w:lineRule="exact"/>
              <w:jc w:val="left"/>
            </w:pPr>
            <w:r>
              <w:rPr>
                <w:rFonts w:ascii="Times New Roman" w:hAnsi="Times New Roman" w:eastAsia="仿宋_GB2312"/>
                <w:sz w:val="32"/>
              </w:rPr>
              <w:t>严格分层，形成【基础工具层 → 能力组件层 → 业务组件层 → 宿主装配层】的单向依赖链。下层模块严禁引用上层模块。分层清晰可减少编译依赖，加快构建速度，并迫使开发者遵循架构边界。</w:t>
            </w:r>
          </w:p>
        </w:tc>
      </w:tr>
    </w:tbl>
    <w:p w14:paraId="43725FBF">
      <w:pPr>
        <w:spacing w:before="0" w:after="0" w:line="600" w:lineRule="exact"/>
        <w:ind w:firstLine="640"/>
        <w:jc w:val="left"/>
        <w:outlineLvl w:val="1"/>
      </w:pPr>
      <w:bookmarkStart w:id="31" w:name="_Toc1582908255"/>
      <w:r>
        <w:rPr>
          <w:rFonts w:ascii="Times New Roman" w:hAnsi="Times New Roman" w:eastAsia="楷体_GB2312"/>
          <w:b/>
          <w:sz w:val="32"/>
        </w:rPr>
        <w:t>4.2 性能优化方向（必须响应）</w:t>
      </w:r>
      <w:bookmarkEnd w:id="31"/>
    </w:p>
    <w:p w14:paraId="210D0FA9">
      <w:pPr>
        <w:spacing w:before="0" w:after="0" w:line="600" w:lineRule="exact"/>
        <w:ind w:firstLine="640"/>
        <w:jc w:val="both"/>
      </w:pPr>
      <w:r>
        <w:rPr>
          <w:rFonts w:ascii="Times New Roman" w:hAnsi="Times New Roman" w:eastAsia="仿宋_GB2312"/>
          <w:b w:val="0"/>
          <w:sz w:val="32"/>
        </w:rPr>
        <w:t>开发合作方需在技术方案中详细说明以下方向的具体优化策略：</w:t>
      </w:r>
    </w:p>
    <w:p w14:paraId="6E7E9D72">
      <w:pPr>
        <w:spacing w:before="0" w:after="0" w:line="600" w:lineRule="exact"/>
        <w:ind w:firstLine="640"/>
        <w:jc w:val="both"/>
      </w:pPr>
      <w:r>
        <w:rPr>
          <w:rFonts w:ascii="Times New Roman" w:hAnsi="Times New Roman" w:eastAsia="仿宋_GB2312"/>
          <w:b w:val="0"/>
          <w:sz w:val="32"/>
        </w:rPr>
        <w:t>启动速度：如何通过延迟加载、按需初始化、减少启动时的依赖解析和全局状态初始化等方式缩短冷启动和热启动时间。</w:t>
      </w:r>
    </w:p>
    <w:p w14:paraId="49B377F2">
      <w:pPr>
        <w:spacing w:before="0" w:after="0" w:line="600" w:lineRule="exact"/>
        <w:ind w:firstLine="640"/>
        <w:jc w:val="both"/>
      </w:pPr>
      <w:r>
        <w:rPr>
          <w:rFonts w:ascii="Times New Roman" w:hAnsi="Times New Roman" w:eastAsia="仿宋_GB2312"/>
          <w:b w:val="0"/>
          <w:sz w:val="32"/>
        </w:rPr>
        <w:t>页面渲染：如何通过减少布局层级、优化View创建和复用、精简测量绘制流程来提升页面切换流畅度。</w:t>
      </w:r>
    </w:p>
    <w:p w14:paraId="4C9FE64F">
      <w:pPr>
        <w:spacing w:before="0" w:after="0" w:line="600" w:lineRule="exact"/>
        <w:ind w:firstLine="640"/>
        <w:jc w:val="both"/>
      </w:pPr>
      <w:r>
        <w:rPr>
          <w:rFonts w:ascii="Times New Roman" w:hAnsi="Times New Roman" w:eastAsia="仿宋_GB2312"/>
          <w:b w:val="0"/>
          <w:sz w:val="32"/>
        </w:rPr>
        <w:t>播放响应：如何通过优化播放器组件边界、减少跨模块通信开销来缩短起播和切换响应时间。</w:t>
      </w:r>
    </w:p>
    <w:p w14:paraId="28C9C89E">
      <w:pPr>
        <w:spacing w:before="0" w:after="0" w:line="600" w:lineRule="exact"/>
        <w:ind w:firstLine="640"/>
        <w:jc w:val="both"/>
      </w:pPr>
      <w:r>
        <w:rPr>
          <w:rFonts w:ascii="Times New Roman" w:hAnsi="Times New Roman" w:eastAsia="仿宋_GB2312"/>
          <w:b w:val="0"/>
          <w:sz w:val="32"/>
        </w:rPr>
        <w:t>内存管理：如何在API 19低内存设备上有效控制内存占用，减少GC频次和停顿。须重点阐述如何通过架构设计和技术框架的自动管理（如统一的生命周期绑定、资源自动回收机制等），而非人工编写样板代码来管理资源和生命周期。</w:t>
      </w:r>
    </w:p>
    <w:p w14:paraId="2090B3DA">
      <w:pPr>
        <w:spacing w:before="0" w:after="0" w:line="600" w:lineRule="exact"/>
        <w:ind w:firstLine="640"/>
        <w:jc w:val="both"/>
      </w:pPr>
      <w:r>
        <w:rPr>
          <w:rFonts w:ascii="Times New Roman" w:hAnsi="Times New Roman" w:eastAsia="仿宋_GB2312"/>
          <w:b w:val="0"/>
          <w:sz w:val="32"/>
        </w:rPr>
        <w:t>代码精简：如何在新架构中避免引入不必要的库依赖，保持包体积和运行时开销可控。</w:t>
      </w:r>
    </w:p>
    <w:p w14:paraId="3FFD46A5">
      <w:pPr>
        <w:spacing w:before="0" w:after="0" w:line="600" w:lineRule="exact"/>
        <w:ind w:firstLine="640"/>
        <w:jc w:val="both"/>
      </w:pPr>
      <w:r>
        <w:rPr>
          <w:rFonts w:ascii="Times New Roman" w:hAnsi="Times New Roman" w:eastAsia="仿宋_GB2312"/>
          <w:b w:val="0"/>
          <w:sz w:val="32"/>
        </w:rPr>
        <w:t>EPG前端性能：针对基于WebView的EPG前端，如何优化首屏加载、路由切换、长列表渲染及低版本WebView下的运行效率，须提出具体可量化措施。</w:t>
      </w:r>
    </w:p>
    <w:p w14:paraId="55EA1565">
      <w:pPr>
        <w:spacing w:before="0" w:after="0" w:line="600" w:lineRule="exact"/>
        <w:ind w:firstLine="640"/>
        <w:jc w:val="left"/>
        <w:outlineLvl w:val="1"/>
      </w:pPr>
      <w:bookmarkStart w:id="32" w:name="_Toc911622749"/>
      <w:r>
        <w:rPr>
          <w:rFonts w:ascii="Times New Roman" w:hAnsi="Times New Roman" w:eastAsia="楷体_GB2312"/>
          <w:b/>
          <w:sz w:val="32"/>
        </w:rPr>
        <w:t>4.3 多版本兼容关键技术约束</w:t>
      </w:r>
      <w:bookmarkEnd w:id="32"/>
    </w:p>
    <w:p w14:paraId="40C4ABE1">
      <w:pPr>
        <w:spacing w:before="0" w:after="0" w:line="600" w:lineRule="exact"/>
        <w:ind w:firstLine="640"/>
        <w:jc w:val="both"/>
      </w:pPr>
      <w:r>
        <w:rPr>
          <w:rFonts w:ascii="Times New Roman" w:hAnsi="Times New Roman" w:eastAsia="仿宋_GB2312"/>
          <w:b w:val="0"/>
          <w:sz w:val="32"/>
        </w:rPr>
        <w:t>基线兼容（API 19）：所有代码必须能在Android 4.4上运行。禁止使用API 20+的必需API，或通过版本判断并提供降级逻辑。需说明AndroidX库等依赖的版本兼容策略。</w:t>
      </w:r>
    </w:p>
    <w:p w14:paraId="3BAD5858">
      <w:pPr>
        <w:spacing w:before="0" w:after="0" w:line="600" w:lineRule="exact"/>
        <w:ind w:firstLine="640"/>
        <w:jc w:val="both"/>
      </w:pPr>
      <w:r>
        <w:rPr>
          <w:rFonts w:ascii="Times New Roman" w:hAnsi="Times New Roman" w:eastAsia="仿宋_GB2312"/>
          <w:b w:val="0"/>
          <w:sz w:val="32"/>
        </w:rPr>
        <w:t>高版本适配：targetSdk须与指定的较高API级别保持一致，主动适配高版本行为变更：权限模型适配（API 23运行时权限）、后台执行限制（API 26+）、存储作用域（API 29+分区存储）、WebView兼容等。</w:t>
      </w:r>
    </w:p>
    <w:p w14:paraId="14FE5A9D">
      <w:pPr>
        <w:spacing w:before="0" w:after="0" w:line="600" w:lineRule="exact"/>
        <w:ind w:firstLine="640"/>
        <w:jc w:val="both"/>
      </w:pPr>
      <w:r>
        <w:rPr>
          <w:rFonts w:ascii="Times New Roman" w:hAnsi="Times New Roman" w:eastAsia="仿宋_GB2312"/>
          <w:b w:val="0"/>
          <w:sz w:val="32"/>
        </w:rPr>
        <w:t>版本桥接封装：建议建立统一的版本兼容工具层，封装常见版本差异判断和适配逻辑，避免业务代码中散落版本判断。</w:t>
      </w:r>
    </w:p>
    <w:p w14:paraId="56909746">
      <w:pPr>
        <w:spacing w:before="0" w:after="0" w:line="600" w:lineRule="exact"/>
        <w:ind w:firstLine="640"/>
        <w:jc w:val="both"/>
      </w:pPr>
      <w:r>
        <w:rPr>
          <w:rFonts w:ascii="Times New Roman" w:hAnsi="Times New Roman" w:eastAsia="仿宋_GB2312"/>
          <w:b w:val="0"/>
          <w:sz w:val="32"/>
        </w:rPr>
        <w:t>网络请求：TLS/SSL库需同时兼顾API 19的老旧CA证书体系和API 28+默认禁用明文流量的要求。</w:t>
      </w:r>
    </w:p>
    <w:p w14:paraId="316256E2">
      <w:pPr>
        <w:spacing w:before="0" w:after="0" w:line="600" w:lineRule="exact"/>
        <w:ind w:firstLine="640"/>
        <w:jc w:val="both"/>
      </w:pPr>
      <w:r>
        <w:rPr>
          <w:rFonts w:ascii="Times New Roman" w:hAnsi="Times New Roman" w:eastAsia="仿宋_GB2312"/>
          <w:b w:val="0"/>
          <w:sz w:val="32"/>
        </w:rPr>
        <w:t>WebView兼容：理解API 19内嵌WebView为Chromium 30-33内核，高版本WebView内核可独立升级。前端页面和本地WebView交互代码须兼顾两者，明确polyfill策略和渐进增强方案。</w:t>
      </w:r>
    </w:p>
    <w:p w14:paraId="1EC0BA4C">
      <w:pPr>
        <w:spacing w:before="0" w:after="0" w:line="600" w:lineRule="exact"/>
        <w:ind w:firstLine="640"/>
        <w:jc w:val="left"/>
        <w:outlineLvl w:val="1"/>
      </w:pPr>
      <w:bookmarkStart w:id="33" w:name="_Toc1495204745"/>
      <w:r>
        <w:rPr>
          <w:rFonts w:ascii="Times New Roman" w:hAnsi="Times New Roman" w:eastAsia="楷体_GB2312"/>
          <w:b/>
          <w:sz w:val="32"/>
        </w:rPr>
        <w:t>4.4 多渠道工程与CI/CD</w:t>
      </w:r>
      <w:bookmarkEnd w:id="33"/>
    </w:p>
    <w:p w14:paraId="1A50D13C">
      <w:pPr>
        <w:spacing w:before="0" w:after="0" w:line="600" w:lineRule="exact"/>
        <w:ind w:firstLine="640"/>
        <w:jc w:val="both"/>
      </w:pPr>
      <w:r>
        <w:rPr>
          <w:rFonts w:ascii="Times New Roman" w:hAnsi="Times New Roman" w:eastAsia="仿宋_GB2312"/>
          <w:b w:val="0"/>
          <w:sz w:val="32"/>
        </w:rPr>
        <w:t>通过构建变体和资源分目录实现多渠道差异化，保持所有渠道产物遵循minSdk 19，targetSdk与指定高版本对齐。</w:t>
      </w:r>
    </w:p>
    <w:p w14:paraId="51C5437E">
      <w:pPr>
        <w:spacing w:before="0" w:after="0" w:line="600" w:lineRule="exact"/>
        <w:ind w:firstLine="640"/>
        <w:jc w:val="both"/>
      </w:pPr>
      <w:r>
        <w:rPr>
          <w:rFonts w:ascii="Times New Roman" w:hAnsi="Times New Roman" w:eastAsia="仿宋_GB2312"/>
          <w:b w:val="0"/>
          <w:sz w:val="32"/>
        </w:rPr>
        <w:t>Android播放器SDK：作为独立组件重构开发，对外提供简洁、稳定的接口，内部实现可独立演进。SDK与宿主保持同等的多版本兼容性要求，并提供集成文档和兼容性说明。</w:t>
      </w:r>
    </w:p>
    <w:p w14:paraId="762B8CE9">
      <w:pPr>
        <w:spacing w:before="0" w:after="0" w:line="600" w:lineRule="exact"/>
        <w:ind w:firstLine="640"/>
        <w:jc w:val="both"/>
      </w:pPr>
      <w:r>
        <w:rPr>
          <w:rFonts w:ascii="Times New Roman" w:hAnsi="Times New Roman" w:eastAsia="仿宋_GB2312"/>
          <w:b w:val="0"/>
          <w:sz w:val="32"/>
        </w:rPr>
        <w:t>充分运用现有CI/CD平台能力，建立标准化构建模板，所有上线制品须与制品库版本严格对应，杜绝手动交接。</w:t>
      </w:r>
    </w:p>
    <w:p w14:paraId="4C4D7C8B">
      <w:pPr>
        <w:spacing w:before="0" w:after="0" w:line="600" w:lineRule="exact"/>
        <w:ind w:firstLine="640"/>
        <w:jc w:val="left"/>
        <w:outlineLvl w:val="1"/>
      </w:pPr>
      <w:bookmarkStart w:id="34" w:name="_Toc52512021"/>
      <w:r>
        <w:rPr>
          <w:rFonts w:ascii="Times New Roman" w:hAnsi="Times New Roman" w:eastAsia="楷体_GB2312"/>
          <w:b/>
          <w:sz w:val="32"/>
        </w:rPr>
        <w:t>4.5 AI编码辅助要求</w:t>
      </w:r>
      <w:bookmarkEnd w:id="34"/>
    </w:p>
    <w:p w14:paraId="20C01703">
      <w:pPr>
        <w:spacing w:before="0" w:after="0" w:line="600" w:lineRule="exact"/>
        <w:ind w:firstLine="640"/>
        <w:jc w:val="both"/>
      </w:pPr>
      <w:r>
        <w:rPr>
          <w:rFonts w:ascii="Times New Roman" w:hAnsi="Times New Roman" w:eastAsia="仿宋_GB2312"/>
          <w:b w:val="0"/>
          <w:sz w:val="32"/>
        </w:rPr>
        <w:t>本项目要求开发合作方系统性引入AI编码辅助工具，作为提升开发效率的核心手段之一。开发合作方须在技术方案中对以下方面做出详细说明：</w:t>
      </w:r>
    </w:p>
    <w:p w14:paraId="4F82442B">
      <w:pPr>
        <w:spacing w:before="0" w:after="0" w:line="600" w:lineRule="exact"/>
        <w:ind w:firstLine="640"/>
        <w:jc w:val="both"/>
      </w:pPr>
      <w:r>
        <w:rPr>
          <w:rFonts w:ascii="Times New Roman" w:hAnsi="Times New Roman" w:eastAsia="仿宋_GB2312"/>
          <w:b w:val="0"/>
          <w:sz w:val="32"/>
        </w:rPr>
        <w:t>AI工具选型：拟采用的AI编码辅助工具（如CodeBuddy、Comate、MarsCode、CodeArts Snap等主流AI编码工具），及其在本项目技术栈（Android/Kotlin/Java、前端Vue/JavaScript等）上的适用性说明。</w:t>
      </w:r>
    </w:p>
    <w:p w14:paraId="69E67CBB">
      <w:pPr>
        <w:spacing w:before="0" w:after="0" w:line="600" w:lineRule="exact"/>
        <w:ind w:firstLine="640"/>
        <w:jc w:val="both"/>
      </w:pPr>
      <w:r>
        <w:rPr>
          <w:rFonts w:ascii="Times New Roman" w:hAnsi="Times New Roman" w:eastAsia="仿宋_GB2312"/>
          <w:b w:val="0"/>
          <w:sz w:val="32"/>
        </w:rPr>
        <w:t>AI融入开发流程：如何在日常编码、代码评审、单元测试编写、Bug修复、文档生成等开发环节中系统性运用AI工具，形成标准化的AI辅助开发工作流。</w:t>
      </w:r>
    </w:p>
    <w:p w14:paraId="6DE2B434">
      <w:pPr>
        <w:spacing w:before="0" w:after="0" w:line="600" w:lineRule="exact"/>
        <w:ind w:firstLine="640"/>
        <w:jc w:val="both"/>
      </w:pPr>
      <w:r>
        <w:rPr>
          <w:rFonts w:ascii="Times New Roman" w:hAnsi="Times New Roman" w:eastAsia="仿宋_GB2312"/>
          <w:b w:val="0"/>
          <w:sz w:val="32"/>
        </w:rPr>
        <w:t>人效提升目标与度量：如何量化AI工具带来的开发效率提升，建议提出可度量的效率指标（如代码产出量、开发周期缩短比例、缺陷修复效率等），并建立定期评估机制。</w:t>
      </w:r>
    </w:p>
    <w:p w14:paraId="30D376B7">
      <w:pPr>
        <w:spacing w:before="0" w:after="0" w:line="600" w:lineRule="exact"/>
        <w:ind w:firstLine="640"/>
        <w:jc w:val="both"/>
      </w:pPr>
      <w:r>
        <w:rPr>
          <w:rFonts w:ascii="Times New Roman" w:hAnsi="Times New Roman" w:eastAsia="仿宋_GB2312"/>
          <w:b w:val="0"/>
          <w:sz w:val="32"/>
        </w:rPr>
        <w:t>质量保障措施：在使用AI生成代码时如何确保代码质量，包括AI生成代码的评审流程、安全合规审查机制、以及防止AI引入缺陷或安全漏洞的管控措施。</w:t>
      </w:r>
    </w:p>
    <w:p w14:paraId="103E195E">
      <w:pPr>
        <w:spacing w:before="0" w:after="0" w:line="600" w:lineRule="exact"/>
        <w:ind w:firstLine="640"/>
        <w:jc w:val="both"/>
      </w:pPr>
      <w:r>
        <w:rPr>
          <w:rFonts w:ascii="Times New Roman" w:hAnsi="Times New Roman" w:eastAsia="仿宋_GB2312"/>
          <w:b w:val="0"/>
          <w:sz w:val="32"/>
        </w:rPr>
        <w:t>知识沉淀与团队赋能：如何通过AI工具辅助知识管理，确保项目技术知识在人员变动时能够有效传承，降低对个人的依赖。</w:t>
      </w:r>
    </w:p>
    <w:p w14:paraId="65F8DC84">
      <w:pPr>
        <w:spacing w:before="0" w:after="0" w:line="600" w:lineRule="exact"/>
        <w:ind w:firstLine="640"/>
        <w:jc w:val="both"/>
      </w:pPr>
      <w:r>
        <w:rPr>
          <w:rFonts w:ascii="Times New Roman" w:hAnsi="Times New Roman" w:eastAsia="仿宋_GB2312"/>
          <w:b w:val="0"/>
          <w:sz w:val="32"/>
        </w:rPr>
        <w:t>AI编码工具服务保障：AI编码辅助工具的使用涉及Token消耗等订阅费用，开发合作方应自行承担AI编码工具的许可授权、订阅费用及Token消耗等相关成本，确保参与本项目开发的所有人员均具备正常使用AI编码工具的条件，不得因工具授权或Token额度不足影响开发效率和人效目标的达成。开发合作方须在响应方案中明确所采用的AI编码工具、授权方式及服务保障措施。</w:t>
      </w:r>
    </w:p>
    <w:p w14:paraId="080189A9">
      <w:pPr>
        <w:spacing w:before="0" w:after="0" w:line="600" w:lineRule="exact"/>
        <w:ind w:firstLine="640"/>
        <w:jc w:val="left"/>
        <w:outlineLvl w:val="0"/>
      </w:pPr>
      <w:bookmarkStart w:id="35" w:name="_Toc2101241677"/>
      <w:r>
        <w:rPr>
          <w:rFonts w:ascii="黑体" w:hAnsi="黑体" w:eastAsia="黑体"/>
          <w:b w:val="0"/>
          <w:sz w:val="32"/>
        </w:rPr>
        <w:t>五、项目开发模式与团队要求</w:t>
      </w:r>
      <w:bookmarkEnd w:id="35"/>
    </w:p>
    <w:p w14:paraId="3D18D249">
      <w:pPr>
        <w:spacing w:before="0" w:after="0" w:line="600" w:lineRule="exact"/>
        <w:ind w:firstLine="640"/>
        <w:jc w:val="left"/>
        <w:outlineLvl w:val="1"/>
      </w:pPr>
      <w:bookmarkStart w:id="36" w:name="_Toc200290424"/>
      <w:r>
        <w:rPr>
          <w:rFonts w:ascii="Times New Roman" w:hAnsi="Times New Roman" w:eastAsia="楷体_GB2312"/>
          <w:b/>
          <w:sz w:val="32"/>
        </w:rPr>
        <w:t>5.1 项目周期</w:t>
      </w:r>
      <w:bookmarkEnd w:id="36"/>
    </w:p>
    <w:p w14:paraId="604DD8BF">
      <w:pPr>
        <w:spacing w:before="0" w:after="0" w:line="600" w:lineRule="exact"/>
        <w:ind w:firstLine="640"/>
        <w:jc w:val="both"/>
      </w:pPr>
      <w:r>
        <w:rPr>
          <w:rFonts w:ascii="Times New Roman" w:hAnsi="Times New Roman" w:eastAsia="仿宋_GB2312"/>
          <w:b w:val="0"/>
          <w:sz w:val="32"/>
        </w:rPr>
        <w:t>本项目开发周期为1年，自合同签订之日起计算。开发合作方应在合同约定的周期内完成全部软件开发、测试及交付工作。</w:t>
      </w:r>
    </w:p>
    <w:p w14:paraId="0B385E31">
      <w:pPr>
        <w:spacing w:before="0" w:after="0" w:line="600" w:lineRule="exact"/>
        <w:ind w:firstLine="640"/>
        <w:jc w:val="left"/>
        <w:outlineLvl w:val="1"/>
      </w:pPr>
      <w:bookmarkStart w:id="37" w:name="_Toc1174281319"/>
      <w:r>
        <w:rPr>
          <w:rFonts w:ascii="Times New Roman" w:hAnsi="Times New Roman" w:eastAsia="楷体_GB2312"/>
          <w:b/>
          <w:sz w:val="32"/>
        </w:rPr>
        <w:t>5.2 开发模式</w:t>
      </w:r>
      <w:bookmarkEnd w:id="37"/>
    </w:p>
    <w:p w14:paraId="69D92B82">
      <w:pPr>
        <w:spacing w:before="0" w:after="0" w:line="600" w:lineRule="exact"/>
        <w:ind w:firstLine="640"/>
        <w:jc w:val="both"/>
      </w:pPr>
      <w:r>
        <w:rPr>
          <w:rFonts w:ascii="Times New Roman" w:hAnsi="Times New Roman" w:eastAsia="仿宋_GB2312"/>
          <w:b w:val="0"/>
          <w:sz w:val="32"/>
        </w:rPr>
        <w:t>本项目采用目标导向的开发模式。开发合作方应以软件交付目标为核心，自主管理和调配开发团队，在确保交付质量和进度的前提下，合理配置人力资源。开发合作方须充分利用AI编码辅助工具（如CodeBuddy、Comate、MarsCode、CodeArts Snap等主流AI编码工具）提升开发效率，以较少的现场人员达成更高的人效产出。本项目现场常驻开发人员为3人，但须达成相当于6人规模的开发产出效率。本项目不强制规定现场开发人员的职级比例，但须满足以下基本要求：</w:t>
      </w:r>
    </w:p>
    <w:p w14:paraId="6C075262">
      <w:pPr>
        <w:spacing w:before="0" w:after="0" w:line="600" w:lineRule="exact"/>
        <w:ind w:firstLine="640"/>
        <w:jc w:val="both"/>
      </w:pPr>
      <w:r>
        <w:rPr>
          <w:rFonts w:ascii="Times New Roman" w:hAnsi="Times New Roman" w:eastAsia="仿宋_GB2312"/>
          <w:b w:val="0"/>
          <w:sz w:val="32"/>
        </w:rPr>
        <w:t>开发合作方须保证至少3名研发工程师常驻甲方办公场所参与本项目开发，确保现场沟通协作的高效性和项目响应的及时性。</w:t>
      </w:r>
    </w:p>
    <w:p w14:paraId="079EC141">
      <w:pPr>
        <w:spacing w:before="0" w:after="0" w:line="600" w:lineRule="exact"/>
        <w:ind w:firstLine="640"/>
        <w:jc w:val="both"/>
      </w:pPr>
      <w:r>
        <w:rPr>
          <w:rFonts w:ascii="Times New Roman" w:hAnsi="Times New Roman" w:eastAsia="仿宋_GB2312"/>
          <w:b w:val="0"/>
          <w:sz w:val="32"/>
        </w:rPr>
        <w:t>现场开发人员须具备与本项目技术栈相匹配的专业能力（Android开发、H5/CSS/JavaScript前端开发等），且须熟练掌握至少一种主流AI编码辅助工具的使用。</w:t>
      </w:r>
    </w:p>
    <w:p w14:paraId="747D3BA8">
      <w:pPr>
        <w:spacing w:before="0" w:after="0" w:line="600" w:lineRule="exact"/>
        <w:ind w:firstLine="640"/>
        <w:jc w:val="both"/>
      </w:pPr>
      <w:r>
        <w:rPr>
          <w:rFonts w:ascii="Times New Roman" w:hAnsi="Times New Roman" w:eastAsia="仿宋_GB2312"/>
          <w:b w:val="0"/>
          <w:sz w:val="32"/>
        </w:rPr>
        <w:t>开发合作方须建立AI辅助开发工作流程，将AI编码工具融入日常开发、代码评审、单元测试编写等环节，以AI赋能实现人效倍增，确保3人现场团队能够达成相当于6人的开发产出目标。</w:t>
      </w:r>
    </w:p>
    <w:p w14:paraId="7395188F">
      <w:pPr>
        <w:spacing w:before="0" w:after="0" w:line="600" w:lineRule="exact"/>
        <w:ind w:firstLine="640"/>
        <w:jc w:val="both"/>
      </w:pPr>
      <w:r>
        <w:rPr>
          <w:rFonts w:ascii="Times New Roman" w:hAnsi="Times New Roman" w:eastAsia="仿宋_GB2312"/>
          <w:b w:val="0"/>
          <w:sz w:val="32"/>
        </w:rPr>
        <w:t>核心成员的变更须提前30天书面通知甲方，经甲方同意后方可更换，并确保工作交接的完整性。</w:t>
      </w:r>
    </w:p>
    <w:p w14:paraId="636F3FE6">
      <w:pPr>
        <w:spacing w:before="0" w:after="0" w:line="600" w:lineRule="exact"/>
        <w:ind w:firstLine="640"/>
        <w:jc w:val="both"/>
      </w:pPr>
      <w:r>
        <w:rPr>
          <w:rFonts w:ascii="Times New Roman" w:hAnsi="Times New Roman" w:eastAsia="仿宋_GB2312"/>
          <w:b w:val="0"/>
          <w:sz w:val="32"/>
        </w:rPr>
        <w:t>人效兜底要求：若在项目执行过程中，经甲方评估认定3人现场团队通过AI辅助工具仍未能达成相当于6人规模的开发产出效率，开发合作方须在甲方书面通知后30日内无条件增派人员，将现场常驻研发人员补足至6人，直至人效目标持续达成为止，由此产生的人力成本由开发合作方自行承担。</w:t>
      </w:r>
    </w:p>
    <w:p w14:paraId="0ADFA5C2">
      <w:pPr>
        <w:spacing w:before="0" w:after="0" w:line="600" w:lineRule="exact"/>
        <w:ind w:firstLine="640"/>
        <w:jc w:val="left"/>
        <w:outlineLvl w:val="1"/>
      </w:pPr>
      <w:bookmarkStart w:id="38" w:name="_Toc771412503"/>
      <w:r>
        <w:rPr>
          <w:rFonts w:ascii="Times New Roman" w:hAnsi="Times New Roman" w:eastAsia="楷体_GB2312"/>
          <w:b/>
          <w:sz w:val="32"/>
        </w:rPr>
        <w:t>5.3 人力资源需求与规模建议</w:t>
      </w:r>
      <w:bookmarkEnd w:id="38"/>
    </w:p>
    <w:p w14:paraId="429E84FC">
      <w:pPr>
        <w:spacing w:before="0" w:after="0" w:line="600" w:lineRule="exact"/>
        <w:ind w:firstLine="640"/>
        <w:jc w:val="both"/>
      </w:pPr>
      <w:r>
        <w:rPr>
          <w:rFonts w:ascii="Times New Roman" w:hAnsi="Times New Roman" w:eastAsia="仿宋_GB2312"/>
          <w:b w:val="0"/>
          <w:sz w:val="32"/>
        </w:rPr>
        <w:t>本项目要求现场常驻3名研发工程师，但须通过AI编码辅助工具实现人效倍增，达成相当于6人规模的开发产出。开发合作方可根据实际情况在甲方现场之外配置远程支持人员，但现场人员须覆盖关键岗位。以下为人员配置建议（开发合作方可自主决策，但须保障交付目标达成）：</w:t>
      </w:r>
    </w:p>
    <w:p w14:paraId="0C7F95C4">
      <w:pPr>
        <w:spacing w:before="0" w:after="0" w:line="600" w:lineRule="exact"/>
      </w:pPr>
    </w:p>
    <w:tbl>
      <w:tblPr>
        <w:tblStyle w:val="35"/>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60" w:type="dxa"/>
          <w:left w:w="60" w:type="dxa"/>
          <w:bottom w:w="60" w:type="dxa"/>
          <w:right w:w="60" w:type="dxa"/>
        </w:tblCellMar>
      </w:tblPr>
      <w:tblGrid>
        <w:gridCol w:w="1626"/>
        <w:gridCol w:w="1274"/>
        <w:gridCol w:w="1563"/>
        <w:gridCol w:w="3837"/>
      </w:tblGrid>
      <w:tr w14:paraId="408E4556">
        <w:trPr>
          <w:jc w:val="center"/>
        </w:trPr>
        <w:tc>
          <w:tcPr>
            <w:tcW w:w="1701" w:type="dxa"/>
            <w:shd w:val="clear" w:color="auto" w:fill="D9E2F3"/>
          </w:tcPr>
          <w:p w14:paraId="681E8C73">
            <w:pPr>
              <w:spacing w:before="0" w:after="0" w:line="600" w:lineRule="exact"/>
              <w:jc w:val="center"/>
            </w:pPr>
            <w:r>
              <w:rPr>
                <w:rFonts w:ascii="黑体" w:hAnsi="黑体" w:eastAsia="黑体"/>
                <w:b/>
                <w:sz w:val="32"/>
              </w:rPr>
              <w:t>角色</w:t>
            </w:r>
          </w:p>
        </w:tc>
        <w:tc>
          <w:tcPr>
            <w:tcW w:w="1417" w:type="dxa"/>
            <w:shd w:val="clear" w:color="auto" w:fill="D9E2F3"/>
          </w:tcPr>
          <w:p w14:paraId="130C11CB">
            <w:pPr>
              <w:spacing w:before="0" w:after="0" w:line="600" w:lineRule="exact"/>
              <w:jc w:val="center"/>
            </w:pPr>
            <w:r>
              <w:rPr>
                <w:rFonts w:ascii="黑体" w:hAnsi="黑体" w:eastAsia="黑体"/>
                <w:b/>
                <w:sz w:val="32"/>
              </w:rPr>
              <w:t>现场配置</w:t>
            </w:r>
          </w:p>
        </w:tc>
        <w:tc>
          <w:tcPr>
            <w:tcW w:w="1701" w:type="dxa"/>
            <w:shd w:val="clear" w:color="auto" w:fill="D9E2F3"/>
          </w:tcPr>
          <w:p w14:paraId="58DB7729">
            <w:pPr>
              <w:spacing w:before="0" w:after="0" w:line="600" w:lineRule="exact"/>
              <w:jc w:val="center"/>
            </w:pPr>
            <w:r>
              <w:rPr>
                <w:rFonts w:ascii="黑体" w:hAnsi="黑体" w:eastAsia="黑体"/>
                <w:b/>
                <w:sz w:val="32"/>
              </w:rPr>
              <w:t>推荐总规模</w:t>
            </w:r>
          </w:p>
        </w:tc>
        <w:tc>
          <w:tcPr>
            <w:tcW w:w="4252" w:type="dxa"/>
            <w:shd w:val="clear" w:color="auto" w:fill="D9E2F3"/>
          </w:tcPr>
          <w:p w14:paraId="6226F0B1">
            <w:pPr>
              <w:spacing w:before="0" w:after="0" w:line="600" w:lineRule="exact"/>
              <w:jc w:val="center"/>
            </w:pPr>
            <w:r>
              <w:rPr>
                <w:rFonts w:ascii="黑体" w:hAnsi="黑体" w:eastAsia="黑体"/>
                <w:b/>
                <w:sz w:val="32"/>
              </w:rPr>
              <w:t>备注</w:t>
            </w:r>
          </w:p>
        </w:tc>
      </w:tr>
      <w:tr w14:paraId="3D57D8B7">
        <w:trPr>
          <w:jc w:val="center"/>
        </w:trPr>
        <w:tc>
          <w:tcPr>
            <w:tcW w:w="1701" w:type="dxa"/>
            <w:vAlign w:val="center"/>
          </w:tcPr>
          <w:p w14:paraId="64812166">
            <w:pPr>
              <w:spacing w:before="0" w:after="0" w:line="600" w:lineRule="exact"/>
              <w:jc w:val="left"/>
            </w:pPr>
            <w:r>
              <w:rPr>
                <w:rFonts w:ascii="Times New Roman" w:hAnsi="Times New Roman" w:eastAsia="仿宋_GB2312"/>
                <w:sz w:val="32"/>
              </w:rPr>
              <w:t>Android开发工程师</w:t>
            </w:r>
          </w:p>
        </w:tc>
        <w:tc>
          <w:tcPr>
            <w:tcW w:w="1417" w:type="dxa"/>
            <w:vAlign w:val="center"/>
          </w:tcPr>
          <w:p w14:paraId="7D388397">
            <w:pPr>
              <w:spacing w:before="0" w:after="0" w:line="600" w:lineRule="exact"/>
              <w:jc w:val="left"/>
            </w:pPr>
            <w:r>
              <w:rPr>
                <w:rFonts w:ascii="Times New Roman" w:hAnsi="Times New Roman" w:eastAsia="仿宋_GB2312"/>
                <w:sz w:val="32"/>
              </w:rPr>
              <w:t>至少2人</w:t>
            </w:r>
          </w:p>
        </w:tc>
        <w:tc>
          <w:tcPr>
            <w:tcW w:w="1701" w:type="dxa"/>
            <w:vAlign w:val="center"/>
          </w:tcPr>
          <w:p w14:paraId="045808BF">
            <w:pPr>
              <w:spacing w:before="0" w:after="0" w:line="600" w:lineRule="exact"/>
              <w:jc w:val="left"/>
            </w:pPr>
            <w:r>
              <w:rPr>
                <w:rFonts w:ascii="Times New Roman" w:hAnsi="Times New Roman" w:eastAsia="仿宋_GB2312"/>
                <w:sz w:val="32"/>
              </w:rPr>
              <w:t>2-3人（含远程）</w:t>
            </w:r>
          </w:p>
        </w:tc>
        <w:tc>
          <w:tcPr>
            <w:tcW w:w="4252" w:type="dxa"/>
            <w:vAlign w:val="center"/>
          </w:tcPr>
          <w:p w14:paraId="0212509A">
            <w:pPr>
              <w:spacing w:before="0" w:after="0" w:line="600" w:lineRule="exact"/>
              <w:jc w:val="left"/>
            </w:pPr>
            <w:r>
              <w:rPr>
                <w:rFonts w:ascii="Times New Roman" w:hAnsi="Times New Roman" w:eastAsia="仿宋_GB2312"/>
                <w:sz w:val="32"/>
              </w:rPr>
              <w:t>现场须至少2人覆盖基础架构开发、业务功能开发、旧仓维护与渠道接入等方向。要求具备面向接口编程、模块化架构、低版本Android开发经验，且熟练掌握AI编码辅助工具。</w:t>
            </w:r>
          </w:p>
        </w:tc>
      </w:tr>
      <w:tr w14:paraId="4FBED957">
        <w:trPr>
          <w:jc w:val="center"/>
        </w:trPr>
        <w:tc>
          <w:tcPr>
            <w:tcW w:w="1701" w:type="dxa"/>
            <w:vAlign w:val="center"/>
          </w:tcPr>
          <w:p w14:paraId="0AE82876">
            <w:pPr>
              <w:spacing w:before="0" w:after="0" w:line="600" w:lineRule="exact"/>
              <w:jc w:val="left"/>
            </w:pPr>
            <w:r>
              <w:rPr>
                <w:rFonts w:ascii="Times New Roman" w:hAnsi="Times New Roman" w:eastAsia="仿宋_GB2312"/>
                <w:sz w:val="32"/>
              </w:rPr>
              <w:t>EPG前端开发工程师</w:t>
            </w:r>
          </w:p>
        </w:tc>
        <w:tc>
          <w:tcPr>
            <w:tcW w:w="1417" w:type="dxa"/>
            <w:vAlign w:val="center"/>
          </w:tcPr>
          <w:p w14:paraId="47E255E4">
            <w:pPr>
              <w:spacing w:before="0" w:after="0" w:line="600" w:lineRule="exact"/>
              <w:jc w:val="left"/>
            </w:pPr>
            <w:r>
              <w:rPr>
                <w:rFonts w:ascii="Times New Roman" w:hAnsi="Times New Roman" w:eastAsia="仿宋_GB2312"/>
                <w:sz w:val="32"/>
              </w:rPr>
              <w:t>至少1人</w:t>
            </w:r>
          </w:p>
        </w:tc>
        <w:tc>
          <w:tcPr>
            <w:tcW w:w="1701" w:type="dxa"/>
            <w:vAlign w:val="center"/>
          </w:tcPr>
          <w:p w14:paraId="7DF2F802">
            <w:pPr>
              <w:spacing w:before="0" w:after="0" w:line="600" w:lineRule="exact"/>
              <w:jc w:val="left"/>
            </w:pPr>
            <w:r>
              <w:rPr>
                <w:rFonts w:ascii="Times New Roman" w:hAnsi="Times New Roman" w:eastAsia="仿宋_GB2312"/>
                <w:sz w:val="32"/>
              </w:rPr>
              <w:t>1-2人（含远程）</w:t>
            </w:r>
          </w:p>
        </w:tc>
        <w:tc>
          <w:tcPr>
            <w:tcW w:w="4252" w:type="dxa"/>
            <w:vAlign w:val="center"/>
          </w:tcPr>
          <w:p w14:paraId="75C8A151">
            <w:pPr>
              <w:spacing w:before="0" w:after="0" w:line="600" w:lineRule="exact"/>
              <w:jc w:val="left"/>
            </w:pPr>
            <w:r>
              <w:rPr>
                <w:rFonts w:ascii="Times New Roman" w:hAnsi="Times New Roman" w:eastAsia="仿宋_GB2312"/>
                <w:sz w:val="32"/>
              </w:rPr>
              <w:t>聚焦于Vue2渠道验收、性能优化开发及后续迁移，同时应对不同版本WebView兼容性。建议通过AI辅助工具提升前端开发效率。</w:t>
            </w:r>
          </w:p>
        </w:tc>
      </w:tr>
      <w:tr w14:paraId="1F606964">
        <w:trPr>
          <w:jc w:val="center"/>
        </w:trPr>
        <w:tc>
          <w:tcPr>
            <w:tcW w:w="1701" w:type="dxa"/>
            <w:vAlign w:val="center"/>
          </w:tcPr>
          <w:p w14:paraId="61C7AAFF">
            <w:pPr>
              <w:spacing w:before="0" w:after="0" w:line="600" w:lineRule="exact"/>
              <w:jc w:val="left"/>
            </w:pPr>
            <w:r>
              <w:rPr>
                <w:rFonts w:ascii="Times New Roman" w:hAnsi="Times New Roman" w:eastAsia="仿宋_GB2312"/>
                <w:sz w:val="32"/>
              </w:rPr>
              <w:t>团队总人数建议</w:t>
            </w:r>
          </w:p>
        </w:tc>
        <w:tc>
          <w:tcPr>
            <w:tcW w:w="1417" w:type="dxa"/>
            <w:vAlign w:val="center"/>
          </w:tcPr>
          <w:p w14:paraId="5EEAD039">
            <w:pPr>
              <w:spacing w:before="0" w:after="0" w:line="600" w:lineRule="exact"/>
              <w:jc w:val="left"/>
            </w:pPr>
            <w:r>
              <w:rPr>
                <w:rFonts w:ascii="Times New Roman" w:hAnsi="Times New Roman" w:eastAsia="仿宋_GB2312"/>
                <w:sz w:val="32"/>
              </w:rPr>
              <w:t>至少3人</w:t>
            </w:r>
          </w:p>
        </w:tc>
        <w:tc>
          <w:tcPr>
            <w:tcW w:w="1701" w:type="dxa"/>
            <w:vAlign w:val="center"/>
          </w:tcPr>
          <w:p w14:paraId="6B9F5935">
            <w:pPr>
              <w:spacing w:before="0" w:after="0" w:line="600" w:lineRule="exact"/>
              <w:jc w:val="left"/>
            </w:pPr>
            <w:r>
              <w:rPr>
                <w:rFonts w:ascii="Times New Roman" w:hAnsi="Times New Roman" w:eastAsia="仿宋_GB2312"/>
                <w:sz w:val="32"/>
              </w:rPr>
              <w:t>3-6人</w:t>
            </w:r>
          </w:p>
        </w:tc>
        <w:tc>
          <w:tcPr>
            <w:tcW w:w="4252" w:type="dxa"/>
            <w:vAlign w:val="center"/>
          </w:tcPr>
          <w:p w14:paraId="70611EF3">
            <w:pPr>
              <w:spacing w:before="0" w:after="0" w:line="600" w:lineRule="exact"/>
              <w:jc w:val="left"/>
            </w:pPr>
            <w:r>
              <w:rPr>
                <w:rFonts w:ascii="Times New Roman" w:hAnsi="Times New Roman" w:eastAsia="仿宋_GB2312"/>
                <w:sz w:val="32"/>
              </w:rPr>
              <w:t>本项目要求以3人现场常驻为基础，通过AI编码辅助工具系统性提升开发效率，达成相当于6人规模的开发产出目标。开发合作方应就此在技术方案中做出明确响应，说明AI赋能的具体措施与人效保障方案。若AI辅助未能达成上述人效目标，须无条件增派现场人员至6人。</w:t>
            </w:r>
          </w:p>
        </w:tc>
      </w:tr>
    </w:tbl>
    <w:p w14:paraId="6C2B0F68">
      <w:pPr>
        <w:spacing w:before="0" w:after="0" w:line="600" w:lineRule="exact"/>
        <w:ind w:firstLine="640"/>
        <w:jc w:val="left"/>
        <w:outlineLvl w:val="1"/>
      </w:pPr>
      <w:bookmarkStart w:id="39" w:name="_Toc771160982"/>
      <w:r>
        <w:rPr>
          <w:rFonts w:ascii="Times New Roman" w:hAnsi="Times New Roman" w:eastAsia="楷体_GB2312"/>
          <w:b/>
          <w:sz w:val="32"/>
        </w:rPr>
        <w:t>5.4 项目管理要求</w:t>
      </w:r>
      <w:bookmarkEnd w:id="39"/>
    </w:p>
    <w:p w14:paraId="78399F3F">
      <w:pPr>
        <w:spacing w:before="0" w:after="0" w:line="600" w:lineRule="exact"/>
        <w:ind w:firstLine="640"/>
        <w:jc w:val="both"/>
      </w:pPr>
      <w:r>
        <w:rPr>
          <w:rFonts w:ascii="Times New Roman" w:hAnsi="Times New Roman" w:eastAsia="仿宋_GB2312"/>
          <w:b w:val="0"/>
          <w:sz w:val="32"/>
        </w:rPr>
        <w:t>开发合作方须指定一名具有至少5年软件开发项目管理经验的项目经理，负责项目整体管理、进度把控和甲方沟通协调。</w:t>
      </w:r>
    </w:p>
    <w:p w14:paraId="7520A76B">
      <w:pPr>
        <w:spacing w:before="0" w:after="0" w:line="600" w:lineRule="exact"/>
        <w:ind w:firstLine="640"/>
        <w:jc w:val="both"/>
      </w:pPr>
      <w:r>
        <w:rPr>
          <w:rFonts w:ascii="Times New Roman" w:hAnsi="Times New Roman" w:eastAsia="仿宋_GB2312"/>
          <w:b w:val="0"/>
          <w:sz w:val="32"/>
        </w:rPr>
        <w:t>项目经理须熟悉IPTV行业或移动互联网产品开发流程，具备跨团队协调能力和风险管控能力。</w:t>
      </w:r>
    </w:p>
    <w:p w14:paraId="085D1D9C">
      <w:pPr>
        <w:spacing w:before="0" w:after="0" w:line="600" w:lineRule="exact"/>
        <w:ind w:firstLine="640"/>
        <w:jc w:val="both"/>
      </w:pPr>
      <w:r>
        <w:rPr>
          <w:rFonts w:ascii="Times New Roman" w:hAnsi="Times New Roman" w:eastAsia="仿宋_GB2312"/>
          <w:b w:val="0"/>
          <w:sz w:val="32"/>
        </w:rPr>
        <w:t>项目经理须定期（至少每周一次）向甲方提交项目进展报告，及时汇报项目状态、风险事项和资源需求。</w:t>
      </w:r>
    </w:p>
    <w:p w14:paraId="2307AE94">
      <w:pPr>
        <w:spacing w:before="0" w:after="0" w:line="600" w:lineRule="exact"/>
        <w:ind w:firstLine="640"/>
        <w:jc w:val="both"/>
      </w:pPr>
      <w:r>
        <w:rPr>
          <w:rFonts w:ascii="Times New Roman" w:hAnsi="Times New Roman" w:eastAsia="仿宋_GB2312"/>
          <w:b w:val="0"/>
          <w:sz w:val="32"/>
        </w:rPr>
        <w:t>开发合作方须建立完善的项目管理制度，包括需求管理、任务分配、代码评审、测试验收等流程规范。</w:t>
      </w:r>
    </w:p>
    <w:p w14:paraId="2B8C8CF7">
      <w:pPr>
        <w:spacing w:before="0" w:after="0" w:line="600" w:lineRule="exact"/>
        <w:ind w:firstLine="640"/>
        <w:jc w:val="both"/>
      </w:pPr>
      <w:r>
        <w:rPr>
          <w:rFonts w:ascii="Times New Roman" w:hAnsi="Times New Roman" w:eastAsia="仿宋_GB2312"/>
          <w:b w:val="0"/>
          <w:sz w:val="32"/>
        </w:rPr>
        <w:t>开发合作方须使用版本管理工具（如Git）进行代码管理，确保代码可追溯性和安全性。</w:t>
      </w:r>
    </w:p>
    <w:p w14:paraId="1515088D">
      <w:pPr>
        <w:spacing w:before="0" w:after="0" w:line="600" w:lineRule="exact"/>
        <w:ind w:firstLine="640"/>
        <w:jc w:val="both"/>
      </w:pPr>
      <w:r>
        <w:rPr>
          <w:rFonts w:ascii="Times New Roman" w:hAnsi="Times New Roman" w:eastAsia="仿宋_GB2312"/>
          <w:b w:val="0"/>
          <w:sz w:val="32"/>
        </w:rPr>
        <w:t>研发团队在服务期间可能涉及外省出差（如合作省份现场对接、技术联调、上线保障等），开发合作方应提供相应的出差服务保障，包括但不限于人员差旅安排、现场技术支持及出差异地办公期间的工作衔接，确保出差期间项目开发工作的连续性和响应的及时性。出差频次及具体安排由甲方根据项目实际需要提前通知。</w:t>
      </w:r>
    </w:p>
    <w:p w14:paraId="7366C241">
      <w:pPr>
        <w:spacing w:before="0" w:after="0" w:line="600" w:lineRule="exact"/>
        <w:ind w:firstLine="640"/>
        <w:jc w:val="left"/>
        <w:outlineLvl w:val="0"/>
      </w:pPr>
      <w:bookmarkStart w:id="40" w:name="_Toc838814829"/>
      <w:r>
        <w:rPr>
          <w:rFonts w:ascii="黑体" w:hAnsi="黑体" w:eastAsia="黑体"/>
          <w:b w:val="0"/>
          <w:sz w:val="32"/>
        </w:rPr>
        <w:t>六、里程碑计划（12个月）</w:t>
      </w:r>
      <w:bookmarkEnd w:id="40"/>
    </w:p>
    <w:p w14:paraId="3E2AE51C">
      <w:pPr>
        <w:spacing w:before="0" w:after="0" w:line="600" w:lineRule="exact"/>
      </w:pPr>
    </w:p>
    <w:tbl>
      <w:tblPr>
        <w:tblStyle w:val="35"/>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60" w:type="dxa"/>
          <w:left w:w="60" w:type="dxa"/>
          <w:bottom w:w="60" w:type="dxa"/>
          <w:right w:w="60" w:type="dxa"/>
        </w:tblCellMar>
      </w:tblPr>
      <w:tblGrid>
        <w:gridCol w:w="1336"/>
        <w:gridCol w:w="1851"/>
        <w:gridCol w:w="1739"/>
        <w:gridCol w:w="1739"/>
        <w:gridCol w:w="1635"/>
      </w:tblGrid>
      <w:tr w14:paraId="64D20E12">
        <w:trPr>
          <w:jc w:val="center"/>
        </w:trPr>
        <w:tc>
          <w:tcPr>
            <w:tcW w:w="1417" w:type="dxa"/>
            <w:shd w:val="clear" w:color="auto" w:fill="D9E2F3"/>
          </w:tcPr>
          <w:p w14:paraId="36F8078C">
            <w:pPr>
              <w:spacing w:before="0" w:after="0" w:line="600" w:lineRule="exact"/>
              <w:jc w:val="center"/>
            </w:pPr>
            <w:r>
              <w:rPr>
                <w:rFonts w:ascii="黑体" w:hAnsi="黑体" w:eastAsia="黑体"/>
                <w:b/>
                <w:sz w:val="32"/>
              </w:rPr>
              <w:t>工作方向</w:t>
            </w:r>
          </w:p>
        </w:tc>
        <w:tc>
          <w:tcPr>
            <w:tcW w:w="2268" w:type="dxa"/>
            <w:shd w:val="clear" w:color="auto" w:fill="D9E2F3"/>
          </w:tcPr>
          <w:p w14:paraId="074983A8">
            <w:pPr>
              <w:spacing w:before="0" w:after="0" w:line="600" w:lineRule="exact"/>
              <w:jc w:val="center"/>
            </w:pPr>
            <w:r>
              <w:rPr>
                <w:rFonts w:ascii="黑体" w:hAnsi="黑体" w:eastAsia="黑体"/>
                <w:b/>
                <w:sz w:val="32"/>
              </w:rPr>
              <w:t>第1-2月（启动期）</w:t>
            </w:r>
          </w:p>
        </w:tc>
        <w:tc>
          <w:tcPr>
            <w:tcW w:w="2268" w:type="dxa"/>
            <w:shd w:val="clear" w:color="auto" w:fill="D9E2F3"/>
          </w:tcPr>
          <w:p w14:paraId="0904C5D1">
            <w:pPr>
              <w:spacing w:before="0" w:after="0" w:line="600" w:lineRule="exact"/>
              <w:jc w:val="center"/>
            </w:pPr>
            <w:r>
              <w:rPr>
                <w:rFonts w:ascii="黑体" w:hAnsi="黑体" w:eastAsia="黑体"/>
                <w:b/>
                <w:sz w:val="32"/>
              </w:rPr>
              <w:t>第3-5月（建设期）</w:t>
            </w:r>
          </w:p>
        </w:tc>
        <w:tc>
          <w:tcPr>
            <w:tcW w:w="2268" w:type="dxa"/>
            <w:shd w:val="clear" w:color="auto" w:fill="D9E2F3"/>
          </w:tcPr>
          <w:p w14:paraId="27A72022">
            <w:pPr>
              <w:spacing w:before="0" w:after="0" w:line="600" w:lineRule="exact"/>
              <w:jc w:val="center"/>
            </w:pPr>
            <w:r>
              <w:rPr>
                <w:rFonts w:ascii="黑体" w:hAnsi="黑体" w:eastAsia="黑体"/>
                <w:b/>
                <w:sz w:val="32"/>
              </w:rPr>
              <w:t>第6-9月（推进期）</w:t>
            </w:r>
          </w:p>
        </w:tc>
        <w:tc>
          <w:tcPr>
            <w:tcW w:w="1984" w:type="dxa"/>
            <w:shd w:val="clear" w:color="auto" w:fill="D9E2F3"/>
          </w:tcPr>
          <w:p w14:paraId="4A629AC2">
            <w:pPr>
              <w:spacing w:before="0" w:after="0" w:line="600" w:lineRule="exact"/>
              <w:jc w:val="center"/>
            </w:pPr>
            <w:r>
              <w:rPr>
                <w:rFonts w:ascii="黑体" w:hAnsi="黑体" w:eastAsia="黑体"/>
                <w:b/>
                <w:sz w:val="32"/>
              </w:rPr>
              <w:t>第10-12月（收尾期）</w:t>
            </w:r>
          </w:p>
        </w:tc>
      </w:tr>
      <w:tr w14:paraId="6F19598A">
        <w:trPr>
          <w:jc w:val="center"/>
        </w:trPr>
        <w:tc>
          <w:tcPr>
            <w:tcW w:w="1417" w:type="dxa"/>
            <w:vAlign w:val="center"/>
          </w:tcPr>
          <w:p w14:paraId="3A40989D">
            <w:pPr>
              <w:spacing w:before="0" w:after="0" w:line="600" w:lineRule="exact"/>
              <w:jc w:val="left"/>
            </w:pPr>
            <w:r>
              <w:rPr>
                <w:rFonts w:ascii="Times New Roman" w:hAnsi="Times New Roman" w:eastAsia="仿宋_GB2312"/>
                <w:sz w:val="32"/>
              </w:rPr>
              <w:t>Android终端架构升级与归并</w:t>
            </w:r>
          </w:p>
        </w:tc>
        <w:tc>
          <w:tcPr>
            <w:tcW w:w="2268" w:type="dxa"/>
            <w:vAlign w:val="center"/>
          </w:tcPr>
          <w:p w14:paraId="6DFEB333">
            <w:pPr>
              <w:spacing w:before="0" w:after="0" w:line="600" w:lineRule="exact"/>
              <w:jc w:val="left"/>
            </w:pPr>
            <w:r>
              <w:rPr>
                <w:rFonts w:ascii="Times New Roman" w:hAnsi="Times New Roman" w:eastAsia="仿宋_GB2312"/>
                <w:sz w:val="32"/>
              </w:rPr>
              <w:t>性能基线测量、架构设计（领域建模、接口定义、模块分层、多版本兼容评估、单例治理方案）、CI/CD接入、编码规范确立</w:t>
            </w:r>
          </w:p>
        </w:tc>
        <w:tc>
          <w:tcPr>
            <w:tcW w:w="2268" w:type="dxa"/>
            <w:vAlign w:val="center"/>
          </w:tcPr>
          <w:p w14:paraId="7E8EAFA1">
            <w:pPr>
              <w:spacing w:before="0" w:after="0" w:line="600" w:lineRule="exact"/>
              <w:jc w:val="left"/>
            </w:pPr>
            <w:r>
              <w:rPr>
                <w:rFonts w:ascii="Times New Roman" w:hAnsi="Times New Roman" w:eastAsia="仿宋_GB2312"/>
                <w:sz w:val="32"/>
              </w:rPr>
              <w:t>基础组件接口定义与开发实现、壳工程搭建、首个渠道在API 19及高版本设备上验证通过并过架构审查</w:t>
            </w:r>
          </w:p>
        </w:tc>
        <w:tc>
          <w:tcPr>
            <w:tcW w:w="2268" w:type="dxa"/>
            <w:vAlign w:val="center"/>
          </w:tcPr>
          <w:p w14:paraId="3FA72CF3">
            <w:pPr>
              <w:spacing w:before="0" w:after="0" w:line="600" w:lineRule="exact"/>
              <w:jc w:val="left"/>
            </w:pPr>
            <w:r>
              <w:rPr>
                <w:rFonts w:ascii="Times New Roman" w:hAnsi="Times New Roman" w:eastAsia="仿宋_GB2312"/>
                <w:sz w:val="32"/>
              </w:rPr>
              <w:t>业务组件批量迁移开发、多渠道接入、仓库数开始收敛，迁移渠道多级版本回归测试</w:t>
            </w:r>
          </w:p>
        </w:tc>
        <w:tc>
          <w:tcPr>
            <w:tcW w:w="1984" w:type="dxa"/>
            <w:vAlign w:val="center"/>
          </w:tcPr>
          <w:p w14:paraId="1EE0101E">
            <w:pPr>
              <w:spacing w:before="0" w:after="0" w:line="600" w:lineRule="exact"/>
              <w:jc w:val="left"/>
            </w:pPr>
            <w:r>
              <w:rPr>
                <w:rFonts w:ascii="Times New Roman" w:hAnsi="Times New Roman" w:eastAsia="仿宋_GB2312"/>
                <w:sz w:val="32"/>
              </w:rPr>
              <w:t>达成仓库归并目标(≤5)、旧仓批量下线，输出架构维护手册及接口文档，提交性能提升对比报告</w:t>
            </w:r>
          </w:p>
        </w:tc>
      </w:tr>
      <w:tr w14:paraId="63CD1AC5">
        <w:trPr>
          <w:jc w:val="center"/>
        </w:trPr>
        <w:tc>
          <w:tcPr>
            <w:tcW w:w="1417" w:type="dxa"/>
            <w:vAlign w:val="center"/>
          </w:tcPr>
          <w:p w14:paraId="3F5EAB95">
            <w:pPr>
              <w:spacing w:before="0" w:after="0" w:line="600" w:lineRule="exact"/>
              <w:jc w:val="left"/>
            </w:pPr>
            <w:r>
              <w:rPr>
                <w:rFonts w:ascii="Times New Roman" w:hAnsi="Times New Roman" w:eastAsia="仿宋_GB2312"/>
                <w:sz w:val="32"/>
              </w:rPr>
              <w:t>核心省份终端产品功能开发</w:t>
            </w:r>
          </w:p>
        </w:tc>
        <w:tc>
          <w:tcPr>
            <w:tcW w:w="2268" w:type="dxa"/>
            <w:vAlign w:val="center"/>
          </w:tcPr>
          <w:p w14:paraId="296A7C31">
            <w:pPr>
              <w:spacing w:before="0" w:after="0" w:line="600" w:lineRule="exact"/>
              <w:jc w:val="left"/>
            </w:pPr>
            <w:r>
              <w:rPr>
                <w:rFonts w:ascii="Times New Roman" w:hAnsi="Times New Roman" w:eastAsia="仿宋_GB2312"/>
                <w:sz w:val="32"/>
              </w:rPr>
              <w:t>首批功能需求确定与基线冻结，基于新架构的技术方案定稿，接口契约先行评审，确定渐进式上线批次划分</w:t>
            </w:r>
          </w:p>
        </w:tc>
        <w:tc>
          <w:tcPr>
            <w:tcW w:w="2268" w:type="dxa"/>
            <w:vAlign w:val="center"/>
          </w:tcPr>
          <w:p w14:paraId="114C349F">
            <w:pPr>
              <w:spacing w:before="0" w:after="0" w:line="600" w:lineRule="exact"/>
              <w:jc w:val="left"/>
            </w:pPr>
            <w:r>
              <w:rPr>
                <w:rFonts w:ascii="Times New Roman" w:hAnsi="Times New Roman" w:eastAsia="仿宋_GB2312"/>
                <w:sz w:val="32"/>
              </w:rPr>
              <w:t>依托新架构和既定接口启动首批功能模块开发并完成首个模块上线；同步启动新增需求的评估与排期</w:t>
            </w:r>
          </w:p>
        </w:tc>
        <w:tc>
          <w:tcPr>
            <w:tcW w:w="2268" w:type="dxa"/>
            <w:vAlign w:val="center"/>
          </w:tcPr>
          <w:p w14:paraId="0C5CE43D">
            <w:pPr>
              <w:spacing w:before="0" w:after="0" w:line="600" w:lineRule="exact"/>
              <w:jc w:val="left"/>
            </w:pPr>
            <w:r>
              <w:rPr>
                <w:rFonts w:ascii="Times New Roman" w:hAnsi="Times New Roman" w:eastAsia="仿宋_GB2312"/>
                <w:sz w:val="32"/>
              </w:rPr>
              <w:t>后续模块及新增需求按批次持续开发与上线，联调集成、多版本性能优化，新老功能并行过渡</w:t>
            </w:r>
          </w:p>
        </w:tc>
        <w:tc>
          <w:tcPr>
            <w:tcW w:w="1984" w:type="dxa"/>
            <w:vAlign w:val="center"/>
          </w:tcPr>
          <w:p w14:paraId="689E11FC">
            <w:pPr>
              <w:spacing w:before="0" w:after="0" w:line="600" w:lineRule="exact"/>
              <w:jc w:val="left"/>
            </w:pPr>
            <w:r>
              <w:rPr>
                <w:rFonts w:ascii="Times New Roman" w:hAnsi="Times New Roman" w:eastAsia="仿宋_GB2312"/>
                <w:sz w:val="32"/>
              </w:rPr>
              <w:t>持续响应新增功能需求，保障全年功能迭代交付与线上稳定运行</w:t>
            </w:r>
          </w:p>
        </w:tc>
      </w:tr>
      <w:tr w14:paraId="59469B83">
        <w:trPr>
          <w:jc w:val="center"/>
        </w:trPr>
        <w:tc>
          <w:tcPr>
            <w:tcW w:w="1417" w:type="dxa"/>
            <w:vAlign w:val="center"/>
          </w:tcPr>
          <w:p w14:paraId="0D58F9AE">
            <w:pPr>
              <w:spacing w:before="0" w:after="0" w:line="600" w:lineRule="exact"/>
              <w:jc w:val="left"/>
            </w:pPr>
            <w:r>
              <w:rPr>
                <w:rFonts w:ascii="Times New Roman" w:hAnsi="Times New Roman" w:eastAsia="仿宋_GB2312"/>
                <w:sz w:val="32"/>
              </w:rPr>
              <w:t>EPG前端平台</w:t>
            </w:r>
          </w:p>
        </w:tc>
        <w:tc>
          <w:tcPr>
            <w:tcW w:w="2268" w:type="dxa"/>
            <w:vAlign w:val="center"/>
          </w:tcPr>
          <w:p w14:paraId="1ACEB620">
            <w:pPr>
              <w:spacing w:before="0" w:after="0" w:line="600" w:lineRule="exact"/>
              <w:jc w:val="left"/>
            </w:pPr>
            <w:r>
              <w:rPr>
                <w:rFonts w:ascii="Times New Roman" w:hAnsi="Times New Roman" w:eastAsia="仿宋_GB2312"/>
                <w:sz w:val="32"/>
              </w:rPr>
              <w:t>完成已迁移渠道的Vue2验收，开展性能分析定位瓶颈，输出优化方案</w:t>
            </w:r>
          </w:p>
        </w:tc>
        <w:tc>
          <w:tcPr>
            <w:tcW w:w="2268" w:type="dxa"/>
            <w:vAlign w:val="center"/>
          </w:tcPr>
          <w:p w14:paraId="05357752">
            <w:pPr>
              <w:spacing w:before="0" w:after="0" w:line="600" w:lineRule="exact"/>
              <w:jc w:val="left"/>
            </w:pPr>
            <w:r>
              <w:rPr>
                <w:rFonts w:ascii="Times New Roman" w:hAnsi="Times New Roman" w:eastAsia="仿宋_GB2312"/>
                <w:sz w:val="32"/>
              </w:rPr>
              <w:t>渠道性能优化开发落地；启动剩余旧渠道迁移规划及技术选型确认</w:t>
            </w:r>
          </w:p>
        </w:tc>
        <w:tc>
          <w:tcPr>
            <w:tcW w:w="2268" w:type="dxa"/>
            <w:vAlign w:val="center"/>
          </w:tcPr>
          <w:p w14:paraId="5E8956E0">
            <w:pPr>
              <w:spacing w:before="0" w:after="0" w:line="600" w:lineRule="exact"/>
              <w:jc w:val="left"/>
            </w:pPr>
            <w:r>
              <w:rPr>
                <w:rFonts w:ascii="Times New Roman" w:hAnsi="Times New Roman" w:eastAsia="仿宋_GB2312"/>
                <w:sz w:val="32"/>
              </w:rPr>
              <w:t>其他渠道迁移开发实施、性能优化同步落地及前端仓库合并</w:t>
            </w:r>
          </w:p>
        </w:tc>
        <w:tc>
          <w:tcPr>
            <w:tcW w:w="1984" w:type="dxa"/>
            <w:vAlign w:val="center"/>
          </w:tcPr>
          <w:p w14:paraId="7C93EAAE">
            <w:pPr>
              <w:spacing w:before="0" w:after="0" w:line="600" w:lineRule="exact"/>
              <w:jc w:val="left"/>
            </w:pPr>
            <w:r>
              <w:rPr>
                <w:rFonts w:ascii="Times New Roman" w:hAnsi="Times New Roman" w:eastAsia="仿宋_GB2312"/>
                <w:sz w:val="32"/>
              </w:rPr>
              <w:t>前端平台治理收尾，仓库数量下降，性能指标达标确认</w:t>
            </w:r>
          </w:p>
        </w:tc>
      </w:tr>
    </w:tbl>
    <w:p w14:paraId="4AA1C821">
      <w:pPr>
        <w:spacing w:before="0" w:after="0" w:line="600" w:lineRule="exact"/>
        <w:ind w:firstLine="640"/>
        <w:jc w:val="left"/>
        <w:outlineLvl w:val="0"/>
      </w:pPr>
      <w:bookmarkStart w:id="41" w:name="_Toc1878172095"/>
      <w:r>
        <w:rPr>
          <w:rFonts w:ascii="黑体" w:hAnsi="黑体" w:eastAsia="黑体"/>
          <w:b w:val="0"/>
          <w:sz w:val="32"/>
        </w:rPr>
        <w:t>七、交付物与验收标准</w:t>
      </w:r>
      <w:bookmarkEnd w:id="41"/>
    </w:p>
    <w:p w14:paraId="09D04CC8">
      <w:pPr>
        <w:spacing w:before="0" w:after="0" w:line="600" w:lineRule="exact"/>
        <w:ind w:firstLine="640"/>
        <w:jc w:val="left"/>
        <w:outlineLvl w:val="1"/>
      </w:pPr>
      <w:bookmarkStart w:id="42" w:name="_Toc576273412"/>
      <w:r>
        <w:rPr>
          <w:rFonts w:ascii="Times New Roman" w:hAnsi="Times New Roman" w:eastAsia="楷体_GB2312"/>
          <w:b/>
          <w:sz w:val="32"/>
        </w:rPr>
        <w:t>7.1 交付物清单</w:t>
      </w:r>
      <w:bookmarkEnd w:id="42"/>
    </w:p>
    <w:p w14:paraId="300D324A">
      <w:pPr>
        <w:spacing w:before="0" w:after="0" w:line="600" w:lineRule="exact"/>
        <w:ind w:firstLine="640"/>
        <w:jc w:val="both"/>
      </w:pPr>
      <w:r>
        <w:rPr>
          <w:rFonts w:ascii="Times New Roman" w:hAnsi="Times New Roman" w:eastAsia="仿宋_GB2312"/>
          <w:b w:val="0"/>
          <w:sz w:val="32"/>
        </w:rPr>
        <w:t>开发合作方须在项目执行各阶段提交以下交付物：</w:t>
      </w:r>
    </w:p>
    <w:p w14:paraId="22291EF8">
      <w:pPr>
        <w:spacing w:before="0" w:after="0" w:line="600" w:lineRule="exact"/>
        <w:ind w:firstLine="640"/>
        <w:jc w:val="both"/>
      </w:pPr>
      <w:r>
        <w:rPr>
          <w:rFonts w:ascii="Times New Roman" w:hAnsi="Times New Roman" w:eastAsia="仿宋_GB2312"/>
          <w:b w:val="0"/>
          <w:sz w:val="32"/>
        </w:rPr>
        <w:t>架构设计文档（含领域模型、模块分层图、接口契约清单、单例治理方案、平台稳定性自动管理方案、多版本兼容性设计专章及性能优化策略说明）。</w:t>
      </w:r>
    </w:p>
    <w:p w14:paraId="035C4511">
      <w:pPr>
        <w:spacing w:before="0" w:after="0" w:line="600" w:lineRule="exact"/>
        <w:ind w:firstLine="640"/>
        <w:jc w:val="both"/>
      </w:pPr>
      <w:r>
        <w:rPr>
          <w:rFonts w:ascii="Times New Roman" w:hAnsi="Times New Roman" w:eastAsia="仿宋_GB2312"/>
          <w:b w:val="0"/>
          <w:sz w:val="32"/>
        </w:rPr>
        <w:t>模块接口手册（每个模块的公开接口、方法签名、契约说明，要求注释完整）。</w:t>
      </w:r>
    </w:p>
    <w:p w14:paraId="45052A67">
      <w:pPr>
        <w:spacing w:before="0" w:after="0" w:line="600" w:lineRule="exact"/>
        <w:ind w:firstLine="640"/>
        <w:jc w:val="both"/>
      </w:pPr>
      <w:r>
        <w:rPr>
          <w:rFonts w:ascii="Times New Roman" w:hAnsi="Times New Roman" w:eastAsia="仿宋_GB2312"/>
          <w:b w:val="0"/>
          <w:sz w:val="32"/>
        </w:rPr>
        <w:t>性能提升对比报告（新旧软件在启动速度、页面渲染、播放响应、内存占用等关键指标上的量化对比数据，EPG前端部分须单独列出首屏加载时间、页面切换流畅度等指标）。</w:t>
      </w:r>
    </w:p>
    <w:p w14:paraId="69A8670B">
      <w:pPr>
        <w:spacing w:before="0" w:after="0" w:line="600" w:lineRule="exact"/>
        <w:ind w:firstLine="640"/>
        <w:jc w:val="both"/>
      </w:pPr>
      <w:r>
        <w:rPr>
          <w:rFonts w:ascii="Times New Roman" w:hAnsi="Times New Roman" w:eastAsia="仿宋_GB2312"/>
          <w:b w:val="0"/>
          <w:sz w:val="32"/>
        </w:rPr>
        <w:t>CI/CD流水线就位及运行报告（须包含：语法及编译检查通过率、代码规范检查结果、文档/注释覆盖率、平台稳定性检查结果、多版本Lint矩阵检查结果、架构合规扫描结果、性能基线检查结果）。</w:t>
      </w:r>
    </w:p>
    <w:p w14:paraId="3651C98C">
      <w:pPr>
        <w:spacing w:before="0" w:after="0" w:line="600" w:lineRule="exact"/>
        <w:ind w:firstLine="640"/>
        <w:jc w:val="both"/>
      </w:pPr>
      <w:r>
        <w:rPr>
          <w:rFonts w:ascii="Times New Roman" w:hAnsi="Times New Roman" w:eastAsia="仿宋_GB2312"/>
          <w:b w:val="0"/>
          <w:sz w:val="32"/>
        </w:rPr>
        <w:t>最终代码仓库清单及旧仓下线归档文件。</w:t>
      </w:r>
    </w:p>
    <w:p w14:paraId="085D7041">
      <w:pPr>
        <w:spacing w:before="0" w:after="0" w:line="600" w:lineRule="exact"/>
        <w:ind w:firstLine="640"/>
        <w:jc w:val="both"/>
      </w:pPr>
      <w:r>
        <w:rPr>
          <w:rFonts w:ascii="Times New Roman" w:hAnsi="Times New Roman" w:eastAsia="仿宋_GB2312"/>
          <w:b w:val="0"/>
          <w:sz w:val="32"/>
        </w:rPr>
        <w:t>核心业务省份终端产品功能上线验收报告（含渐进式上线的各批次模块清单、多级版本设备上的性能与稳定性数据、内存泄漏检测结果）。</w:t>
      </w:r>
    </w:p>
    <w:p w14:paraId="753E7635">
      <w:pPr>
        <w:spacing w:before="0" w:after="0" w:line="600" w:lineRule="exact"/>
        <w:ind w:firstLine="640"/>
        <w:jc w:val="both"/>
      </w:pPr>
      <w:r>
        <w:rPr>
          <w:rFonts w:ascii="Times New Roman" w:hAnsi="Times New Roman" w:eastAsia="仿宋_GB2312"/>
          <w:b w:val="0"/>
          <w:sz w:val="32"/>
        </w:rPr>
        <w:t>架构合规审查报告（验证无跨模块实现类依赖、无未经允许的全局单例引用、无接口契约破坏、模块依赖方向正确）。</w:t>
      </w:r>
    </w:p>
    <w:p w14:paraId="5DD868B4">
      <w:pPr>
        <w:spacing w:before="0" w:after="0" w:line="600" w:lineRule="exact"/>
        <w:ind w:firstLine="640"/>
        <w:jc w:val="both"/>
      </w:pPr>
      <w:r>
        <w:rPr>
          <w:rFonts w:ascii="Times New Roman" w:hAnsi="Times New Roman" w:eastAsia="仿宋_GB2312"/>
          <w:b w:val="0"/>
          <w:sz w:val="32"/>
        </w:rPr>
        <w:t>多版本兼容性测试报告（至少覆盖API 19、API 23、API 28及当前主要指定版本）。</w:t>
      </w:r>
    </w:p>
    <w:p w14:paraId="670B042A">
      <w:pPr>
        <w:spacing w:before="0" w:after="0" w:line="600" w:lineRule="exact"/>
        <w:ind w:firstLine="640"/>
        <w:jc w:val="both"/>
      </w:pPr>
      <w:r>
        <w:rPr>
          <w:rFonts w:ascii="Times New Roman" w:hAnsi="Times New Roman" w:eastAsia="仿宋_GB2312"/>
          <w:b w:val="0"/>
          <w:sz w:val="32"/>
        </w:rPr>
        <w:t>已迁移EPG前端渠道的Vue2版本验收报告（含性能优化开发效果数据及多版本WebView兼容性测试结果），及剩余渠道治理进度说明。</w:t>
      </w:r>
    </w:p>
    <w:p w14:paraId="2A9DF993">
      <w:pPr>
        <w:spacing w:before="0" w:after="0" w:line="600" w:lineRule="exact"/>
        <w:ind w:firstLine="640"/>
        <w:jc w:val="both"/>
      </w:pPr>
      <w:r>
        <w:rPr>
          <w:rFonts w:ascii="Times New Roman" w:hAnsi="Times New Roman" w:eastAsia="仿宋_GB2312"/>
          <w:b w:val="0"/>
          <w:sz w:val="32"/>
        </w:rPr>
        <w:t>各迭代周期的代码质量扫描报告、单元测试覆盖率报告、编码规范遵循率、文档注释覆盖率及平台稳定性检测报告等。</w:t>
      </w:r>
    </w:p>
    <w:p w14:paraId="3719E0E4">
      <w:pPr>
        <w:spacing w:before="0" w:after="0" w:line="600" w:lineRule="exact"/>
        <w:ind w:firstLine="640"/>
        <w:jc w:val="left"/>
        <w:outlineLvl w:val="1"/>
      </w:pPr>
      <w:bookmarkStart w:id="43" w:name="_Toc275987514"/>
      <w:r>
        <w:rPr>
          <w:rFonts w:ascii="Times New Roman" w:hAnsi="Times New Roman" w:eastAsia="楷体_GB2312"/>
          <w:b/>
          <w:sz w:val="32"/>
        </w:rPr>
        <w:t>7.2 验收标准与方式</w:t>
      </w:r>
      <w:bookmarkEnd w:id="43"/>
    </w:p>
    <w:p w14:paraId="151BDD6A">
      <w:pPr>
        <w:spacing w:before="0" w:after="0" w:line="600" w:lineRule="exact"/>
        <w:ind w:firstLine="640"/>
        <w:jc w:val="both"/>
      </w:pPr>
      <w:r>
        <w:rPr>
          <w:rFonts w:ascii="Times New Roman" w:hAnsi="Times New Roman" w:eastAsia="仿宋_GB2312"/>
          <w:b w:val="0"/>
          <w:sz w:val="32"/>
        </w:rPr>
        <w:t>交付物完整性：所有约定的交付物均已提交，内容完整、格式规范。</w:t>
      </w:r>
    </w:p>
    <w:p w14:paraId="71509DAE">
      <w:pPr>
        <w:spacing w:before="0" w:after="0" w:line="600" w:lineRule="exact"/>
        <w:ind w:firstLine="640"/>
        <w:jc w:val="both"/>
      </w:pPr>
      <w:r>
        <w:rPr>
          <w:rFonts w:ascii="Times New Roman" w:hAnsi="Times New Roman" w:eastAsia="仿宋_GB2312"/>
          <w:b w:val="0"/>
          <w:sz w:val="32"/>
        </w:rPr>
        <w:t>功能符合性：已交付软件功能与需求文档描述一致，满足业务使用要求。</w:t>
      </w:r>
    </w:p>
    <w:p w14:paraId="2920D40C">
      <w:pPr>
        <w:spacing w:before="0" w:after="0" w:line="600" w:lineRule="exact"/>
        <w:ind w:firstLine="640"/>
        <w:jc w:val="both"/>
      </w:pPr>
      <w:r>
        <w:rPr>
          <w:rFonts w:ascii="Times New Roman" w:hAnsi="Times New Roman" w:eastAsia="仿宋_GB2312"/>
          <w:b w:val="0"/>
          <w:sz w:val="32"/>
        </w:rPr>
        <w:t>质量达标性：已交付软件功能通过测试验收，无严重及以上等级的遗留缺陷。</w:t>
      </w:r>
    </w:p>
    <w:p w14:paraId="0A549301">
      <w:pPr>
        <w:spacing w:before="0" w:after="0" w:line="600" w:lineRule="exact"/>
        <w:ind w:firstLine="640"/>
        <w:jc w:val="both"/>
      </w:pPr>
      <w:r>
        <w:rPr>
          <w:rFonts w:ascii="Times New Roman" w:hAnsi="Times New Roman" w:eastAsia="仿宋_GB2312"/>
          <w:b w:val="0"/>
          <w:sz w:val="32"/>
        </w:rPr>
        <w:t>架构合规性：新开发代码通过架构合规审查，无接口契约违规、无全局单例滥用。</w:t>
      </w:r>
    </w:p>
    <w:p w14:paraId="00DC05CF">
      <w:pPr>
        <w:spacing w:before="0" w:after="0" w:line="600" w:lineRule="exact"/>
        <w:ind w:firstLine="640"/>
        <w:jc w:val="both"/>
      </w:pPr>
      <w:r>
        <w:rPr>
          <w:rFonts w:ascii="Times New Roman" w:hAnsi="Times New Roman" w:eastAsia="仿宋_GB2312"/>
          <w:b w:val="0"/>
          <w:sz w:val="32"/>
        </w:rPr>
        <w:t>性能达标性：关键性能指标（启动速度、页面渲染、播放响应、内存占用等）达到或优于设定目标值。</w:t>
      </w:r>
    </w:p>
    <w:p w14:paraId="3DE0A549">
      <w:pPr>
        <w:spacing w:before="0" w:after="0" w:line="600" w:lineRule="exact"/>
        <w:ind w:firstLine="640"/>
        <w:jc w:val="both"/>
      </w:pPr>
      <w:r>
        <w:rPr>
          <w:rFonts w:ascii="Times New Roman" w:hAnsi="Times New Roman" w:eastAsia="仿宋_GB2312"/>
          <w:b w:val="0"/>
          <w:sz w:val="32"/>
        </w:rPr>
        <w:t>验收方式：按项目里程碑节点进行阶段性验收；项目开发期满进行终验。验收不合格的，开发合作方须在甲方要求的期限内完成整改并重新提请验收。</w:t>
      </w:r>
    </w:p>
    <w:p w14:paraId="34B20DC7">
      <w:pPr>
        <w:spacing w:before="0" w:after="0" w:line="600" w:lineRule="exact"/>
        <w:ind w:firstLine="640"/>
        <w:jc w:val="left"/>
        <w:outlineLvl w:val="0"/>
      </w:pPr>
      <w:bookmarkStart w:id="44" w:name="_Toc2104953925"/>
      <w:r>
        <w:rPr>
          <w:rFonts w:ascii="黑体" w:hAnsi="黑体" w:eastAsia="黑体"/>
          <w:b w:val="0"/>
          <w:sz w:val="32"/>
        </w:rPr>
        <w:t>八、软件开发质量与测试要求</w:t>
      </w:r>
      <w:bookmarkEnd w:id="44"/>
    </w:p>
    <w:p w14:paraId="6164B3A9">
      <w:pPr>
        <w:spacing w:before="0" w:after="0" w:line="600" w:lineRule="exact"/>
        <w:ind w:firstLine="640"/>
        <w:jc w:val="left"/>
        <w:outlineLvl w:val="1"/>
      </w:pPr>
      <w:bookmarkStart w:id="45" w:name="_Toc315016797"/>
      <w:r>
        <w:rPr>
          <w:rFonts w:ascii="Times New Roman" w:hAnsi="Times New Roman" w:eastAsia="楷体_GB2312"/>
          <w:b/>
          <w:sz w:val="32"/>
        </w:rPr>
        <w:t>8.1 质量标准</w:t>
      </w:r>
      <w:bookmarkEnd w:id="45"/>
    </w:p>
    <w:p w14:paraId="0CD55B0A">
      <w:pPr>
        <w:spacing w:before="0" w:after="0" w:line="600" w:lineRule="exact"/>
        <w:ind w:firstLine="640"/>
        <w:jc w:val="both"/>
      </w:pPr>
      <w:r>
        <w:rPr>
          <w:rFonts w:ascii="Times New Roman" w:hAnsi="Times New Roman" w:eastAsia="仿宋_GB2312"/>
          <w:b w:val="0"/>
          <w:sz w:val="32"/>
        </w:rPr>
        <w:t>软件开发过程须遵循甲方既定的开发规范和质量标准，代码须经开发合作方内部代码评审后方可提交测试。</w:t>
      </w:r>
    </w:p>
    <w:p w14:paraId="3D5EE1BA">
      <w:pPr>
        <w:spacing w:before="0" w:after="0" w:line="600" w:lineRule="exact"/>
        <w:ind w:firstLine="640"/>
        <w:jc w:val="both"/>
      </w:pPr>
      <w:r>
        <w:rPr>
          <w:rFonts w:ascii="Times New Roman" w:hAnsi="Times New Roman" w:eastAsia="仿宋_GB2312"/>
          <w:b w:val="0"/>
          <w:sz w:val="32"/>
        </w:rPr>
        <w:t>开发合作方须建立完整的缺陷管理流程，对缺陷的发现、修复、验证和关闭进行全程跟踪。</w:t>
      </w:r>
    </w:p>
    <w:p w14:paraId="35BF02D0">
      <w:pPr>
        <w:spacing w:before="0" w:after="0" w:line="600" w:lineRule="exact"/>
        <w:ind w:firstLine="640"/>
        <w:jc w:val="left"/>
        <w:outlineLvl w:val="1"/>
      </w:pPr>
      <w:bookmarkStart w:id="46" w:name="_Toc940117324"/>
      <w:r>
        <w:rPr>
          <w:rFonts w:ascii="Times New Roman" w:hAnsi="Times New Roman" w:eastAsia="楷体_GB2312"/>
          <w:b/>
          <w:sz w:val="32"/>
        </w:rPr>
        <w:t>8.2 测试要求</w:t>
      </w:r>
      <w:bookmarkEnd w:id="46"/>
    </w:p>
    <w:p w14:paraId="7220282C">
      <w:pPr>
        <w:spacing w:before="0" w:after="0" w:line="600" w:lineRule="exact"/>
        <w:ind w:firstLine="640"/>
        <w:jc w:val="both"/>
      </w:pPr>
      <w:r>
        <w:rPr>
          <w:rFonts w:ascii="Times New Roman" w:hAnsi="Times New Roman" w:eastAsia="仿宋_GB2312"/>
          <w:b w:val="0"/>
          <w:sz w:val="32"/>
        </w:rPr>
        <w:t>软件系统须经过严格的单元测试、集成测试和系统测试，确保稳定性、安全性和易用性。</w:t>
      </w:r>
    </w:p>
    <w:p w14:paraId="42367EF2">
      <w:pPr>
        <w:spacing w:before="0" w:after="0" w:line="600" w:lineRule="exact"/>
        <w:ind w:firstLine="640"/>
        <w:jc w:val="both"/>
      </w:pPr>
      <w:r>
        <w:rPr>
          <w:rFonts w:ascii="Times New Roman" w:hAnsi="Times New Roman" w:eastAsia="仿宋_GB2312"/>
          <w:b w:val="0"/>
          <w:sz w:val="32"/>
        </w:rPr>
        <w:t>开发合作方须配合甲方完成用户验收测试（UAT），根据测试反馈及时修复问题，测试报告须详细记录测试范围、用例、结果和问题修复情况。</w:t>
      </w:r>
    </w:p>
    <w:p w14:paraId="2765C2B9">
      <w:pPr>
        <w:spacing w:before="0" w:after="0" w:line="600" w:lineRule="exact"/>
        <w:ind w:firstLine="640"/>
        <w:jc w:val="both"/>
      </w:pPr>
      <w:r>
        <w:rPr>
          <w:rFonts w:ascii="Times New Roman" w:hAnsi="Times New Roman" w:eastAsia="仿宋_GB2312"/>
          <w:b w:val="0"/>
          <w:sz w:val="32"/>
        </w:rPr>
        <w:t>关键功能模块上线前须进行回归测试，确保新功能不影响已有功能的正常运行。</w:t>
      </w:r>
    </w:p>
    <w:p w14:paraId="05E8D924">
      <w:pPr>
        <w:spacing w:before="0" w:after="0" w:line="600" w:lineRule="exact"/>
        <w:ind w:firstLine="640"/>
        <w:jc w:val="left"/>
        <w:outlineLvl w:val="1"/>
      </w:pPr>
      <w:bookmarkStart w:id="47" w:name="_Toc1514673489"/>
      <w:r>
        <w:rPr>
          <w:rFonts w:ascii="Times New Roman" w:hAnsi="Times New Roman" w:eastAsia="楷体_GB2312"/>
          <w:b/>
          <w:sz w:val="32"/>
        </w:rPr>
        <w:t>8.3 性能指标要求</w:t>
      </w:r>
      <w:bookmarkEnd w:id="47"/>
    </w:p>
    <w:p w14:paraId="2AEFA8A8">
      <w:pPr>
        <w:spacing w:before="0" w:after="0" w:line="600" w:lineRule="exact"/>
      </w:pPr>
    </w:p>
    <w:tbl>
      <w:tblPr>
        <w:tblStyle w:val="35"/>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60" w:type="dxa"/>
          <w:left w:w="60" w:type="dxa"/>
          <w:bottom w:w="60" w:type="dxa"/>
          <w:right w:w="60" w:type="dxa"/>
        </w:tblCellMar>
      </w:tblPr>
      <w:tblGrid>
        <w:gridCol w:w="2075"/>
        <w:gridCol w:w="2327"/>
        <w:gridCol w:w="3898"/>
      </w:tblGrid>
      <w:tr w14:paraId="60D73BD6">
        <w:trPr>
          <w:jc w:val="center"/>
        </w:trPr>
        <w:tc>
          <w:tcPr>
            <w:tcW w:w="2268" w:type="dxa"/>
            <w:shd w:val="clear" w:color="auto" w:fill="D9E2F3"/>
          </w:tcPr>
          <w:p w14:paraId="0A66580F">
            <w:pPr>
              <w:spacing w:before="0" w:after="0" w:line="600" w:lineRule="exact"/>
              <w:jc w:val="center"/>
            </w:pPr>
            <w:r>
              <w:rPr>
                <w:rFonts w:ascii="黑体" w:hAnsi="黑体" w:eastAsia="黑体"/>
                <w:b/>
                <w:sz w:val="32"/>
              </w:rPr>
              <w:t>性能指标项</w:t>
            </w:r>
          </w:p>
        </w:tc>
        <w:tc>
          <w:tcPr>
            <w:tcW w:w="2551" w:type="dxa"/>
            <w:shd w:val="clear" w:color="auto" w:fill="D9E2F3"/>
          </w:tcPr>
          <w:p w14:paraId="3562D0C7">
            <w:pPr>
              <w:spacing w:before="0" w:after="0" w:line="600" w:lineRule="exact"/>
              <w:jc w:val="center"/>
            </w:pPr>
            <w:r>
              <w:rPr>
                <w:rFonts w:ascii="黑体" w:hAnsi="黑体" w:eastAsia="黑体"/>
                <w:b/>
                <w:sz w:val="32"/>
              </w:rPr>
              <w:t>目标值</w:t>
            </w:r>
          </w:p>
        </w:tc>
        <w:tc>
          <w:tcPr>
            <w:tcW w:w="4252" w:type="dxa"/>
            <w:shd w:val="clear" w:color="auto" w:fill="D9E2F3"/>
          </w:tcPr>
          <w:p w14:paraId="33DF9E0A">
            <w:pPr>
              <w:spacing w:before="0" w:after="0" w:line="600" w:lineRule="exact"/>
              <w:jc w:val="center"/>
            </w:pPr>
            <w:r>
              <w:rPr>
                <w:rFonts w:ascii="黑体" w:hAnsi="黑体" w:eastAsia="黑体"/>
                <w:b/>
                <w:sz w:val="32"/>
              </w:rPr>
              <w:t>说明</w:t>
            </w:r>
          </w:p>
        </w:tc>
      </w:tr>
      <w:tr w14:paraId="2CB41E96">
        <w:trPr>
          <w:jc w:val="center"/>
        </w:trPr>
        <w:tc>
          <w:tcPr>
            <w:tcW w:w="2268" w:type="dxa"/>
            <w:vAlign w:val="center"/>
          </w:tcPr>
          <w:p w14:paraId="154F14BD">
            <w:pPr>
              <w:spacing w:before="0" w:after="0" w:line="600" w:lineRule="exact"/>
              <w:jc w:val="left"/>
            </w:pPr>
            <w:r>
              <w:rPr>
                <w:rFonts w:ascii="Times New Roman" w:hAnsi="Times New Roman" w:eastAsia="仿宋_GB2312"/>
                <w:sz w:val="32"/>
              </w:rPr>
              <w:t>应用冷启动时间</w:t>
            </w:r>
          </w:p>
        </w:tc>
        <w:tc>
          <w:tcPr>
            <w:tcW w:w="2551" w:type="dxa"/>
            <w:vAlign w:val="center"/>
          </w:tcPr>
          <w:p w14:paraId="37F05F70">
            <w:pPr>
              <w:spacing w:before="0" w:after="0" w:line="600" w:lineRule="exact"/>
              <w:jc w:val="left"/>
            </w:pPr>
            <w:r>
              <w:rPr>
                <w:rFonts w:ascii="Times New Roman" w:hAnsi="Times New Roman" w:eastAsia="仿宋_GB2312"/>
                <w:sz w:val="32"/>
              </w:rPr>
              <w:t>≤3秒（中等配置机型）</w:t>
            </w:r>
          </w:p>
        </w:tc>
        <w:tc>
          <w:tcPr>
            <w:tcW w:w="4252" w:type="dxa"/>
            <w:vAlign w:val="center"/>
          </w:tcPr>
          <w:p w14:paraId="1979173C">
            <w:pPr>
              <w:spacing w:before="0" w:after="0" w:line="600" w:lineRule="exact"/>
              <w:jc w:val="left"/>
            </w:pPr>
            <w:r>
              <w:rPr>
                <w:rFonts w:ascii="Times New Roman" w:hAnsi="Times New Roman" w:eastAsia="仿宋_GB2312"/>
                <w:sz w:val="32"/>
              </w:rPr>
              <w:t>从点击图标到首屏可交互</w:t>
            </w:r>
          </w:p>
        </w:tc>
      </w:tr>
      <w:tr w14:paraId="225B5CC6">
        <w:trPr>
          <w:jc w:val="center"/>
        </w:trPr>
        <w:tc>
          <w:tcPr>
            <w:tcW w:w="2268" w:type="dxa"/>
            <w:vAlign w:val="center"/>
          </w:tcPr>
          <w:p w14:paraId="01C6B34C">
            <w:pPr>
              <w:spacing w:before="0" w:after="0" w:line="600" w:lineRule="exact"/>
              <w:jc w:val="left"/>
            </w:pPr>
            <w:r>
              <w:rPr>
                <w:rFonts w:ascii="Times New Roman" w:hAnsi="Times New Roman" w:eastAsia="仿宋_GB2312"/>
                <w:sz w:val="32"/>
              </w:rPr>
              <w:t>页面切换响应时间</w:t>
            </w:r>
          </w:p>
        </w:tc>
        <w:tc>
          <w:tcPr>
            <w:tcW w:w="2551" w:type="dxa"/>
            <w:vAlign w:val="center"/>
          </w:tcPr>
          <w:p w14:paraId="00C70469">
            <w:pPr>
              <w:spacing w:before="0" w:after="0" w:line="600" w:lineRule="exact"/>
              <w:jc w:val="left"/>
            </w:pPr>
            <w:r>
              <w:rPr>
                <w:rFonts w:ascii="Times New Roman" w:hAnsi="Times New Roman" w:eastAsia="仿宋_GB2312"/>
                <w:sz w:val="32"/>
              </w:rPr>
              <w:t>≤1秒</w:t>
            </w:r>
          </w:p>
        </w:tc>
        <w:tc>
          <w:tcPr>
            <w:tcW w:w="4252" w:type="dxa"/>
            <w:vAlign w:val="center"/>
          </w:tcPr>
          <w:p w14:paraId="26B043F2">
            <w:pPr>
              <w:spacing w:before="0" w:after="0" w:line="600" w:lineRule="exact"/>
              <w:jc w:val="left"/>
            </w:pPr>
            <w:r>
              <w:rPr>
                <w:rFonts w:ascii="Times New Roman" w:hAnsi="Times New Roman" w:eastAsia="仿宋_GB2312"/>
                <w:sz w:val="32"/>
              </w:rPr>
              <w:t>页面间导航流畅，无明显卡顿</w:t>
            </w:r>
          </w:p>
        </w:tc>
      </w:tr>
      <w:tr w14:paraId="449B2D3C">
        <w:trPr>
          <w:jc w:val="center"/>
        </w:trPr>
        <w:tc>
          <w:tcPr>
            <w:tcW w:w="2268" w:type="dxa"/>
            <w:vAlign w:val="center"/>
          </w:tcPr>
          <w:p w14:paraId="3D031E45">
            <w:pPr>
              <w:spacing w:before="0" w:after="0" w:line="600" w:lineRule="exact"/>
              <w:jc w:val="left"/>
            </w:pPr>
            <w:r>
              <w:rPr>
                <w:rFonts w:ascii="Times New Roman" w:hAnsi="Times New Roman" w:eastAsia="仿宋_GB2312"/>
                <w:sz w:val="32"/>
              </w:rPr>
              <w:t>视频起播等待时间</w:t>
            </w:r>
          </w:p>
        </w:tc>
        <w:tc>
          <w:tcPr>
            <w:tcW w:w="2551" w:type="dxa"/>
            <w:vAlign w:val="center"/>
          </w:tcPr>
          <w:p w14:paraId="2BEC1F17">
            <w:pPr>
              <w:spacing w:before="0" w:after="0" w:line="600" w:lineRule="exact"/>
              <w:jc w:val="left"/>
            </w:pPr>
            <w:r>
              <w:rPr>
                <w:rFonts w:ascii="Times New Roman" w:hAnsi="Times New Roman" w:eastAsia="仿宋_GB2312"/>
                <w:sz w:val="32"/>
              </w:rPr>
              <w:t>≤3秒</w:t>
            </w:r>
          </w:p>
        </w:tc>
        <w:tc>
          <w:tcPr>
            <w:tcW w:w="4252" w:type="dxa"/>
            <w:vAlign w:val="center"/>
          </w:tcPr>
          <w:p w14:paraId="4AB311B2">
            <w:pPr>
              <w:spacing w:before="0" w:after="0" w:line="600" w:lineRule="exact"/>
              <w:jc w:val="left"/>
            </w:pPr>
            <w:r>
              <w:rPr>
                <w:rFonts w:ascii="Times New Roman" w:hAnsi="Times New Roman" w:eastAsia="仿宋_GB2312"/>
                <w:sz w:val="32"/>
              </w:rPr>
              <w:t>从点击播放到视频画面出现</w:t>
            </w:r>
          </w:p>
        </w:tc>
      </w:tr>
      <w:tr w14:paraId="1081DAE3">
        <w:trPr>
          <w:jc w:val="center"/>
        </w:trPr>
        <w:tc>
          <w:tcPr>
            <w:tcW w:w="2268" w:type="dxa"/>
            <w:vAlign w:val="center"/>
          </w:tcPr>
          <w:p w14:paraId="7C5C5F0F">
            <w:pPr>
              <w:spacing w:before="0" w:after="0" w:line="600" w:lineRule="exact"/>
              <w:jc w:val="left"/>
            </w:pPr>
            <w:r>
              <w:rPr>
                <w:rFonts w:ascii="Times New Roman" w:hAnsi="Times New Roman" w:eastAsia="仿宋_GB2312"/>
                <w:sz w:val="32"/>
              </w:rPr>
              <w:t>EPG首屏加载时间</w:t>
            </w:r>
          </w:p>
        </w:tc>
        <w:tc>
          <w:tcPr>
            <w:tcW w:w="2551" w:type="dxa"/>
            <w:vAlign w:val="center"/>
          </w:tcPr>
          <w:p w14:paraId="7713E2E4">
            <w:pPr>
              <w:spacing w:before="0" w:after="0" w:line="600" w:lineRule="exact"/>
              <w:jc w:val="left"/>
            </w:pPr>
            <w:r>
              <w:rPr>
                <w:rFonts w:ascii="Times New Roman" w:hAnsi="Times New Roman" w:eastAsia="仿宋_GB2312"/>
                <w:sz w:val="32"/>
              </w:rPr>
              <w:t>须有量化提升（较现状）</w:t>
            </w:r>
          </w:p>
        </w:tc>
        <w:tc>
          <w:tcPr>
            <w:tcW w:w="4252" w:type="dxa"/>
            <w:vAlign w:val="center"/>
          </w:tcPr>
          <w:p w14:paraId="6EBFC645">
            <w:pPr>
              <w:spacing w:before="0" w:after="0" w:line="600" w:lineRule="exact"/>
              <w:jc w:val="left"/>
            </w:pPr>
            <w:r>
              <w:rPr>
                <w:rFonts w:ascii="Times New Roman" w:hAnsi="Times New Roman" w:eastAsia="仿宋_GB2312"/>
                <w:sz w:val="32"/>
              </w:rPr>
              <w:t>低版本WebView环境下达标</w:t>
            </w:r>
          </w:p>
        </w:tc>
      </w:tr>
      <w:tr w14:paraId="5C4F87F7">
        <w:trPr>
          <w:jc w:val="center"/>
        </w:trPr>
        <w:tc>
          <w:tcPr>
            <w:tcW w:w="2268" w:type="dxa"/>
            <w:vAlign w:val="center"/>
          </w:tcPr>
          <w:p w14:paraId="06F5249F">
            <w:pPr>
              <w:spacing w:before="0" w:after="0" w:line="600" w:lineRule="exact"/>
              <w:jc w:val="left"/>
            </w:pPr>
            <w:r>
              <w:rPr>
                <w:rFonts w:ascii="Times New Roman" w:hAnsi="Times New Roman" w:eastAsia="仿宋_GB2312"/>
                <w:sz w:val="32"/>
              </w:rPr>
              <w:t>内存占用</w:t>
            </w:r>
          </w:p>
        </w:tc>
        <w:tc>
          <w:tcPr>
            <w:tcW w:w="2551" w:type="dxa"/>
            <w:vAlign w:val="center"/>
          </w:tcPr>
          <w:p w14:paraId="68C8B663">
            <w:pPr>
              <w:spacing w:before="0" w:after="0" w:line="600" w:lineRule="exact"/>
              <w:jc w:val="left"/>
            </w:pPr>
            <w:r>
              <w:rPr>
                <w:rFonts w:ascii="Times New Roman" w:hAnsi="Times New Roman" w:eastAsia="仿宋_GB2312"/>
                <w:sz w:val="32"/>
              </w:rPr>
              <w:t>不超过同类产品平均水平</w:t>
            </w:r>
          </w:p>
        </w:tc>
        <w:tc>
          <w:tcPr>
            <w:tcW w:w="4252" w:type="dxa"/>
            <w:vAlign w:val="center"/>
          </w:tcPr>
          <w:p w14:paraId="07761FA2">
            <w:pPr>
              <w:spacing w:before="0" w:after="0" w:line="600" w:lineRule="exact"/>
              <w:jc w:val="left"/>
            </w:pPr>
            <w:r>
              <w:rPr>
                <w:rFonts w:ascii="Times New Roman" w:hAnsi="Times New Roman" w:eastAsia="仿宋_GB2312"/>
                <w:sz w:val="32"/>
              </w:rPr>
              <w:t>重点关注API 19低内存设备</w:t>
            </w:r>
          </w:p>
        </w:tc>
      </w:tr>
    </w:tbl>
    <w:p w14:paraId="7933202D">
      <w:pPr>
        <w:spacing w:before="0" w:after="0" w:line="600" w:lineRule="exact"/>
        <w:ind w:firstLine="640"/>
        <w:jc w:val="left"/>
        <w:outlineLvl w:val="0"/>
      </w:pPr>
      <w:bookmarkStart w:id="48" w:name="_Toc846178085"/>
      <w:r>
        <w:rPr>
          <w:rFonts w:ascii="黑体" w:hAnsi="黑体" w:eastAsia="黑体"/>
          <w:b w:val="0"/>
          <w:sz w:val="32"/>
        </w:rPr>
        <w:t>九、软件质保与技术支持</w:t>
      </w:r>
      <w:bookmarkEnd w:id="48"/>
    </w:p>
    <w:p w14:paraId="00B01A91">
      <w:pPr>
        <w:spacing w:before="0" w:after="0" w:line="600" w:lineRule="exact"/>
        <w:ind w:firstLine="640"/>
        <w:jc w:val="left"/>
        <w:outlineLvl w:val="1"/>
      </w:pPr>
      <w:bookmarkStart w:id="49" w:name="_Toc1078364161"/>
      <w:r>
        <w:rPr>
          <w:rFonts w:ascii="Times New Roman" w:hAnsi="Times New Roman" w:eastAsia="楷体_GB2312"/>
          <w:b/>
          <w:sz w:val="32"/>
        </w:rPr>
        <w:t>9.1 质保服务</w:t>
      </w:r>
      <w:bookmarkEnd w:id="49"/>
    </w:p>
    <w:p w14:paraId="5D76ADBE">
      <w:pPr>
        <w:spacing w:before="0" w:after="0" w:line="600" w:lineRule="exact"/>
        <w:ind w:firstLine="640"/>
        <w:jc w:val="both"/>
      </w:pPr>
      <w:r>
        <w:rPr>
          <w:rFonts w:ascii="Times New Roman" w:hAnsi="Times New Roman" w:eastAsia="仿宋_GB2312"/>
          <w:b w:val="0"/>
          <w:sz w:val="32"/>
        </w:rPr>
        <w:t>本项目须提供终验后一年的免费质保服务。</w:t>
      </w:r>
    </w:p>
    <w:p w14:paraId="5123F421">
      <w:pPr>
        <w:spacing w:before="0" w:after="0" w:line="600" w:lineRule="exact"/>
        <w:ind w:firstLine="640"/>
        <w:jc w:val="both"/>
      </w:pPr>
      <w:r>
        <w:rPr>
          <w:rFonts w:ascii="Times New Roman" w:hAnsi="Times New Roman" w:eastAsia="仿宋_GB2312"/>
          <w:b w:val="0"/>
          <w:sz w:val="32"/>
        </w:rPr>
        <w:t>质保期内，开发合作方须对已交付的软件系统进行免费维护，包括缺陷修复、安全漏洞修复等。</w:t>
      </w:r>
    </w:p>
    <w:p w14:paraId="7C0CCE2C">
      <w:pPr>
        <w:spacing w:before="0" w:after="0" w:line="600" w:lineRule="exact"/>
        <w:ind w:firstLine="640"/>
        <w:jc w:val="left"/>
        <w:outlineLvl w:val="1"/>
      </w:pPr>
      <w:bookmarkStart w:id="50" w:name="_Toc1451956894"/>
      <w:r>
        <w:rPr>
          <w:rFonts w:ascii="Times New Roman" w:hAnsi="Times New Roman" w:eastAsia="楷体_GB2312"/>
          <w:b/>
          <w:sz w:val="32"/>
        </w:rPr>
        <w:t>9.2 技术支持响应要求</w:t>
      </w:r>
      <w:bookmarkEnd w:id="50"/>
    </w:p>
    <w:p w14:paraId="5177AA63">
      <w:pPr>
        <w:spacing w:before="0" w:after="0" w:line="600" w:lineRule="exact"/>
      </w:pPr>
    </w:p>
    <w:tbl>
      <w:tblPr>
        <w:tblStyle w:val="35"/>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60" w:type="dxa"/>
          <w:left w:w="60" w:type="dxa"/>
          <w:bottom w:w="60" w:type="dxa"/>
          <w:right w:w="60" w:type="dxa"/>
        </w:tblCellMar>
      </w:tblPr>
      <w:tblGrid>
        <w:gridCol w:w="1311"/>
        <w:gridCol w:w="3368"/>
        <w:gridCol w:w="3621"/>
      </w:tblGrid>
      <w:tr w14:paraId="3FC9E2FA">
        <w:trPr>
          <w:jc w:val="center"/>
        </w:trPr>
        <w:tc>
          <w:tcPr>
            <w:tcW w:w="1417" w:type="dxa"/>
            <w:shd w:val="clear" w:color="auto" w:fill="D9E2F3"/>
          </w:tcPr>
          <w:p w14:paraId="26D6B993">
            <w:pPr>
              <w:spacing w:before="0" w:after="0" w:line="600" w:lineRule="exact"/>
              <w:jc w:val="center"/>
            </w:pPr>
            <w:r>
              <w:rPr>
                <w:rFonts w:ascii="黑体" w:hAnsi="黑体" w:eastAsia="黑体"/>
                <w:b/>
                <w:sz w:val="32"/>
              </w:rPr>
              <w:t>故障等级</w:t>
            </w:r>
          </w:p>
        </w:tc>
        <w:tc>
          <w:tcPr>
            <w:tcW w:w="3685" w:type="dxa"/>
            <w:shd w:val="clear" w:color="auto" w:fill="D9E2F3"/>
          </w:tcPr>
          <w:p w14:paraId="5BA2A133">
            <w:pPr>
              <w:spacing w:before="0" w:after="0" w:line="600" w:lineRule="exact"/>
              <w:jc w:val="center"/>
            </w:pPr>
            <w:r>
              <w:rPr>
                <w:rFonts w:ascii="黑体" w:hAnsi="黑体" w:eastAsia="黑体"/>
                <w:b/>
                <w:sz w:val="32"/>
              </w:rPr>
              <w:t>描述</w:t>
            </w:r>
          </w:p>
        </w:tc>
        <w:tc>
          <w:tcPr>
            <w:tcW w:w="3969" w:type="dxa"/>
            <w:shd w:val="clear" w:color="auto" w:fill="D9E2F3"/>
          </w:tcPr>
          <w:p w14:paraId="5857005A">
            <w:pPr>
              <w:spacing w:before="0" w:after="0" w:line="600" w:lineRule="exact"/>
              <w:jc w:val="center"/>
            </w:pPr>
            <w:r>
              <w:rPr>
                <w:rFonts w:ascii="黑体" w:hAnsi="黑体" w:eastAsia="黑体"/>
                <w:b/>
                <w:sz w:val="32"/>
              </w:rPr>
              <w:t>响应时间</w:t>
            </w:r>
          </w:p>
        </w:tc>
      </w:tr>
      <w:tr w14:paraId="19843DDA">
        <w:trPr>
          <w:jc w:val="center"/>
        </w:trPr>
        <w:tc>
          <w:tcPr>
            <w:tcW w:w="1417" w:type="dxa"/>
            <w:vAlign w:val="center"/>
          </w:tcPr>
          <w:p w14:paraId="5BD17B93">
            <w:pPr>
              <w:spacing w:before="0" w:after="0" w:line="600" w:lineRule="exact"/>
              <w:jc w:val="left"/>
            </w:pPr>
            <w:r>
              <w:rPr>
                <w:rFonts w:ascii="Times New Roman" w:hAnsi="Times New Roman" w:eastAsia="仿宋_GB2312"/>
                <w:sz w:val="32"/>
              </w:rPr>
              <w:t>紧急</w:t>
            </w:r>
          </w:p>
        </w:tc>
        <w:tc>
          <w:tcPr>
            <w:tcW w:w="3685" w:type="dxa"/>
            <w:vAlign w:val="center"/>
          </w:tcPr>
          <w:p w14:paraId="5C70E847">
            <w:pPr>
              <w:spacing w:before="0" w:after="0" w:line="600" w:lineRule="exact"/>
              <w:jc w:val="left"/>
            </w:pPr>
            <w:r>
              <w:rPr>
                <w:rFonts w:ascii="Times New Roman" w:hAnsi="Times New Roman" w:eastAsia="仿宋_GB2312"/>
                <w:sz w:val="32"/>
              </w:rPr>
              <w:t>核心业务功能无法使用，影响大量用户</w:t>
            </w:r>
          </w:p>
        </w:tc>
        <w:tc>
          <w:tcPr>
            <w:tcW w:w="3969" w:type="dxa"/>
            <w:vAlign w:val="center"/>
          </w:tcPr>
          <w:p w14:paraId="447576CA">
            <w:pPr>
              <w:spacing w:before="0" w:after="0" w:line="600" w:lineRule="exact"/>
              <w:jc w:val="left"/>
            </w:pPr>
            <w:r>
              <w:rPr>
                <w:rFonts w:ascii="Times New Roman" w:hAnsi="Times New Roman" w:eastAsia="仿宋_GB2312"/>
                <w:sz w:val="32"/>
              </w:rPr>
              <w:t>30分钟内响应，4小时内提供解决方案</w:t>
            </w:r>
          </w:p>
        </w:tc>
      </w:tr>
      <w:tr w14:paraId="4F67BE93">
        <w:trPr>
          <w:jc w:val="center"/>
        </w:trPr>
        <w:tc>
          <w:tcPr>
            <w:tcW w:w="1417" w:type="dxa"/>
            <w:vAlign w:val="center"/>
          </w:tcPr>
          <w:p w14:paraId="30825825">
            <w:pPr>
              <w:spacing w:before="0" w:after="0" w:line="600" w:lineRule="exact"/>
              <w:jc w:val="left"/>
            </w:pPr>
            <w:r>
              <w:rPr>
                <w:rFonts w:ascii="Times New Roman" w:hAnsi="Times New Roman" w:eastAsia="仿宋_GB2312"/>
                <w:sz w:val="32"/>
              </w:rPr>
              <w:t>严重</w:t>
            </w:r>
          </w:p>
        </w:tc>
        <w:tc>
          <w:tcPr>
            <w:tcW w:w="3685" w:type="dxa"/>
            <w:vAlign w:val="center"/>
          </w:tcPr>
          <w:p w14:paraId="3774AEB6">
            <w:pPr>
              <w:spacing w:before="0" w:after="0" w:line="600" w:lineRule="exact"/>
              <w:jc w:val="left"/>
            </w:pPr>
            <w:r>
              <w:rPr>
                <w:rFonts w:ascii="Times New Roman" w:hAnsi="Times New Roman" w:eastAsia="仿宋_GB2312"/>
                <w:sz w:val="32"/>
              </w:rPr>
              <w:t>主要功能异常，影响部分用户使用</w:t>
            </w:r>
          </w:p>
        </w:tc>
        <w:tc>
          <w:tcPr>
            <w:tcW w:w="3969" w:type="dxa"/>
            <w:vAlign w:val="center"/>
          </w:tcPr>
          <w:p w14:paraId="5B77D1EC">
            <w:pPr>
              <w:spacing w:before="0" w:after="0" w:line="600" w:lineRule="exact"/>
              <w:jc w:val="left"/>
            </w:pPr>
            <w:r>
              <w:rPr>
                <w:rFonts w:ascii="Times New Roman" w:hAnsi="Times New Roman" w:eastAsia="仿宋_GB2312"/>
                <w:sz w:val="32"/>
              </w:rPr>
              <w:t>2小时内响应，8小时内提供解决方案</w:t>
            </w:r>
          </w:p>
        </w:tc>
      </w:tr>
      <w:tr w14:paraId="0CE36A53">
        <w:trPr>
          <w:jc w:val="center"/>
        </w:trPr>
        <w:tc>
          <w:tcPr>
            <w:tcW w:w="1417" w:type="dxa"/>
            <w:vAlign w:val="center"/>
          </w:tcPr>
          <w:p w14:paraId="61546ABF">
            <w:pPr>
              <w:spacing w:before="0" w:after="0" w:line="600" w:lineRule="exact"/>
              <w:jc w:val="left"/>
            </w:pPr>
            <w:r>
              <w:rPr>
                <w:rFonts w:ascii="Times New Roman" w:hAnsi="Times New Roman" w:eastAsia="仿宋_GB2312"/>
                <w:sz w:val="32"/>
              </w:rPr>
              <w:t>一般</w:t>
            </w:r>
          </w:p>
        </w:tc>
        <w:tc>
          <w:tcPr>
            <w:tcW w:w="3685" w:type="dxa"/>
            <w:vAlign w:val="center"/>
          </w:tcPr>
          <w:p w14:paraId="064BE000">
            <w:pPr>
              <w:spacing w:before="0" w:after="0" w:line="600" w:lineRule="exact"/>
              <w:jc w:val="left"/>
            </w:pPr>
            <w:r>
              <w:rPr>
                <w:rFonts w:ascii="Times New Roman" w:hAnsi="Times New Roman" w:eastAsia="仿宋_GB2312"/>
                <w:sz w:val="32"/>
              </w:rPr>
              <w:t>次要功能异常，不影响核心业务</w:t>
            </w:r>
          </w:p>
        </w:tc>
        <w:tc>
          <w:tcPr>
            <w:tcW w:w="3969" w:type="dxa"/>
            <w:vAlign w:val="center"/>
          </w:tcPr>
          <w:p w14:paraId="1BC7786F">
            <w:pPr>
              <w:spacing w:before="0" w:after="0" w:line="600" w:lineRule="exact"/>
              <w:jc w:val="left"/>
            </w:pPr>
            <w:r>
              <w:rPr>
                <w:rFonts w:ascii="Times New Roman" w:hAnsi="Times New Roman" w:eastAsia="仿宋_GB2312"/>
                <w:sz w:val="32"/>
              </w:rPr>
              <w:t>4小时内响应，24小时内提供解决方案</w:t>
            </w:r>
          </w:p>
        </w:tc>
      </w:tr>
      <w:tr w14:paraId="0F329A3D">
        <w:trPr>
          <w:jc w:val="center"/>
        </w:trPr>
        <w:tc>
          <w:tcPr>
            <w:tcW w:w="1417" w:type="dxa"/>
            <w:vAlign w:val="center"/>
          </w:tcPr>
          <w:p w14:paraId="469CDF6C">
            <w:pPr>
              <w:spacing w:before="0" w:after="0" w:line="600" w:lineRule="exact"/>
              <w:jc w:val="left"/>
            </w:pPr>
            <w:r>
              <w:rPr>
                <w:rFonts w:ascii="Times New Roman" w:hAnsi="Times New Roman" w:eastAsia="仿宋_GB2312"/>
                <w:sz w:val="32"/>
              </w:rPr>
              <w:t>轻微</w:t>
            </w:r>
          </w:p>
        </w:tc>
        <w:tc>
          <w:tcPr>
            <w:tcW w:w="3685" w:type="dxa"/>
            <w:vAlign w:val="center"/>
          </w:tcPr>
          <w:p w14:paraId="30A23F5F">
            <w:pPr>
              <w:spacing w:before="0" w:after="0" w:line="600" w:lineRule="exact"/>
              <w:jc w:val="left"/>
            </w:pPr>
            <w:r>
              <w:rPr>
                <w:rFonts w:ascii="Times New Roman" w:hAnsi="Times New Roman" w:eastAsia="仿宋_GB2312"/>
                <w:sz w:val="32"/>
              </w:rPr>
              <w:t>UI或体验类问题，不影响功能使用</w:t>
            </w:r>
          </w:p>
        </w:tc>
        <w:tc>
          <w:tcPr>
            <w:tcW w:w="3969" w:type="dxa"/>
            <w:vAlign w:val="center"/>
          </w:tcPr>
          <w:p w14:paraId="2C547CD0">
            <w:pPr>
              <w:spacing w:before="0" w:after="0" w:line="600" w:lineRule="exact"/>
              <w:jc w:val="left"/>
            </w:pPr>
            <w:r>
              <w:rPr>
                <w:rFonts w:ascii="Times New Roman" w:hAnsi="Times New Roman" w:eastAsia="仿宋_GB2312"/>
                <w:sz w:val="32"/>
              </w:rPr>
              <w:t>8小时内响应，合理时间内修复</w:t>
            </w:r>
          </w:p>
        </w:tc>
      </w:tr>
    </w:tbl>
    <w:p w14:paraId="00E10A90">
      <w:pPr>
        <w:spacing w:before="0" w:after="0" w:line="600" w:lineRule="exact"/>
        <w:ind w:firstLine="640"/>
        <w:jc w:val="left"/>
        <w:outlineLvl w:val="1"/>
      </w:pPr>
      <w:bookmarkStart w:id="51" w:name="_Toc1182836597"/>
      <w:r>
        <w:rPr>
          <w:rFonts w:ascii="Times New Roman" w:hAnsi="Times New Roman" w:eastAsia="楷体_GB2312"/>
          <w:b/>
          <w:sz w:val="32"/>
        </w:rPr>
        <w:t>9.3 质保期外服务</w:t>
      </w:r>
      <w:bookmarkEnd w:id="51"/>
    </w:p>
    <w:p w14:paraId="1D3CCC50">
      <w:pPr>
        <w:spacing w:before="0" w:after="0" w:line="600" w:lineRule="exact"/>
        <w:ind w:firstLine="640"/>
        <w:jc w:val="both"/>
      </w:pPr>
      <w:r>
        <w:rPr>
          <w:rFonts w:ascii="Times New Roman" w:hAnsi="Times New Roman" w:eastAsia="仿宋_GB2312"/>
          <w:b w:val="0"/>
          <w:sz w:val="32"/>
        </w:rPr>
        <w:t>质保期满后，甲方如需继续获得维护服务，双方可另行协商签订维护服务合同。</w:t>
      </w:r>
    </w:p>
    <w:sectPr>
      <w:footerReference r:id="rId6" w:type="default"/>
      <w:pgSz w:w="11900" w:h="16840"/>
      <w:pgMar w:top="1860" w:right="1860" w:bottom="1860" w:left="1860" w:header="1128" w:footer="1128"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panose1 w:val="020F0302020204030204"/>
    <w:charset w:val="00"/>
    <w:family w:val="swiss"/>
    <w:pitch w:val="default"/>
    <w:sig w:usb0="A00002EF" w:usb1="4000207B" w:usb2="00000000" w:usb3="00000000" w:csb0="2000019F" w:csb1="00000000"/>
  </w:font>
  <w:font w:name="Cambria">
    <w:altName w:val="苹方-简"/>
    <w:panose1 w:val="02040503050406030204"/>
    <w:charset w:val="00"/>
    <w:family w:val="auto"/>
    <w:pitch w:val="default"/>
    <w:sig w:usb0="00000000" w:usb1="00000000" w:usb2="00000000" w:usb3="00000000" w:csb0="0000019F" w:csb1="00000000"/>
  </w:font>
  <w:font w:name="ＭＳ 明朝">
    <w:altName w:val="Hiragino Sans"/>
    <w:panose1 w:val="00000000000000000000"/>
    <w:charset w:val="80"/>
    <w:family w:val="roman"/>
    <w:pitch w:val="default"/>
    <w:sig w:usb0="00000000" w:usb1="00000000" w:usb2="00000010" w:usb3="00000000" w:csb0="00020000" w:csb1="00000000"/>
  </w:font>
  <w:font w:name="ＭＳ 明朝">
    <w:altName w:val="Hiragino Sans"/>
    <w:panose1 w:val="00000000000000000000"/>
    <w:charset w:val="86"/>
    <w:family w:val="auto"/>
    <w:pitch w:val="default"/>
    <w:sig w:usb0="00000000" w:usb1="00000000" w:usb2="00000000" w:usb3="00000000" w:csb0="00000000" w:csb1="00000000"/>
  </w:font>
  <w:font w:name="ＭＳ ゴシック">
    <w:altName w:val="Hiragino Sans"/>
    <w:panose1 w:val="00000000000000000000"/>
    <w:charset w:val="80"/>
    <w:family w:val="modern"/>
    <w:pitch w:val="default"/>
    <w:sig w:usb0="00000000" w:usb1="00000000" w:usb2="00000010" w:usb3="00000000" w:csb0="00020000" w:csb1="00000000"/>
  </w:font>
  <w:font w:name="Courier">
    <w:altName w:val="苹方-简"/>
    <w:panose1 w:val="02000500000000000000"/>
    <w:charset w:val="00"/>
    <w:family w:val="auto"/>
    <w:pitch w:val="default"/>
    <w:sig w:usb0="00000000" w:usb1="00000000" w:usb2="00000000" w:usb3="00000000" w:csb0="00000001" w:csb1="00000000"/>
  </w:font>
  <w:font w:name="华文中宋">
    <w:altName w:val="宋体"/>
    <w:panose1 w:val="00000000000000000000"/>
    <w:charset w:val="00"/>
    <w:family w:val="auto"/>
    <w:pitch w:val="default"/>
    <w:sig w:usb0="00000000" w:usb1="00000000" w:usb2="00000000" w:usb3="00000000" w:csb0="00000000" w:csb1="00000000"/>
  </w:font>
  <w:font w:name="仿宋_GB2312">
    <w:altName w:val="仿宋-简"/>
    <w:panose1 w:val="00000000000000000000"/>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ＭＳ 明朝">
    <w:altName w:val="Hiragino Sans"/>
    <w:panose1 w:val="00000000000000000000"/>
    <w:charset w:val="00"/>
    <w:family w:val="auto"/>
    <w:pitch w:val="default"/>
    <w:sig w:usb0="00000000" w:usb1="00000000" w:usb2="00000000" w:usb3="00000000" w:csb0="00000000" w:csb1="00000000"/>
  </w:font>
  <w:font w:name="Hiragino Sans">
    <w:panose1 w:val="020B0300000000000000"/>
    <w:charset w:val="80"/>
    <w:family w:val="auto"/>
    <w:pitch w:val="default"/>
    <w:sig w:usb0="E00002FF" w:usb1="7AE7FFFF" w:usb2="00000012" w:usb3="00000000" w:csb0="0002000D" w:csb1="00000000"/>
  </w:font>
  <w:font w:name="苹方-简">
    <w:panose1 w:val="020B0400000000000000"/>
    <w:charset w:val="86"/>
    <w:family w:val="auto"/>
    <w:pitch w:val="default"/>
    <w:sig w:usb0="A00002FF" w:usb1="7ACFFDFB" w:usb2="00000017" w:usb3="00000000" w:csb0="00040001" w:csb1="00000000"/>
  </w:font>
  <w:font w:name="仿宋-简">
    <w:panose1 w:val="02010609060101010101"/>
    <w:charset w:val="86"/>
    <w:family w:val="auto"/>
    <w:pitch w:val="default"/>
    <w:sig w:usb0="A00002BF" w:usb1="3ACF7CFA" w:usb2="00000016" w:usb3="00000000" w:csb0="00040001" w:csb1="00000000"/>
  </w:font>
  <w:font w:name="Kingsoft Sign">
    <w:panose1 w:val="05050102010706020507"/>
    <w:charset w:val="00"/>
    <w:family w:val="auto"/>
    <w:pitch w:val="default"/>
    <w:sig w:usb0="00000000" w:usb1="10000000" w:usb2="00000000" w:usb3="00000000" w:csb0="00000001" w:csb1="00000000"/>
  </w:font>
  <w:font w:name="ＭＳ ゴシック">
    <w:altName w:val="苹方-简"/>
    <w:panose1 w:val="00000000000000000000"/>
    <w:charset w:val="00"/>
    <w:family w:val="auto"/>
    <w:pitch w:val="default"/>
    <w:sig w:usb0="00000000" w:usb1="00000000" w:usb2="00000000" w:usb3="00000000" w:csb0="00000000" w:csb1="00000000"/>
  </w:font>
  <w:font w:name="宋体-简">
    <w:panose1 w:val="02010800040101010101"/>
    <w:charset w:val="86"/>
    <w:family w:val="auto"/>
    <w:pitch w:val="default"/>
    <w:sig w:usb0="00000001" w:usb1="080F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629883">
    <w:pPr>
      <w:pStyle w:val="2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5B27BA">
    <w:pPr>
      <w:pStyle w:val="25"/>
      <w:jc w:val="center"/>
    </w:pPr>
    <w:r>
      <w:rPr>
        <w:rFonts w:ascii="Times New Roman" w:hAnsi="Times New Roman" w:eastAsia="仿宋_GB2312"/>
        <w:sz w:val="28"/>
      </w:rPr>
      <w:t xml:space="preserve">- </w:t>
    </w:r>
    <w:r>
      <w:rPr>
        <w:rFonts w:ascii="Times New Roman" w:hAnsi="Times New Roman" w:eastAsia="仿宋_GB2312"/>
        <w:sz w:val="28"/>
      </w:rPr>
      <w:fldChar w:fldCharType="begin"/>
    </w:r>
    <w:r>
      <w:rPr>
        <w:rFonts w:ascii="Times New Roman" w:hAnsi="Times New Roman" w:eastAsia="仿宋_GB2312"/>
        <w:sz w:val="28"/>
      </w:rPr>
      <w:instrText xml:space="preserve"> PAGE </w:instrText>
    </w:r>
    <w:r>
      <w:rPr>
        <w:rFonts w:ascii="Times New Roman" w:hAnsi="Times New Roman" w:eastAsia="仿宋_GB2312"/>
        <w:sz w:val="28"/>
      </w:rPr>
      <w:fldChar w:fldCharType="separate"/>
    </w:r>
    <w:r>
      <w:rPr>
        <w:rFonts w:ascii="Times New Roman" w:hAnsi="Times New Roman" w:eastAsia="仿宋_GB2312"/>
        <w:sz w:val="28"/>
      </w:rPr>
      <w:t>1</w:t>
    </w:r>
    <w:r>
      <w:rPr>
        <w:rFonts w:ascii="Times New Roman" w:hAnsi="Times New Roman" w:eastAsia="仿宋_GB2312"/>
        <w:sz w:val="28"/>
      </w:rPr>
      <w:fldChar w:fldCharType="end"/>
    </w:r>
    <w:r>
      <w:rPr>
        <w:rFonts w:ascii="Times New Roman" w:hAnsi="Times New Roman" w:eastAsia="仿宋_GB2312"/>
        <w:sz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FF7E"/>
    <w:multiLevelType w:val="singleLevel"/>
    <w:tmpl w:val="FFFFFF7E"/>
    <w:lvl w:ilvl="0" w:tentative="0">
      <w:start w:val="1"/>
      <w:numFmt w:val="decimal"/>
      <w:pStyle w:val="20"/>
      <w:lvlText w:val="%1."/>
      <w:lvlJc w:val="left"/>
      <w:pPr>
        <w:tabs>
          <w:tab w:val="left" w:pos="1080"/>
        </w:tabs>
        <w:ind w:left="1080" w:hanging="360"/>
      </w:pPr>
    </w:lvl>
  </w:abstractNum>
  <w:abstractNum w:abstractNumId="1">
    <w:nsid w:val="FFFFFF7F"/>
    <w:multiLevelType w:val="singleLevel"/>
    <w:tmpl w:val="FFFFFF7F"/>
    <w:lvl w:ilvl="0" w:tentative="0">
      <w:start w:val="1"/>
      <w:numFmt w:val="decimal"/>
      <w:pStyle w:val="13"/>
      <w:lvlText w:val="%1."/>
      <w:lvlJc w:val="left"/>
      <w:pPr>
        <w:tabs>
          <w:tab w:val="left" w:pos="720"/>
        </w:tabs>
        <w:ind w:left="720" w:hanging="360"/>
      </w:pPr>
    </w:lvl>
  </w:abstractNum>
  <w:abstractNum w:abstractNumId="2">
    <w:nsid w:val="FFFFFF82"/>
    <w:multiLevelType w:val="singleLevel"/>
    <w:tmpl w:val="FFFFFF82"/>
    <w:lvl w:ilvl="0" w:tentative="0">
      <w:start w:val="1"/>
      <w:numFmt w:val="bullet"/>
      <w:pStyle w:val="18"/>
      <w:lvlText w:val=""/>
      <w:lvlJc w:val="left"/>
      <w:pPr>
        <w:tabs>
          <w:tab w:val="left" w:pos="1080"/>
        </w:tabs>
        <w:ind w:left="1080" w:hanging="360"/>
      </w:pPr>
      <w:rPr>
        <w:rFonts w:hint="default" w:ascii="Symbol" w:hAnsi="Symbol"/>
      </w:rPr>
    </w:lvl>
  </w:abstractNum>
  <w:abstractNum w:abstractNumId="3">
    <w:nsid w:val="FFFFFF83"/>
    <w:multiLevelType w:val="singleLevel"/>
    <w:tmpl w:val="FFFFFF83"/>
    <w:lvl w:ilvl="0" w:tentative="0">
      <w:start w:val="1"/>
      <w:numFmt w:val="bullet"/>
      <w:pStyle w:val="23"/>
      <w:lvlText w:val=""/>
      <w:lvlJc w:val="left"/>
      <w:pPr>
        <w:tabs>
          <w:tab w:val="left" w:pos="720"/>
        </w:tabs>
        <w:ind w:left="720" w:hanging="360"/>
      </w:pPr>
      <w:rPr>
        <w:rFonts w:hint="default" w:ascii="Symbol" w:hAnsi="Symbol"/>
      </w:rPr>
    </w:lvl>
  </w:abstractNum>
  <w:abstractNum w:abstractNumId="4">
    <w:nsid w:val="FFFFFF88"/>
    <w:multiLevelType w:val="singleLevel"/>
    <w:tmpl w:val="FFFFFF88"/>
    <w:lvl w:ilvl="0" w:tentative="0">
      <w:start w:val="1"/>
      <w:numFmt w:val="decimal"/>
      <w:pStyle w:val="14"/>
      <w:lvlText w:val="%1."/>
      <w:lvlJc w:val="left"/>
      <w:pPr>
        <w:tabs>
          <w:tab w:val="left" w:pos="360"/>
        </w:tabs>
        <w:ind w:left="360" w:hanging="360"/>
      </w:pPr>
    </w:lvl>
  </w:abstractNum>
  <w:abstractNum w:abstractNumId="5">
    <w:nsid w:val="FFFFFF89"/>
    <w:multiLevelType w:val="singleLevel"/>
    <w:tmpl w:val="FFFFFF89"/>
    <w:lvl w:ilvl="0" w:tentative="0">
      <w:start w:val="1"/>
      <w:numFmt w:val="bullet"/>
      <w:pStyle w:val="16"/>
      <w:lvlText w:val=""/>
      <w:lvlJc w:val="left"/>
      <w:pPr>
        <w:tabs>
          <w:tab w:val="left" w:pos="360"/>
        </w:tabs>
        <w:ind w:left="360" w:hanging="360"/>
      </w:pPr>
      <w:rPr>
        <w:rFonts w:hint="default" w:ascii="Symbol" w:hAnsi="Symbol"/>
      </w:rPr>
    </w:lvl>
  </w:abstractNum>
  <w:num w:numId="1">
    <w:abstractNumId w:val="1"/>
  </w:num>
  <w:num w:numId="2">
    <w:abstractNumId w:val="4"/>
  </w:num>
  <w:num w:numId="3">
    <w:abstractNumId w:val="5"/>
  </w:num>
  <w:num w:numId="4">
    <w:abstractNumId w:val="2"/>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4"/>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 w:val="6BBB092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ja-JP"/>
  <w:clrSchemeMapping w:bg1="light1" w:t1="dark1" w:bg2="light2" w:t2="dark2" w:accent1="accent1" w:accent2="accent2" w:accent3="accent3" w:accent4="accent4" w:accent5="accent5" w:accent6="accent6" w:hyperlink="hyperlink" w:followedHyperlink="followedHyperlink"/>
  <w14:defaultImageDpi w14:val="300"/>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semiHidden="0" w:name="macro"/>
    <w:lsdException w:uiPriority="99" w:name="toa heading"/>
    <w:lsdException w:uiPriority="99" w:semiHidden="0" w:name="List"/>
    <w:lsdException w:uiPriority="99" w:semiHidden="0" w:name="List Bullet"/>
    <w:lsdException w:uiPriority="99" w:semiHidden="0" w:name="List Number"/>
    <w:lsdException w:uiPriority="99" w:semiHidden="0" w:name="List 2"/>
    <w:lsdException w:uiPriority="99" w:semiHidden="0" w:name="List 3"/>
    <w:lsdException w:uiPriority="99" w:name="List 4"/>
    <w:lsdException w:uiPriority="99" w:name="List 5"/>
    <w:lsdException w:uiPriority="99" w:semiHidden="0" w:name="List Bullet 2"/>
    <w:lsdException w:uiPriority="99" w:semiHidden="0" w:name="List Bullet 3"/>
    <w:lsdException w:uiPriority="99" w:name="List Bullet 4"/>
    <w:lsdException w:uiPriority="99" w:name="List Bullet 5"/>
    <w:lsdException w:uiPriority="99" w:semiHidden="0" w:name="List Number 2"/>
    <w:lsdException w:uiPriority="99" w:semiHidden="0"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semiHidden="0" w:name="Body Text"/>
    <w:lsdException w:uiPriority="99" w:name="Body Text Indent"/>
    <w:lsdException w:uiPriority="99" w:semiHidden="0" w:name="List Continue"/>
    <w:lsdException w:uiPriority="99" w:semiHidden="0" w:name="List Continue 2"/>
    <w:lsdException w:uiPriority="99" w:semiHidden="0"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semiHidden="0" w:name="Body Text 2"/>
    <w:lsdException w:uiPriority="99" w:semiHidden="0"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EastAsia" w:cstheme="minorBidi"/>
      <w:sz w:val="22"/>
      <w:szCs w:val="22"/>
      <w:lang w:val="en-US" w:eastAsia="en-US" w:bidi="ar-SA"/>
    </w:rPr>
  </w:style>
  <w:style w:type="paragraph" w:styleId="3">
    <w:name w:val="heading 1"/>
    <w:basedOn w:val="1"/>
    <w:next w:val="1"/>
    <w:link w:val="141"/>
    <w:qFormat/>
    <w:uiPriority w:val="9"/>
    <w:pPr>
      <w:keepNext/>
      <w:keepLines/>
      <w:spacing w:before="480" w:after="0"/>
      <w:outlineLvl w:val="0"/>
    </w:pPr>
    <w:rPr>
      <w:rFonts w:asciiTheme="majorHAnsi" w:hAnsiTheme="majorHAnsi" w:eastAsiaTheme="majorEastAsia" w:cstheme="majorBidi"/>
      <w:b/>
      <w:bCs/>
      <w:color w:val="376092" w:themeColor="accent1" w:themeShade="BF"/>
      <w:sz w:val="28"/>
      <w:szCs w:val="28"/>
    </w:rPr>
  </w:style>
  <w:style w:type="paragraph" w:styleId="4">
    <w:name w:val="heading 2"/>
    <w:basedOn w:val="1"/>
    <w:next w:val="1"/>
    <w:link w:val="142"/>
    <w:unhideWhenUsed/>
    <w:qFormat/>
    <w:uiPriority w:val="9"/>
    <w:pPr>
      <w:keepNext/>
      <w:keepLines/>
      <w:spacing w:before="200" w:after="0"/>
      <w:outlineLvl w:val="1"/>
    </w:pPr>
    <w:rPr>
      <w:rFonts w:asciiTheme="majorHAnsi" w:hAnsiTheme="majorHAnsi" w:eastAsiaTheme="majorEastAsia" w:cstheme="majorBidi"/>
      <w:b/>
      <w:bCs/>
      <w:color w:val="4F81BD" w:themeColor="accent1"/>
      <w:sz w:val="26"/>
      <w:szCs w:val="26"/>
      <w14:textFill>
        <w14:solidFill>
          <w14:schemeClr w14:val="accent1"/>
        </w14:solidFill>
      </w14:textFill>
    </w:rPr>
  </w:style>
  <w:style w:type="paragraph" w:styleId="5">
    <w:name w:val="heading 3"/>
    <w:basedOn w:val="1"/>
    <w:next w:val="1"/>
    <w:link w:val="143"/>
    <w:unhideWhenUsed/>
    <w:qFormat/>
    <w:uiPriority w:val="9"/>
    <w:pPr>
      <w:keepNext/>
      <w:keepLines/>
      <w:spacing w:before="200" w:after="0"/>
      <w:outlineLvl w:val="2"/>
    </w:pPr>
    <w:rPr>
      <w:rFonts w:asciiTheme="majorHAnsi" w:hAnsiTheme="majorHAnsi" w:eastAsiaTheme="majorEastAsia" w:cstheme="majorBidi"/>
      <w:b/>
      <w:bCs/>
      <w:color w:val="4F81BD" w:themeColor="accent1"/>
      <w14:textFill>
        <w14:solidFill>
          <w14:schemeClr w14:val="accent1"/>
        </w14:solidFill>
      </w14:textFill>
    </w:rPr>
  </w:style>
  <w:style w:type="paragraph" w:styleId="6">
    <w:name w:val="heading 4"/>
    <w:basedOn w:val="1"/>
    <w:next w:val="1"/>
    <w:link w:val="153"/>
    <w:semiHidden/>
    <w:unhideWhenUsed/>
    <w:qFormat/>
    <w:uiPriority w:val="9"/>
    <w:pPr>
      <w:keepNext/>
      <w:keepLines/>
      <w:spacing w:before="200" w:after="0"/>
      <w:outlineLvl w:val="3"/>
    </w:pPr>
    <w:rPr>
      <w:rFonts w:asciiTheme="majorHAnsi" w:hAnsiTheme="majorHAnsi" w:eastAsiaTheme="majorEastAsia" w:cstheme="majorBidi"/>
      <w:b/>
      <w:bCs/>
      <w:i/>
      <w:iCs/>
      <w:color w:val="4F81BD" w:themeColor="accent1"/>
      <w14:textFill>
        <w14:solidFill>
          <w14:schemeClr w14:val="accent1"/>
        </w14:solidFill>
      </w14:textFill>
    </w:rPr>
  </w:style>
  <w:style w:type="paragraph" w:styleId="7">
    <w:name w:val="heading 5"/>
    <w:basedOn w:val="1"/>
    <w:next w:val="1"/>
    <w:link w:val="154"/>
    <w:semiHidden/>
    <w:unhideWhenUsed/>
    <w:qFormat/>
    <w:uiPriority w:val="9"/>
    <w:pPr>
      <w:keepNext/>
      <w:keepLines/>
      <w:spacing w:before="200" w:after="0"/>
      <w:outlineLvl w:val="4"/>
    </w:pPr>
    <w:rPr>
      <w:rFonts w:asciiTheme="majorHAnsi" w:hAnsiTheme="majorHAnsi" w:eastAsiaTheme="majorEastAsia" w:cstheme="majorBidi"/>
      <w:color w:val="254061" w:themeColor="accent1" w:themeShade="80"/>
    </w:rPr>
  </w:style>
  <w:style w:type="paragraph" w:styleId="8">
    <w:name w:val="heading 6"/>
    <w:basedOn w:val="1"/>
    <w:next w:val="1"/>
    <w:link w:val="155"/>
    <w:semiHidden/>
    <w:unhideWhenUsed/>
    <w:qFormat/>
    <w:uiPriority w:val="9"/>
    <w:pPr>
      <w:keepNext/>
      <w:keepLines/>
      <w:spacing w:before="200" w:after="0"/>
      <w:outlineLvl w:val="5"/>
    </w:pPr>
    <w:rPr>
      <w:rFonts w:asciiTheme="majorHAnsi" w:hAnsiTheme="majorHAnsi" w:eastAsiaTheme="majorEastAsia" w:cstheme="majorBidi"/>
      <w:i/>
      <w:iCs/>
      <w:color w:val="254061" w:themeColor="accent1" w:themeShade="80"/>
    </w:rPr>
  </w:style>
  <w:style w:type="paragraph" w:styleId="9">
    <w:name w:val="heading 7"/>
    <w:basedOn w:val="1"/>
    <w:next w:val="1"/>
    <w:link w:val="156"/>
    <w:semiHidden/>
    <w:unhideWhenUsed/>
    <w:qFormat/>
    <w:uiPriority w:val="9"/>
    <w:pPr>
      <w:keepNext/>
      <w:keepLines/>
      <w:spacing w:before="200" w:after="0"/>
      <w:outlineLvl w:val="6"/>
    </w:pPr>
    <w:rPr>
      <w:rFonts w:asciiTheme="majorHAnsi" w:hAnsiTheme="majorHAnsi" w:eastAsiaTheme="majorEastAsia" w:cstheme="majorBidi"/>
      <w:i/>
      <w:iCs/>
      <w:color w:val="404040" w:themeColor="text1" w:themeTint="BF"/>
      <w14:textFill>
        <w14:solidFill>
          <w14:schemeClr w14:val="tx1">
            <w14:lumMod w14:val="75000"/>
            <w14:lumOff w14:val="25000"/>
          </w14:schemeClr>
        </w14:solidFill>
      </w14:textFill>
    </w:rPr>
  </w:style>
  <w:style w:type="paragraph" w:styleId="10">
    <w:name w:val="heading 8"/>
    <w:basedOn w:val="1"/>
    <w:next w:val="1"/>
    <w:link w:val="157"/>
    <w:semiHidden/>
    <w:unhideWhenUsed/>
    <w:qFormat/>
    <w:uiPriority w:val="9"/>
    <w:pPr>
      <w:keepNext/>
      <w:keepLines/>
      <w:spacing w:before="200" w:after="0"/>
      <w:outlineLvl w:val="7"/>
    </w:pPr>
    <w:rPr>
      <w:rFonts w:asciiTheme="majorHAnsi" w:hAnsiTheme="majorHAnsi" w:eastAsiaTheme="majorEastAsia" w:cstheme="majorBidi"/>
      <w:color w:val="4F81BD" w:themeColor="accent1"/>
      <w:sz w:val="20"/>
      <w:szCs w:val="20"/>
      <w14:textFill>
        <w14:solidFill>
          <w14:schemeClr w14:val="accent1"/>
        </w14:solidFill>
      </w14:textFill>
    </w:rPr>
  </w:style>
  <w:style w:type="paragraph" w:styleId="11">
    <w:name w:val="heading 9"/>
    <w:basedOn w:val="1"/>
    <w:next w:val="1"/>
    <w:link w:val="158"/>
    <w:semiHidden/>
    <w:unhideWhenUsed/>
    <w:qFormat/>
    <w:uiPriority w:val="9"/>
    <w:pPr>
      <w:keepNext/>
      <w:keepLines/>
      <w:spacing w:before="200" w:after="0"/>
      <w:outlineLvl w:val="8"/>
    </w:pPr>
    <w:rPr>
      <w:rFonts w:asciiTheme="majorHAnsi" w:hAnsiTheme="majorHAnsi" w:eastAsiaTheme="majorEastAsia" w:cstheme="majorBidi"/>
      <w:i/>
      <w:iCs/>
      <w:color w:val="404040" w:themeColor="text1" w:themeTint="BF"/>
      <w:sz w:val="20"/>
      <w:szCs w:val="20"/>
      <w14:textFill>
        <w14:solidFill>
          <w14:schemeClr w14:val="tx1">
            <w14:lumMod w14:val="75000"/>
            <w14:lumOff w14:val="25000"/>
          </w14:schemeClr>
        </w14:solidFill>
      </w14:textFill>
    </w:rPr>
  </w:style>
  <w:style w:type="character" w:default="1" w:styleId="135">
    <w:name w:val="Default Paragraph Font"/>
    <w:semiHidden/>
    <w:unhideWhenUsed/>
    <w:uiPriority w:val="1"/>
  </w:style>
  <w:style w:type="table" w:default="1" w:styleId="35">
    <w:name w:val="Normal Table"/>
    <w:semiHidden/>
    <w:unhideWhenUsed/>
    <w:uiPriority w:val="99"/>
    <w:tblPr>
      <w:tblCellMar>
        <w:top w:w="0" w:type="dxa"/>
        <w:left w:w="108" w:type="dxa"/>
        <w:bottom w:w="0" w:type="dxa"/>
        <w:right w:w="108" w:type="dxa"/>
      </w:tblCellMar>
    </w:tblPr>
  </w:style>
  <w:style w:type="paragraph" w:styleId="2">
    <w:name w:val="macro"/>
    <w:link w:val="150"/>
    <w:unhideWhenUsed/>
    <w:uiPriority w:val="99"/>
    <w:pPr>
      <w:tabs>
        <w:tab w:val="left" w:pos="576"/>
        <w:tab w:val="left" w:pos="1152"/>
        <w:tab w:val="left" w:pos="1728"/>
        <w:tab w:val="left" w:pos="2304"/>
        <w:tab w:val="left" w:pos="2880"/>
        <w:tab w:val="left" w:pos="3456"/>
        <w:tab w:val="left" w:pos="4032"/>
      </w:tabs>
      <w:spacing w:after="200" w:line="276" w:lineRule="auto"/>
    </w:pPr>
    <w:rPr>
      <w:rFonts w:ascii="Courier" w:hAnsi="Courier" w:eastAsiaTheme="minorEastAsia" w:cstheme="minorBidi"/>
      <w:sz w:val="20"/>
      <w:szCs w:val="20"/>
      <w:lang w:val="en-US" w:eastAsia="en-US" w:bidi="ar-SA"/>
    </w:rPr>
  </w:style>
  <w:style w:type="paragraph" w:styleId="12">
    <w:name w:val="List 3"/>
    <w:basedOn w:val="1"/>
    <w:unhideWhenUsed/>
    <w:uiPriority w:val="99"/>
    <w:pPr>
      <w:ind w:left="1080" w:hanging="360"/>
      <w:contextualSpacing/>
    </w:pPr>
  </w:style>
  <w:style w:type="paragraph" w:styleId="13">
    <w:name w:val="List Number 2"/>
    <w:basedOn w:val="1"/>
    <w:unhideWhenUsed/>
    <w:uiPriority w:val="99"/>
    <w:pPr>
      <w:numPr>
        <w:ilvl w:val="0"/>
        <w:numId w:val="1"/>
      </w:numPr>
      <w:contextualSpacing/>
    </w:pPr>
  </w:style>
  <w:style w:type="paragraph" w:styleId="14">
    <w:name w:val="List Number"/>
    <w:basedOn w:val="1"/>
    <w:unhideWhenUsed/>
    <w:uiPriority w:val="99"/>
    <w:pPr>
      <w:numPr>
        <w:ilvl w:val="0"/>
        <w:numId w:val="2"/>
      </w:numPr>
      <w:contextualSpacing/>
    </w:pPr>
  </w:style>
  <w:style w:type="paragraph" w:styleId="15">
    <w:name w:val="caption"/>
    <w:basedOn w:val="1"/>
    <w:next w:val="1"/>
    <w:semiHidden/>
    <w:unhideWhenUsed/>
    <w:qFormat/>
    <w:uiPriority w:val="35"/>
    <w:pPr>
      <w:spacing w:line="240" w:lineRule="auto"/>
    </w:pPr>
    <w:rPr>
      <w:b/>
      <w:bCs/>
      <w:color w:val="4F81BD" w:themeColor="accent1"/>
      <w:sz w:val="18"/>
      <w:szCs w:val="18"/>
      <w14:textFill>
        <w14:solidFill>
          <w14:schemeClr w14:val="accent1"/>
        </w14:solidFill>
      </w14:textFill>
    </w:rPr>
  </w:style>
  <w:style w:type="paragraph" w:styleId="16">
    <w:name w:val="List Bullet"/>
    <w:basedOn w:val="1"/>
    <w:unhideWhenUsed/>
    <w:uiPriority w:val="99"/>
    <w:pPr>
      <w:numPr>
        <w:ilvl w:val="0"/>
        <w:numId w:val="3"/>
      </w:numPr>
      <w:contextualSpacing/>
    </w:pPr>
  </w:style>
  <w:style w:type="paragraph" w:styleId="17">
    <w:name w:val="Body Text 3"/>
    <w:basedOn w:val="1"/>
    <w:link w:val="149"/>
    <w:unhideWhenUsed/>
    <w:uiPriority w:val="99"/>
    <w:pPr>
      <w:spacing w:after="120"/>
    </w:pPr>
    <w:rPr>
      <w:sz w:val="16"/>
      <w:szCs w:val="16"/>
    </w:rPr>
  </w:style>
  <w:style w:type="paragraph" w:styleId="18">
    <w:name w:val="List Bullet 3"/>
    <w:basedOn w:val="1"/>
    <w:unhideWhenUsed/>
    <w:uiPriority w:val="99"/>
    <w:pPr>
      <w:numPr>
        <w:ilvl w:val="0"/>
        <w:numId w:val="4"/>
      </w:numPr>
      <w:contextualSpacing/>
    </w:pPr>
  </w:style>
  <w:style w:type="paragraph" w:styleId="19">
    <w:name w:val="Body Text"/>
    <w:basedOn w:val="1"/>
    <w:link w:val="147"/>
    <w:unhideWhenUsed/>
    <w:uiPriority w:val="99"/>
    <w:pPr>
      <w:spacing w:after="120"/>
    </w:pPr>
  </w:style>
  <w:style w:type="paragraph" w:styleId="20">
    <w:name w:val="List Number 3"/>
    <w:basedOn w:val="1"/>
    <w:unhideWhenUsed/>
    <w:uiPriority w:val="99"/>
    <w:pPr>
      <w:numPr>
        <w:ilvl w:val="0"/>
        <w:numId w:val="5"/>
      </w:numPr>
      <w:contextualSpacing/>
    </w:pPr>
  </w:style>
  <w:style w:type="paragraph" w:styleId="21">
    <w:name w:val="List 2"/>
    <w:basedOn w:val="1"/>
    <w:unhideWhenUsed/>
    <w:uiPriority w:val="99"/>
    <w:pPr>
      <w:ind w:left="720" w:hanging="360"/>
      <w:contextualSpacing/>
    </w:pPr>
  </w:style>
  <w:style w:type="paragraph" w:styleId="22">
    <w:name w:val="List Continue"/>
    <w:basedOn w:val="1"/>
    <w:unhideWhenUsed/>
    <w:uiPriority w:val="99"/>
    <w:pPr>
      <w:spacing w:after="120"/>
      <w:ind w:left="360"/>
      <w:contextualSpacing/>
    </w:pPr>
  </w:style>
  <w:style w:type="paragraph" w:styleId="23">
    <w:name w:val="List Bullet 2"/>
    <w:basedOn w:val="1"/>
    <w:unhideWhenUsed/>
    <w:uiPriority w:val="99"/>
    <w:pPr>
      <w:numPr>
        <w:ilvl w:val="0"/>
        <w:numId w:val="6"/>
      </w:numPr>
      <w:contextualSpacing/>
    </w:pPr>
  </w:style>
  <w:style w:type="paragraph" w:styleId="24">
    <w:name w:val="toc 3"/>
    <w:basedOn w:val="1"/>
    <w:next w:val="1"/>
    <w:semiHidden/>
    <w:unhideWhenUsed/>
    <w:uiPriority w:val="39"/>
    <w:pPr>
      <w:ind w:left="840" w:leftChars="400"/>
    </w:pPr>
  </w:style>
  <w:style w:type="paragraph" w:styleId="25">
    <w:name w:val="footer"/>
    <w:basedOn w:val="1"/>
    <w:link w:val="139"/>
    <w:unhideWhenUsed/>
    <w:uiPriority w:val="99"/>
    <w:pPr>
      <w:tabs>
        <w:tab w:val="center" w:pos="4680"/>
        <w:tab w:val="right" w:pos="9360"/>
      </w:tabs>
      <w:spacing w:after="0" w:line="240" w:lineRule="auto"/>
    </w:pPr>
  </w:style>
  <w:style w:type="paragraph" w:styleId="26">
    <w:name w:val="header"/>
    <w:basedOn w:val="1"/>
    <w:link w:val="138"/>
    <w:unhideWhenUsed/>
    <w:uiPriority w:val="99"/>
    <w:pPr>
      <w:tabs>
        <w:tab w:val="center" w:pos="4680"/>
        <w:tab w:val="right" w:pos="9360"/>
      </w:tabs>
      <w:spacing w:after="0" w:line="240" w:lineRule="auto"/>
    </w:pPr>
  </w:style>
  <w:style w:type="paragraph" w:styleId="27">
    <w:name w:val="toc 1"/>
    <w:basedOn w:val="1"/>
    <w:next w:val="1"/>
    <w:semiHidden/>
    <w:unhideWhenUsed/>
    <w:uiPriority w:val="39"/>
  </w:style>
  <w:style w:type="paragraph" w:styleId="28">
    <w:name w:val="Subtitle"/>
    <w:basedOn w:val="1"/>
    <w:next w:val="1"/>
    <w:link w:val="145"/>
    <w:qFormat/>
    <w:uiPriority w:val="11"/>
    <w:rPr>
      <w:rFonts w:asciiTheme="majorHAnsi" w:hAnsiTheme="majorHAnsi" w:eastAsiaTheme="majorEastAsia" w:cstheme="majorBidi"/>
      <w:i/>
      <w:iCs/>
      <w:color w:val="4F81BD" w:themeColor="accent1"/>
      <w:spacing w:val="15"/>
      <w:sz w:val="24"/>
      <w:szCs w:val="24"/>
      <w14:textFill>
        <w14:solidFill>
          <w14:schemeClr w14:val="accent1"/>
        </w14:solidFill>
      </w14:textFill>
    </w:rPr>
  </w:style>
  <w:style w:type="paragraph" w:styleId="29">
    <w:name w:val="List"/>
    <w:basedOn w:val="1"/>
    <w:unhideWhenUsed/>
    <w:uiPriority w:val="99"/>
    <w:pPr>
      <w:ind w:left="360" w:hanging="360"/>
      <w:contextualSpacing/>
    </w:pPr>
  </w:style>
  <w:style w:type="paragraph" w:styleId="30">
    <w:name w:val="toc 2"/>
    <w:basedOn w:val="1"/>
    <w:next w:val="1"/>
    <w:semiHidden/>
    <w:unhideWhenUsed/>
    <w:uiPriority w:val="39"/>
    <w:pPr>
      <w:ind w:left="420" w:leftChars="200"/>
    </w:pPr>
  </w:style>
  <w:style w:type="paragraph" w:styleId="31">
    <w:name w:val="Body Text 2"/>
    <w:basedOn w:val="1"/>
    <w:link w:val="148"/>
    <w:unhideWhenUsed/>
    <w:uiPriority w:val="99"/>
    <w:pPr>
      <w:spacing w:after="120" w:line="480" w:lineRule="auto"/>
    </w:pPr>
  </w:style>
  <w:style w:type="paragraph" w:styleId="32">
    <w:name w:val="List Continue 2"/>
    <w:basedOn w:val="1"/>
    <w:unhideWhenUsed/>
    <w:uiPriority w:val="99"/>
    <w:pPr>
      <w:spacing w:after="120"/>
      <w:ind w:left="720"/>
      <w:contextualSpacing/>
    </w:pPr>
  </w:style>
  <w:style w:type="paragraph" w:styleId="33">
    <w:name w:val="List Continue 3"/>
    <w:basedOn w:val="1"/>
    <w:unhideWhenUsed/>
    <w:uiPriority w:val="99"/>
    <w:pPr>
      <w:spacing w:after="120"/>
      <w:ind w:left="1080"/>
      <w:contextualSpacing/>
    </w:pPr>
  </w:style>
  <w:style w:type="paragraph" w:styleId="34">
    <w:name w:val="Title"/>
    <w:basedOn w:val="1"/>
    <w:next w:val="1"/>
    <w:link w:val="144"/>
    <w:qFormat/>
    <w:uiPriority w:val="10"/>
    <w:pPr>
      <w:pBdr>
        <w:bottom w:val="single" w:color="4F81BD" w:themeColor="accent1" w:sz="8" w:space="4"/>
      </w:pBdr>
      <w:spacing w:after="300" w:line="240" w:lineRule="auto"/>
      <w:contextualSpacing/>
    </w:pPr>
    <w:rPr>
      <w:rFonts w:asciiTheme="majorHAnsi" w:hAnsiTheme="majorHAnsi" w:eastAsiaTheme="majorEastAsia" w:cstheme="majorBidi"/>
      <w:color w:val="17375E" w:themeColor="text2" w:themeShade="BF"/>
      <w:spacing w:val="5"/>
      <w:kern w:val="28"/>
      <w:sz w:val="52"/>
      <w:szCs w:val="52"/>
    </w:rPr>
  </w:style>
  <w:style w:type="table" w:styleId="36">
    <w:name w:val="Table Grid"/>
    <w:basedOn w:val="35"/>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37">
    <w:name w:val="Light Shading"/>
    <w:basedOn w:val="35"/>
    <w:uiPriority w:val="60"/>
    <w:pPr>
      <w:spacing w:after="0" w:line="240" w:lineRule="auto"/>
    </w:pPr>
    <w:rPr>
      <w:color w:val="000000" w:themeColor="text1" w:themeShade="BF"/>
    </w:rPr>
    <w:tblPr>
      <w:tblBorders>
        <w:top w:val="single" w:color="000000" w:themeColor="text1" w:sz="8" w:space="0"/>
        <w:bottom w:val="single" w:color="000000" w:themeColor="text1"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FBFBF" w:themeFill="text1" w:themeFillTint="3F"/>
      </w:tcPr>
    </w:tblStylePr>
    <w:tblStylePr w:type="band1Horz">
      <w:tblPr/>
      <w:tcPr>
        <w:tcBorders>
          <w:left w:val="nil"/>
          <w:right w:val="nil"/>
          <w:insideH w:val="nil"/>
          <w:insideV w:val="nil"/>
        </w:tcBorders>
        <w:shd w:val="clear" w:color="auto" w:fill="BFBFBF" w:themeFill="text1" w:themeFillTint="3F"/>
      </w:tcPr>
    </w:tblStylePr>
  </w:style>
  <w:style w:type="table" w:styleId="38">
    <w:name w:val="Light Shading Accent 1"/>
    <w:basedOn w:val="35"/>
    <w:uiPriority w:val="60"/>
    <w:pPr>
      <w:spacing w:after="0" w:line="240" w:lineRule="auto"/>
    </w:pPr>
    <w:rPr>
      <w:color w:val="376092" w:themeColor="accent1" w:themeShade="BF"/>
    </w:rPr>
    <w:tblPr>
      <w:tblBorders>
        <w:top w:val="single" w:color="4F81BD" w:themeColor="accent1" w:sz="8" w:space="0"/>
        <w:bottom w:val="single" w:color="4F81BD" w:themeColor="accent1"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la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39">
    <w:name w:val="Light Shading Accent 2"/>
    <w:basedOn w:val="35"/>
    <w:uiPriority w:val="60"/>
    <w:pPr>
      <w:spacing w:after="0" w:line="240" w:lineRule="auto"/>
    </w:pPr>
    <w:rPr>
      <w:color w:val="953735" w:themeColor="accent2" w:themeShade="BF"/>
    </w:rPr>
    <w:tblPr>
      <w:tblBorders>
        <w:top w:val="single" w:color="C0504D" w:themeColor="accent2" w:sz="8" w:space="0"/>
        <w:bottom w:val="single" w:color="C0504D" w:themeColor="accent2"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la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3" w:themeFill="accent2" w:themeFillTint="3F"/>
      </w:tcPr>
    </w:tblStylePr>
    <w:tblStylePr w:type="band1Horz">
      <w:tblPr/>
      <w:tcPr>
        <w:tcBorders>
          <w:left w:val="nil"/>
          <w:right w:val="nil"/>
          <w:insideH w:val="nil"/>
          <w:insideV w:val="nil"/>
        </w:tcBorders>
        <w:shd w:val="clear" w:color="auto" w:fill="EFD3D3" w:themeFill="accent2" w:themeFillTint="3F"/>
      </w:tcPr>
    </w:tblStylePr>
  </w:style>
  <w:style w:type="table" w:styleId="40">
    <w:name w:val="Light Shading Accent 3"/>
    <w:basedOn w:val="35"/>
    <w:uiPriority w:val="60"/>
    <w:pPr>
      <w:spacing w:after="0" w:line="240" w:lineRule="auto"/>
    </w:pPr>
    <w:rPr>
      <w:color w:val="77933C" w:themeColor="accent3" w:themeShade="BF"/>
    </w:rPr>
    <w:tblPr>
      <w:tblBorders>
        <w:top w:val="single" w:color="9BBB59" w:themeColor="accent3" w:sz="8" w:space="0"/>
        <w:bottom w:val="single" w:color="9BBB59" w:themeColor="accent3"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la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1">
    <w:name w:val="Light Shading Accent 4"/>
    <w:basedOn w:val="35"/>
    <w:uiPriority w:val="60"/>
    <w:pPr>
      <w:spacing w:after="0" w:line="240" w:lineRule="auto"/>
    </w:pPr>
    <w:rPr>
      <w:color w:val="604A7B" w:themeColor="accent4" w:themeShade="BF"/>
    </w:rPr>
    <w:tblPr>
      <w:tblBorders>
        <w:top w:val="single" w:color="8064A2" w:themeColor="accent4" w:sz="8" w:space="0"/>
        <w:bottom w:val="single" w:color="8064A2" w:themeColor="accent4"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la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42">
    <w:name w:val="Light Shading Accent 5"/>
    <w:basedOn w:val="35"/>
    <w:uiPriority w:val="60"/>
    <w:pPr>
      <w:spacing w:after="0" w:line="240" w:lineRule="auto"/>
    </w:pPr>
    <w:rPr>
      <w:color w:val="31859C" w:themeColor="accent5" w:themeShade="BF"/>
    </w:rPr>
    <w:tblPr>
      <w:tblBorders>
        <w:top w:val="single" w:color="4BACC6" w:themeColor="accent5" w:sz="8" w:space="0"/>
        <w:bottom w:val="single" w:color="4BACC6" w:themeColor="accent5"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la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0" w:themeFill="accent5" w:themeFillTint="3F"/>
      </w:tcPr>
    </w:tblStylePr>
    <w:tblStylePr w:type="band1Horz">
      <w:tblPr/>
      <w:tcPr>
        <w:tcBorders>
          <w:left w:val="nil"/>
          <w:right w:val="nil"/>
          <w:insideH w:val="nil"/>
          <w:insideV w:val="nil"/>
        </w:tcBorders>
        <w:shd w:val="clear" w:color="auto" w:fill="D2EAF0" w:themeFill="accent5" w:themeFillTint="3F"/>
      </w:tcPr>
    </w:tblStylePr>
  </w:style>
  <w:style w:type="table" w:styleId="43">
    <w:name w:val="Light Shading Accent 6"/>
    <w:basedOn w:val="35"/>
    <w:uiPriority w:val="60"/>
    <w:pPr>
      <w:spacing w:after="0" w:line="240" w:lineRule="auto"/>
    </w:pPr>
    <w:rPr>
      <w:color w:val="E46C0A" w:themeColor="accent6" w:themeShade="BF"/>
    </w:rPr>
    <w:tblPr>
      <w:tblBorders>
        <w:top w:val="single" w:color="F79646" w:themeColor="accent6" w:sz="8" w:space="0"/>
        <w:bottom w:val="single" w:color="F79646" w:themeColor="accent6"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la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5D1" w:themeFill="accent6" w:themeFillTint="3F"/>
      </w:tcPr>
    </w:tblStylePr>
    <w:tblStylePr w:type="band1Horz">
      <w:tblPr/>
      <w:tcPr>
        <w:tcBorders>
          <w:left w:val="nil"/>
          <w:right w:val="nil"/>
          <w:insideH w:val="nil"/>
          <w:insideV w:val="nil"/>
        </w:tcBorders>
        <w:shd w:val="clear" w:color="auto" w:fill="FDE5D1" w:themeFill="accent6" w:themeFillTint="3F"/>
      </w:tcPr>
    </w:tblStylePr>
  </w:style>
  <w:style w:type="table" w:styleId="44">
    <w:name w:val="Light List"/>
    <w:basedOn w:val="35"/>
    <w:uiPriority w:val="61"/>
    <w:pPr>
      <w:spacing w:after="0" w:line="240" w:lineRule="auto"/>
    </w:pPr>
    <w:tblPr>
      <w:tblBorders>
        <w:top w:val="single" w:color="000000" w:themeColor="text1" w:sz="8" w:space="0"/>
        <w:left w:val="single" w:color="000000" w:themeColor="text1" w:sz="8" w:space="0"/>
        <w:bottom w:val="single" w:color="000000" w:themeColor="text1" w:sz="8" w:space="0"/>
        <w:right w:val="single" w:color="000000" w:themeColor="text1"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000000" w:themeFill="text1"/>
      </w:tcPr>
    </w:tblStylePr>
    <w:tblStylePr w:type="lastRow">
      <w:pPr>
        <w:spacing w:before="0" w:after="0" w:line="240" w:lineRule="auto"/>
      </w:pPr>
      <w:rPr>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tcBorders>
      </w:tcPr>
    </w:tblStylePr>
    <w:tblStylePr w:type="firstCol">
      <w:rPr>
        <w:b/>
        <w:bCs/>
      </w:rPr>
    </w:tblStylePr>
    <w:tblStylePr w:type="lastCol">
      <w:rPr>
        <w:b/>
        <w:bCs/>
      </w:r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style>
  <w:style w:type="table" w:styleId="45">
    <w:name w:val="Light List Accent 1"/>
    <w:basedOn w:val="35"/>
    <w:uiPriority w:val="61"/>
    <w:pPr>
      <w:spacing w:after="0" w:line="240" w:lineRule="auto"/>
    </w:pPr>
    <w:tblPr>
      <w:tblBorders>
        <w:top w:val="single" w:color="4F81BD" w:themeColor="accent1" w:sz="8" w:space="0"/>
        <w:left w:val="single" w:color="4F81BD" w:themeColor="accent1" w:sz="8" w:space="0"/>
        <w:bottom w:val="single" w:color="4F81BD" w:themeColor="accent1" w:sz="8" w:space="0"/>
        <w:right w:val="single" w:color="4F81BD" w:themeColor="accent1"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4F81BD" w:themeFill="accent1"/>
      </w:tcPr>
    </w:tblStylePr>
    <w:tblStylePr w:type="lastRow">
      <w:pPr>
        <w:spacing w:before="0" w:after="0" w:line="240" w:lineRule="auto"/>
      </w:pPr>
      <w:rPr>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tcBorders>
      </w:tcPr>
    </w:tblStylePr>
    <w:tblStylePr w:type="firstCol">
      <w:rPr>
        <w:b/>
        <w:bCs/>
      </w:rPr>
    </w:tblStylePr>
    <w:tblStylePr w:type="lastCol">
      <w:rPr>
        <w:b/>
        <w:bCs/>
      </w:r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style>
  <w:style w:type="table" w:styleId="46">
    <w:name w:val="Light List Accent 2"/>
    <w:basedOn w:val="35"/>
    <w:uiPriority w:val="61"/>
    <w:pPr>
      <w:spacing w:after="0" w:line="240" w:lineRule="auto"/>
    </w:pPr>
    <w:tblPr>
      <w:tblBorders>
        <w:top w:val="single" w:color="C0504D" w:themeColor="accent2" w:sz="8" w:space="0"/>
        <w:left w:val="single" w:color="C0504D" w:themeColor="accent2" w:sz="8" w:space="0"/>
        <w:bottom w:val="single" w:color="C0504D" w:themeColor="accent2" w:sz="8" w:space="0"/>
        <w:right w:val="single" w:color="C0504D" w:themeColor="accent2"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C0504D" w:themeFill="accent2"/>
      </w:tcPr>
    </w:tblStylePr>
    <w:tblStylePr w:type="lastRow">
      <w:pPr>
        <w:spacing w:before="0" w:after="0" w:line="240" w:lineRule="auto"/>
      </w:pPr>
      <w:rPr>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tcBorders>
      </w:tcPr>
    </w:tblStylePr>
    <w:tblStylePr w:type="firstCol">
      <w:rPr>
        <w:b/>
        <w:bCs/>
      </w:rPr>
    </w:tblStylePr>
    <w:tblStylePr w:type="lastCol">
      <w:rPr>
        <w:b/>
        <w:bCs/>
      </w:r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style>
  <w:style w:type="table" w:styleId="47">
    <w:name w:val="Light List Accent 3"/>
    <w:basedOn w:val="35"/>
    <w:uiPriority w:val="61"/>
    <w:pPr>
      <w:spacing w:after="0" w:line="240" w:lineRule="auto"/>
    </w:pPr>
    <w:tblPr>
      <w:tblBorders>
        <w:top w:val="single" w:color="9BBB59" w:themeColor="accent3" w:sz="8" w:space="0"/>
        <w:left w:val="single" w:color="9BBB59" w:themeColor="accent3" w:sz="8" w:space="0"/>
        <w:bottom w:val="single" w:color="9BBB59" w:themeColor="accent3" w:sz="8" w:space="0"/>
        <w:right w:val="single" w:color="9BBB59" w:themeColor="accent3"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9BBB59" w:themeFill="accent3"/>
      </w:tcPr>
    </w:tblStylePr>
    <w:tblStylePr w:type="lastRow">
      <w:pPr>
        <w:spacing w:before="0" w:after="0" w:line="240" w:lineRule="auto"/>
      </w:pPr>
      <w:rPr>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tcBorders>
      </w:tcPr>
    </w:tblStylePr>
    <w:tblStylePr w:type="firstCol">
      <w:rPr>
        <w:b/>
        <w:bCs/>
      </w:rPr>
    </w:tblStylePr>
    <w:tblStylePr w:type="lastCol">
      <w:rPr>
        <w:b/>
        <w:bCs/>
      </w:r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style>
  <w:style w:type="table" w:styleId="48">
    <w:name w:val="Light List Accent 4"/>
    <w:basedOn w:val="35"/>
    <w:uiPriority w:val="61"/>
    <w:pPr>
      <w:spacing w:after="0" w:line="240" w:lineRule="auto"/>
    </w:pPr>
    <w:tblPr>
      <w:tblBorders>
        <w:top w:val="single" w:color="8064A2" w:themeColor="accent4" w:sz="8" w:space="0"/>
        <w:left w:val="single" w:color="8064A2" w:themeColor="accent4" w:sz="8" w:space="0"/>
        <w:bottom w:val="single" w:color="8064A2" w:themeColor="accent4" w:sz="8" w:space="0"/>
        <w:right w:val="single" w:color="8064A2" w:themeColor="accent4"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8064A2" w:themeFill="accent4"/>
      </w:tcPr>
    </w:tblStylePr>
    <w:tblStylePr w:type="lastRow">
      <w:pPr>
        <w:spacing w:before="0" w:after="0" w:line="240" w:lineRule="auto"/>
      </w:pPr>
      <w:rPr>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tcBorders>
      </w:tcPr>
    </w:tblStylePr>
    <w:tblStylePr w:type="firstCol">
      <w:rPr>
        <w:b/>
        <w:bCs/>
      </w:rPr>
    </w:tblStylePr>
    <w:tblStylePr w:type="lastCol">
      <w:rPr>
        <w:b/>
        <w:bCs/>
      </w:r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style>
  <w:style w:type="table" w:styleId="49">
    <w:name w:val="Light List Accent 5"/>
    <w:basedOn w:val="35"/>
    <w:uiPriority w:val="61"/>
    <w:pPr>
      <w:spacing w:after="0" w:line="240" w:lineRule="auto"/>
    </w:pPr>
    <w:tblPr>
      <w:tblBorders>
        <w:top w:val="single" w:color="4BACC6" w:themeColor="accent5" w:sz="8" w:space="0"/>
        <w:left w:val="single" w:color="4BACC6" w:themeColor="accent5" w:sz="8" w:space="0"/>
        <w:bottom w:val="single" w:color="4BACC6" w:themeColor="accent5" w:sz="8" w:space="0"/>
        <w:right w:val="single" w:color="4BACC6" w:themeColor="accent5"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4BACC6" w:themeFill="accent5"/>
      </w:tcPr>
    </w:tblStylePr>
    <w:tblStylePr w:type="lastRow">
      <w:pPr>
        <w:spacing w:before="0" w:after="0" w:line="240" w:lineRule="auto"/>
      </w:pPr>
      <w:rPr>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tcBorders>
      </w:tcPr>
    </w:tblStylePr>
    <w:tblStylePr w:type="firstCol">
      <w:rPr>
        <w:b/>
        <w:bCs/>
      </w:rPr>
    </w:tblStylePr>
    <w:tblStylePr w:type="lastCol">
      <w:rPr>
        <w:b/>
        <w:bCs/>
      </w:r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style>
  <w:style w:type="table" w:styleId="50">
    <w:name w:val="Light List Accent 6"/>
    <w:basedOn w:val="35"/>
    <w:uiPriority w:val="61"/>
    <w:pPr>
      <w:spacing w:after="0" w:line="240" w:lineRule="auto"/>
    </w:pPr>
    <w:tblPr>
      <w:tblBorders>
        <w:top w:val="single" w:color="F79646" w:themeColor="accent6" w:sz="8" w:space="0"/>
        <w:left w:val="single" w:color="F79646" w:themeColor="accent6" w:sz="8" w:space="0"/>
        <w:bottom w:val="single" w:color="F79646" w:themeColor="accent6" w:sz="8" w:space="0"/>
        <w:right w:val="single" w:color="F79646" w:themeColor="accent6"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F79646" w:themeFill="accent6"/>
      </w:tcPr>
    </w:tblStylePr>
    <w:tblStylePr w:type="lastRow">
      <w:pPr>
        <w:spacing w:before="0" w:after="0" w:line="240" w:lineRule="auto"/>
      </w:pPr>
      <w:rPr>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tcBorders>
      </w:tcPr>
    </w:tblStylePr>
    <w:tblStylePr w:type="firstCol">
      <w:rPr>
        <w:b/>
        <w:bCs/>
      </w:rPr>
    </w:tblStylePr>
    <w:tblStylePr w:type="lastCol">
      <w:rPr>
        <w:b/>
        <w:bCs/>
      </w:r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style>
  <w:style w:type="table" w:styleId="51">
    <w:name w:val="Light Grid"/>
    <w:basedOn w:val="35"/>
    <w:uiPriority w:val="62"/>
    <w:pPr>
      <w:spacing w:after="0" w:line="240" w:lineRule="auto"/>
    </w:pPr>
    <w:tblPr>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18" w:space="0"/>
          <w:right w:val="single" w:color="000000" w:themeColor="text1"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BFBFBF" w:themeFill="text1" w:themeFillTint="3F"/>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sz="8" w:space="0"/>
        </w:tcBorders>
        <w:shd w:val="clear" w:color="auto" w:fill="BFBFBF" w:themeFill="text1" w:themeFillTint="3F"/>
      </w:tcPr>
    </w:tblStylePr>
    <w:tblStylePr w:type="band2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sz="8" w:space="0"/>
        </w:tcBorders>
      </w:tcPr>
    </w:tblStylePr>
  </w:style>
  <w:style w:type="table" w:styleId="52">
    <w:name w:val="Light Grid Accent 1"/>
    <w:basedOn w:val="35"/>
    <w:uiPriority w:val="62"/>
    <w:pPr>
      <w:spacing w:after="0" w:line="240" w:lineRule="auto"/>
    </w:pPr>
    <w:tblPr>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18" w:space="0"/>
          <w:right w:val="single" w:color="4F81BD" w:themeColor="accent1"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shd w:val="clear" w:color="auto" w:fill="D3DFEE" w:themeFill="accent1" w:themeFillTint="3F"/>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sz="8" w:space="0"/>
        </w:tcBorders>
        <w:shd w:val="clear" w:color="auto" w:fill="D3DFEE" w:themeFill="accent1" w:themeFillTint="3F"/>
      </w:tcPr>
    </w:tblStylePr>
    <w:tblStylePr w:type="band2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sz="8" w:space="0"/>
        </w:tcBorders>
      </w:tcPr>
    </w:tblStylePr>
  </w:style>
  <w:style w:type="table" w:styleId="53">
    <w:name w:val="Light Grid Accent 2"/>
    <w:basedOn w:val="35"/>
    <w:uiPriority w:val="62"/>
    <w:pPr>
      <w:spacing w:after="0" w:line="240" w:lineRule="auto"/>
    </w:pPr>
    <w:tblPr>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18" w:space="0"/>
          <w:right w:val="single" w:color="C0504D" w:themeColor="accent2"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shd w:val="clear" w:color="auto" w:fill="EFD3D3" w:themeFill="accent2" w:themeFillTint="3F"/>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sz="8" w:space="0"/>
        </w:tcBorders>
        <w:shd w:val="clear" w:color="auto" w:fill="EFD3D3" w:themeFill="accent2" w:themeFillTint="3F"/>
      </w:tcPr>
    </w:tblStylePr>
    <w:tblStylePr w:type="band2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sz="8" w:space="0"/>
        </w:tcBorders>
      </w:tcPr>
    </w:tblStylePr>
  </w:style>
  <w:style w:type="table" w:styleId="54">
    <w:name w:val="Light Grid Accent 3"/>
    <w:basedOn w:val="35"/>
    <w:uiPriority w:val="62"/>
    <w:pPr>
      <w:spacing w:after="0" w:line="240" w:lineRule="auto"/>
    </w:pPr>
    <w:tblPr>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18" w:space="0"/>
          <w:right w:val="single" w:color="9BBB59" w:themeColor="accent3"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shd w:val="clear" w:color="auto" w:fill="E6EED5" w:themeFill="accent3" w:themeFillTint="3F"/>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sz="8" w:space="0"/>
        </w:tcBorders>
        <w:shd w:val="clear" w:color="auto" w:fill="E6EED5" w:themeFill="accent3" w:themeFillTint="3F"/>
      </w:tcPr>
    </w:tblStylePr>
    <w:tblStylePr w:type="band2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sz="8" w:space="0"/>
        </w:tcBorders>
      </w:tcPr>
    </w:tblStylePr>
  </w:style>
  <w:style w:type="table" w:styleId="55">
    <w:name w:val="Light Grid Accent 4"/>
    <w:basedOn w:val="35"/>
    <w:uiPriority w:val="62"/>
    <w:pPr>
      <w:spacing w:after="0" w:line="240" w:lineRule="auto"/>
    </w:pPr>
    <w:tblPr>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18" w:space="0"/>
          <w:right w:val="single" w:color="8064A2" w:themeColor="accent4"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shd w:val="clear" w:color="auto" w:fill="DFD8E8" w:themeFill="accent4" w:themeFillTint="3F"/>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sz="8" w:space="0"/>
        </w:tcBorders>
        <w:shd w:val="clear" w:color="auto" w:fill="DFD8E8" w:themeFill="accent4" w:themeFillTint="3F"/>
      </w:tcPr>
    </w:tblStylePr>
    <w:tblStylePr w:type="band2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sz="8" w:space="0"/>
        </w:tcBorders>
      </w:tcPr>
    </w:tblStylePr>
  </w:style>
  <w:style w:type="table" w:styleId="56">
    <w:name w:val="Light Grid Accent 5"/>
    <w:basedOn w:val="35"/>
    <w:uiPriority w:val="62"/>
    <w:pPr>
      <w:spacing w:after="0" w:line="240" w:lineRule="auto"/>
    </w:pPr>
    <w:tblPr>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18" w:space="0"/>
          <w:right w:val="single" w:color="4BACC6" w:themeColor="accent5"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shd w:val="clear" w:color="auto" w:fill="D2EAF0" w:themeFill="accent5" w:themeFillTint="3F"/>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sz="8" w:space="0"/>
        </w:tcBorders>
        <w:shd w:val="clear" w:color="auto" w:fill="D2EAF0" w:themeFill="accent5" w:themeFillTint="3F"/>
      </w:tcPr>
    </w:tblStylePr>
    <w:tblStylePr w:type="band2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sz="8" w:space="0"/>
        </w:tcBorders>
      </w:tcPr>
    </w:tblStylePr>
  </w:style>
  <w:style w:type="table" w:styleId="57">
    <w:name w:val="Light Grid Accent 6"/>
    <w:basedOn w:val="35"/>
    <w:uiPriority w:val="62"/>
    <w:pPr>
      <w:spacing w:after="0" w:line="240" w:lineRule="auto"/>
    </w:pPr>
    <w:tblPr>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18" w:space="0"/>
          <w:right w:val="single" w:color="F79646" w:themeColor="accent6"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shd w:val="clear" w:color="auto" w:fill="FDE5D1" w:themeFill="accent6" w:themeFillTint="3F"/>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sz="8" w:space="0"/>
        </w:tcBorders>
        <w:shd w:val="clear" w:color="auto" w:fill="FDE5D1" w:themeFill="accent6" w:themeFillTint="3F"/>
      </w:tcPr>
    </w:tblStylePr>
    <w:tblStylePr w:type="band2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sz="8" w:space="0"/>
        </w:tcBorders>
      </w:tcPr>
    </w:tblStylePr>
  </w:style>
  <w:style w:type="table" w:styleId="58">
    <w:name w:val="Medium Shading 1"/>
    <w:basedOn w:val="35"/>
    <w:uiPriority w:val="63"/>
    <w:pPr>
      <w:spacing w:after="0" w:line="240" w:lineRule="auto"/>
    </w:pPr>
    <w:tblPr>
      <w:tblBorders>
        <w:top w:val="single" w:color="3F3F3F" w:themeColor="text1" w:themeTint="BF" w:sz="8" w:space="0"/>
        <w:left w:val="single" w:color="3F3F3F" w:themeColor="text1" w:themeTint="BF" w:sz="8" w:space="0"/>
        <w:bottom w:val="single" w:color="3F3F3F" w:themeColor="text1" w:themeTint="BF" w:sz="8" w:space="0"/>
        <w:right w:val="single" w:color="3F3F3F" w:themeColor="text1" w:themeTint="BF" w:sz="8" w:space="0"/>
        <w:insideH w:val="single" w:color="3F3F3F" w:themeColor="tex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3F3F3F" w:themeColor="text1" w:themeTint="BF" w:sz="8" w:space="0"/>
          <w:left w:val="single" w:color="3F3F3F" w:themeColor="text1" w:themeTint="BF" w:sz="8" w:space="0"/>
          <w:bottom w:val="single" w:color="3F3F3F" w:themeColor="text1" w:themeTint="BF" w:sz="8" w:space="0"/>
          <w:right w:val="single" w:color="3F3F3F" w:themeColor="text1" w:themeTint="BF" w:sz="8" w:space="0"/>
          <w:insideH w:val="nil"/>
          <w:insideV w:val="nil"/>
        </w:tcBorders>
        <w:shd w:val="clear" w:color="auto" w:fill="000000" w:themeFill="text1"/>
      </w:tcPr>
    </w:tblStylePr>
    <w:tblStylePr w:type="lastRow">
      <w:pPr>
        <w:spacing w:before="0" w:after="0" w:line="240" w:lineRule="auto"/>
      </w:pPr>
      <w:rPr>
        <w:b/>
        <w:bCs/>
      </w:rPr>
      <w:tblPr/>
      <w:tcPr>
        <w:tcBorders>
          <w:top w:val="double" w:color="3F3F3F" w:themeColor="text1" w:themeTint="BF" w:sz="6" w:space="0"/>
          <w:left w:val="single" w:color="3F3F3F" w:themeColor="text1" w:themeTint="BF" w:sz="8" w:space="0"/>
          <w:bottom w:val="single" w:color="3F3F3F" w:themeColor="text1" w:themeTint="BF" w:sz="8" w:space="0"/>
          <w:right w:val="single" w:color="3F3F3F" w:themeColor="text1" w:themeTint="BF" w:sz="8" w:space="0"/>
          <w:insideH w:val="nil"/>
          <w:insideV w:val="nil"/>
        </w:tcBorders>
      </w:tcPr>
    </w:tblStylePr>
    <w:tblStylePr w:type="firstCol">
      <w:rPr>
        <w:b/>
        <w:bCs/>
      </w:rPr>
    </w:tblStylePr>
    <w:tblStylePr w:type="lastCol">
      <w:rPr>
        <w:b/>
        <w:bCs/>
      </w:rPr>
    </w:tblStylePr>
    <w:tblStylePr w:type="band1Vert">
      <w:tblPr/>
      <w:tcPr>
        <w:shd w:val="clear" w:color="auto" w:fill="BFBFBF" w:themeFill="text1" w:themeFillTint="3F"/>
      </w:tcPr>
    </w:tblStylePr>
    <w:tblStylePr w:type="band1Horz">
      <w:tblPr/>
      <w:tcPr>
        <w:tcBorders>
          <w:insideH w:val="nil"/>
          <w:insideV w:val="nil"/>
        </w:tcBorders>
        <w:shd w:val="clear" w:color="auto" w:fill="BFBFBF" w:themeFill="text1" w:themeFillTint="3F"/>
      </w:tcPr>
    </w:tblStylePr>
    <w:tblStylePr w:type="band2Horz">
      <w:tblPr/>
      <w:tcPr>
        <w:tcBorders>
          <w:insideH w:val="nil"/>
          <w:insideV w:val="nil"/>
        </w:tcBorders>
      </w:tcPr>
    </w:tblStylePr>
  </w:style>
  <w:style w:type="table" w:styleId="59">
    <w:name w:val="Medium Shading 1 Accent 1"/>
    <w:basedOn w:val="35"/>
    <w:uiPriority w:val="63"/>
    <w:pPr>
      <w:spacing w:after="0" w:line="240" w:lineRule="auto"/>
    </w:pPr>
    <w:tblPr>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shd w:val="clear" w:color="auto" w:fill="4F81BD" w:themeFill="accent1"/>
      </w:tcPr>
    </w:tblStylePr>
    <w:tblStylePr w:type="lastRow">
      <w:pPr>
        <w:spacing w:before="0" w:after="0" w:line="240" w:lineRule="auto"/>
      </w:pPr>
      <w:rPr>
        <w:b/>
        <w:bCs/>
      </w:rPr>
      <w:tblPr/>
      <w:tcPr>
        <w:tcBorders>
          <w:top w:val="double" w:color="7BA0CD" w:themeColor="accent1" w:themeTint="BF" w:sz="6"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60">
    <w:name w:val="Medium Shading 1 Accent 2"/>
    <w:basedOn w:val="35"/>
    <w:uiPriority w:val="63"/>
    <w:pPr>
      <w:spacing w:after="0" w:line="240" w:lineRule="auto"/>
    </w:pPr>
    <w:tblPr>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shd w:val="clear" w:color="auto" w:fill="C0504D" w:themeFill="accent2"/>
      </w:tcPr>
    </w:tblStylePr>
    <w:tblStylePr w:type="lastRow">
      <w:pPr>
        <w:spacing w:before="0" w:after="0" w:line="240" w:lineRule="auto"/>
      </w:pPr>
      <w:rPr>
        <w:b/>
        <w:bCs/>
      </w:rPr>
      <w:tblPr/>
      <w:tcPr>
        <w:tcBorders>
          <w:top w:val="double" w:color="CF7B79" w:themeColor="accent2" w:themeTint="BF" w:sz="6"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tcPr>
    </w:tblStylePr>
    <w:tblStylePr w:type="firstCol">
      <w:rPr>
        <w:b/>
        <w:bCs/>
      </w:rPr>
    </w:tblStylePr>
    <w:tblStylePr w:type="lastCol">
      <w:rPr>
        <w:b/>
        <w:bCs/>
      </w:rPr>
    </w:tblStylePr>
    <w:tblStylePr w:type="band1Vert">
      <w:tblPr/>
      <w:tcPr>
        <w:shd w:val="clear" w:color="auto" w:fill="EFD3D3" w:themeFill="accent2" w:themeFillTint="3F"/>
      </w:tcPr>
    </w:tblStylePr>
    <w:tblStylePr w:type="band1Horz">
      <w:tblPr/>
      <w:tcPr>
        <w:tcBorders>
          <w:insideH w:val="nil"/>
          <w:insideV w:val="nil"/>
        </w:tcBorders>
        <w:shd w:val="clear" w:color="auto" w:fill="EFD3D3" w:themeFill="accent2" w:themeFillTint="3F"/>
      </w:tcPr>
    </w:tblStylePr>
    <w:tblStylePr w:type="band2Horz">
      <w:tblPr/>
      <w:tcPr>
        <w:tcBorders>
          <w:insideH w:val="nil"/>
          <w:insideV w:val="nil"/>
        </w:tcBorders>
      </w:tcPr>
    </w:tblStylePr>
  </w:style>
  <w:style w:type="table" w:styleId="61">
    <w:name w:val="Medium Shading 1 Accent 3"/>
    <w:basedOn w:val="35"/>
    <w:uiPriority w:val="63"/>
    <w:pPr>
      <w:spacing w:after="0" w:line="240" w:lineRule="auto"/>
    </w:pPr>
    <w:tblPr>
      <w:tblBorders>
        <w:top w:val="single" w:color="B4CC82" w:themeColor="accent3" w:themeTint="BF" w:sz="8" w:space="0"/>
        <w:left w:val="single" w:color="B4CC82" w:themeColor="accent3" w:themeTint="BF" w:sz="8" w:space="0"/>
        <w:bottom w:val="single" w:color="B4CC82" w:themeColor="accent3" w:themeTint="BF" w:sz="8" w:space="0"/>
        <w:right w:val="single" w:color="B4CC82" w:themeColor="accent3" w:themeTint="BF" w:sz="8" w:space="0"/>
        <w:insideH w:val="single" w:color="B4CC82" w:themeColor="accent3"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B4CC82" w:themeColor="accent3" w:themeTint="BF" w:sz="8" w:space="0"/>
          <w:left w:val="single" w:color="B4CC82" w:themeColor="accent3" w:themeTint="BF" w:sz="8" w:space="0"/>
          <w:bottom w:val="single" w:color="B4CC82" w:themeColor="accent3" w:themeTint="BF" w:sz="8" w:space="0"/>
          <w:right w:val="single" w:color="B4CC82" w:themeColor="accent3" w:themeTint="BF" w:sz="8" w:space="0"/>
          <w:insideH w:val="nil"/>
          <w:insideV w:val="nil"/>
        </w:tcBorders>
        <w:shd w:val="clear" w:color="auto" w:fill="9BBB59" w:themeFill="accent3"/>
      </w:tcPr>
    </w:tblStylePr>
    <w:tblStylePr w:type="lastRow">
      <w:pPr>
        <w:spacing w:before="0" w:after="0" w:line="240" w:lineRule="auto"/>
      </w:pPr>
      <w:rPr>
        <w:b/>
        <w:bCs/>
      </w:rPr>
      <w:tblPr/>
      <w:tcPr>
        <w:tcBorders>
          <w:top w:val="double" w:color="B4CC82" w:themeColor="accent3" w:themeTint="BF" w:sz="6" w:space="0"/>
          <w:left w:val="single" w:color="B4CC82" w:themeColor="accent3" w:themeTint="BF" w:sz="8" w:space="0"/>
          <w:bottom w:val="single" w:color="B4CC82" w:themeColor="accent3" w:themeTint="BF" w:sz="8" w:space="0"/>
          <w:right w:val="single" w:color="B4CC82" w:themeColor="accent3" w:themeTint="BF" w:sz="8" w:space="0"/>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62">
    <w:name w:val="Medium Shading 1 Accent 4"/>
    <w:basedOn w:val="35"/>
    <w:uiPriority w:val="63"/>
    <w:pPr>
      <w:spacing w:after="0" w:line="240" w:lineRule="auto"/>
    </w:pPr>
    <w:tblPr>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shd w:val="clear" w:color="auto" w:fill="8064A2" w:themeFill="accent4"/>
      </w:tcPr>
    </w:tblStylePr>
    <w:tblStylePr w:type="lastRow">
      <w:pPr>
        <w:spacing w:before="0" w:after="0" w:line="240" w:lineRule="auto"/>
      </w:pPr>
      <w:rPr>
        <w:b/>
        <w:bCs/>
      </w:rPr>
      <w:tblPr/>
      <w:tcPr>
        <w:tcBorders>
          <w:top w:val="double" w:color="9F8AB9" w:themeColor="accent4" w:themeTint="BF" w:sz="6"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63">
    <w:name w:val="Medium Shading 1 Accent 5"/>
    <w:basedOn w:val="35"/>
    <w:uiPriority w:val="63"/>
    <w:pPr>
      <w:spacing w:after="0" w:line="240" w:lineRule="auto"/>
    </w:pPr>
    <w:tblPr>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shd w:val="clear" w:color="auto" w:fill="4BACC6" w:themeFill="accent5"/>
      </w:tcPr>
    </w:tblStylePr>
    <w:tblStylePr w:type="lastRow">
      <w:pPr>
        <w:spacing w:before="0" w:after="0" w:line="240" w:lineRule="auto"/>
      </w:pPr>
      <w:rPr>
        <w:b/>
        <w:bCs/>
      </w:rPr>
      <w:tblPr/>
      <w:tcPr>
        <w:tcBorders>
          <w:top w:val="double" w:color="78C0D4" w:themeColor="accent5" w:themeTint="BF" w:sz="6"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tcPr>
    </w:tblStylePr>
    <w:tblStylePr w:type="firstCol">
      <w:rPr>
        <w:b/>
        <w:bCs/>
      </w:rPr>
    </w:tblStylePr>
    <w:tblStylePr w:type="lastCol">
      <w:rPr>
        <w:b/>
        <w:bCs/>
      </w:rPr>
    </w:tblStylePr>
    <w:tblStylePr w:type="band1Vert">
      <w:tblPr/>
      <w:tcPr>
        <w:shd w:val="clear" w:color="auto" w:fill="D2EAF0" w:themeFill="accent5" w:themeFillTint="3F"/>
      </w:tcPr>
    </w:tblStylePr>
    <w:tblStylePr w:type="band1Horz">
      <w:tblPr/>
      <w:tcPr>
        <w:tcBorders>
          <w:insideH w:val="nil"/>
          <w:insideV w:val="nil"/>
        </w:tcBorders>
        <w:shd w:val="clear" w:color="auto" w:fill="D2EAF0" w:themeFill="accent5" w:themeFillTint="3F"/>
      </w:tcPr>
    </w:tblStylePr>
    <w:tblStylePr w:type="band2Horz">
      <w:tblPr/>
      <w:tcPr>
        <w:tcBorders>
          <w:insideH w:val="nil"/>
          <w:insideV w:val="nil"/>
        </w:tcBorders>
      </w:tcPr>
    </w:tblStylePr>
  </w:style>
  <w:style w:type="table" w:styleId="64">
    <w:name w:val="Medium Shading 1 Accent 6"/>
    <w:basedOn w:val="35"/>
    <w:uiPriority w:val="63"/>
    <w:pPr>
      <w:spacing w:after="0" w:line="240" w:lineRule="auto"/>
    </w:pPr>
    <w:tblPr>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shd w:val="clear" w:color="auto" w:fill="F79646" w:themeFill="accent6"/>
      </w:tcPr>
    </w:tblStylePr>
    <w:tblStylePr w:type="lastRow">
      <w:pPr>
        <w:spacing w:before="0" w:after="0" w:line="240" w:lineRule="auto"/>
      </w:pPr>
      <w:rPr>
        <w:b/>
        <w:bCs/>
      </w:rPr>
      <w:tblPr/>
      <w:tcPr>
        <w:tcBorders>
          <w:top w:val="double" w:color="F9B074" w:themeColor="accent6" w:themeTint="BF" w:sz="6"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FDE5D1" w:themeFill="accent6" w:themeFillTint="3F"/>
      </w:tcPr>
    </w:tblStylePr>
    <w:tblStylePr w:type="band1Horz">
      <w:tblPr/>
      <w:tcPr>
        <w:tcBorders>
          <w:insideH w:val="nil"/>
          <w:insideV w:val="nil"/>
        </w:tcBorders>
        <w:shd w:val="clear" w:color="auto" w:fill="FDE5D1" w:themeFill="accent6" w:themeFillTint="3F"/>
      </w:tcPr>
    </w:tblStylePr>
    <w:tblStylePr w:type="band2Horz">
      <w:tblPr/>
      <w:tcPr>
        <w:tcBorders>
          <w:insideH w:val="nil"/>
          <w:insideV w:val="nil"/>
        </w:tcBorders>
      </w:tcPr>
    </w:tblStylePr>
  </w:style>
  <w:style w:type="table" w:styleId="65">
    <w:name w:val="Medium Shading 2"/>
    <w:basedOn w:val="35"/>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000000" w:themeFill="text1"/>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6">
    <w:name w:val="Medium Shading 2 Accent 1"/>
    <w:basedOn w:val="35"/>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4F81BD" w:themeFill="accent1"/>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7">
    <w:name w:val="Medium Shading 2 Accent 2"/>
    <w:basedOn w:val="35"/>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C0504D" w:themeFill="accent2"/>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8">
    <w:name w:val="Medium Shading 2 Accent 3"/>
    <w:basedOn w:val="35"/>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9BBB59" w:themeFill="accent3"/>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9">
    <w:name w:val="Medium Shading 2 Accent 4"/>
    <w:basedOn w:val="35"/>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8064A2" w:themeFill="accent4"/>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70">
    <w:name w:val="Medium Shading 2 Accent 5"/>
    <w:basedOn w:val="35"/>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4BACC6" w:themeFill="accent5"/>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71">
    <w:name w:val="Medium Shading 2 Accent 6"/>
    <w:basedOn w:val="35"/>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F79646" w:themeFill="accent6"/>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72">
    <w:name w:val="Medium List 1"/>
    <w:basedOn w:val="35"/>
    <w:uiPriority w:val="65"/>
    <w:pPr>
      <w:spacing w:after="0" w:line="240" w:lineRule="auto"/>
    </w:pPr>
    <w:rPr>
      <w:color w:val="000000" w:themeColor="text1"/>
      <w14:textFill>
        <w14:solidFill>
          <w14:schemeClr w14:val="tx1"/>
        </w14:solidFill>
      </w14:textFill>
    </w:rPr>
    <w:tblPr>
      <w:tblBorders>
        <w:top w:val="single" w:color="000000" w:themeColor="text1" w:sz="8" w:space="0"/>
        <w:bottom w:val="single" w:color="000000" w:themeColor="text1"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000000" w:themeColor="text1" w:sz="8" w:space="0"/>
        </w:tcBorders>
      </w:tcPr>
    </w:tblStylePr>
    <w:tblStylePr w:type="lastRow">
      <w:rPr>
        <w:b/>
        <w:bCs/>
        <w:color w:val="1F497D" w:themeColor="text2"/>
        <w14:textFill>
          <w14:solidFill>
            <w14:schemeClr w14:val="tx2"/>
          </w14:solidFill>
        </w14:textFill>
      </w:rPr>
      <w:tblPr/>
      <w:tcPr>
        <w:tcBorders>
          <w:top w:val="single" w:color="000000" w:themeColor="text1" w:sz="8" w:space="0"/>
          <w:bottom w:val="single" w:color="000000" w:themeColor="text1" w:sz="8" w:space="0"/>
        </w:tcBorders>
      </w:tcPr>
    </w:tblStylePr>
    <w:tblStylePr w:type="firstCol">
      <w:rPr>
        <w:b/>
        <w:bCs/>
      </w:rPr>
    </w:tblStylePr>
    <w:tblStylePr w:type="lastCol">
      <w:rPr>
        <w:b/>
        <w:bCs/>
      </w:rPr>
      <w:tblPr/>
      <w:tcPr>
        <w:tcBorders>
          <w:top w:val="single" w:color="000000" w:themeColor="text1" w:sz="8" w:space="0"/>
          <w:bottom w:val="single" w:color="000000" w:themeColor="text1" w:sz="8" w:space="0"/>
        </w:tcBorders>
      </w:tcPr>
    </w:tblStylePr>
    <w:tblStylePr w:type="band1Vert">
      <w:tblPr/>
      <w:tcPr>
        <w:shd w:val="clear" w:color="auto" w:fill="BFBFBF" w:themeFill="text1" w:themeFillTint="3F"/>
      </w:tcPr>
    </w:tblStylePr>
    <w:tblStylePr w:type="band1Horz">
      <w:tblPr/>
      <w:tcPr>
        <w:shd w:val="clear" w:color="auto" w:fill="BFBFBF" w:themeFill="text1" w:themeFillTint="3F"/>
      </w:tcPr>
    </w:tblStylePr>
  </w:style>
  <w:style w:type="table" w:styleId="73">
    <w:name w:val="Medium List 1 Accent 1"/>
    <w:basedOn w:val="35"/>
    <w:uiPriority w:val="65"/>
    <w:pPr>
      <w:spacing w:after="0" w:line="240" w:lineRule="auto"/>
    </w:pPr>
    <w:rPr>
      <w:color w:val="000000" w:themeColor="text1"/>
      <w14:textFill>
        <w14:solidFill>
          <w14:schemeClr w14:val="tx1"/>
        </w14:solidFill>
      </w14:textFill>
    </w:rPr>
    <w:tblPr>
      <w:tblBorders>
        <w:top w:val="single" w:color="4F81BD" w:themeColor="accent1" w:sz="8" w:space="0"/>
        <w:bottom w:val="single" w:color="4F81BD" w:themeColor="accent1"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4F81BD" w:themeColor="accent1" w:sz="8" w:space="0"/>
        </w:tcBorders>
      </w:tcPr>
    </w:tblStylePr>
    <w:tblStylePr w:type="lastRow">
      <w:rPr>
        <w:b/>
        <w:bCs/>
        <w:color w:val="1F497D" w:themeColor="text2"/>
        <w14:textFill>
          <w14:solidFill>
            <w14:schemeClr w14:val="tx2"/>
          </w14:solidFill>
        </w14:textFill>
      </w:rPr>
      <w:tblPr/>
      <w:tcPr>
        <w:tcBorders>
          <w:top w:val="single" w:color="4F81BD" w:themeColor="accent1" w:sz="8" w:space="0"/>
          <w:bottom w:val="single" w:color="4F81BD" w:themeColor="accent1" w:sz="8" w:space="0"/>
        </w:tcBorders>
      </w:tcPr>
    </w:tblStylePr>
    <w:tblStylePr w:type="firstCol">
      <w:rPr>
        <w:b/>
        <w:bCs/>
      </w:rPr>
    </w:tblStylePr>
    <w:tblStylePr w:type="lastCol">
      <w:rPr>
        <w:b/>
        <w:bCs/>
      </w:rPr>
      <w:tblPr/>
      <w:tcPr>
        <w:tcBorders>
          <w:top w:val="single" w:color="4F81BD" w:themeColor="accent1" w:sz="8" w:space="0"/>
          <w:bottom w:val="single" w:color="4F81BD" w:themeColor="accent1" w:sz="8" w:space="0"/>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74">
    <w:name w:val="Medium List 1 Accent 2"/>
    <w:basedOn w:val="35"/>
    <w:uiPriority w:val="65"/>
    <w:pPr>
      <w:spacing w:after="0" w:line="240" w:lineRule="auto"/>
    </w:pPr>
    <w:rPr>
      <w:color w:val="000000" w:themeColor="text1"/>
      <w14:textFill>
        <w14:solidFill>
          <w14:schemeClr w14:val="tx1"/>
        </w14:solidFill>
      </w14:textFill>
    </w:rPr>
    <w:tblPr>
      <w:tblBorders>
        <w:top w:val="single" w:color="C0504D" w:themeColor="accent2" w:sz="8" w:space="0"/>
        <w:bottom w:val="single" w:color="C0504D" w:themeColor="accent2"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C0504D" w:themeColor="accent2" w:sz="8" w:space="0"/>
        </w:tcBorders>
      </w:tcPr>
    </w:tblStylePr>
    <w:tblStylePr w:type="lastRow">
      <w:rPr>
        <w:b/>
        <w:bCs/>
        <w:color w:val="1F497D" w:themeColor="text2"/>
        <w14:textFill>
          <w14:solidFill>
            <w14:schemeClr w14:val="tx2"/>
          </w14:solidFill>
        </w14:textFill>
      </w:rPr>
      <w:tblPr/>
      <w:tcPr>
        <w:tcBorders>
          <w:top w:val="single" w:color="C0504D" w:themeColor="accent2" w:sz="8" w:space="0"/>
          <w:bottom w:val="single" w:color="C0504D" w:themeColor="accent2" w:sz="8" w:space="0"/>
        </w:tcBorders>
      </w:tcPr>
    </w:tblStylePr>
    <w:tblStylePr w:type="firstCol">
      <w:rPr>
        <w:b/>
        <w:bCs/>
      </w:rPr>
    </w:tblStylePr>
    <w:tblStylePr w:type="lastCol">
      <w:rPr>
        <w:b/>
        <w:bCs/>
      </w:rPr>
      <w:tblPr/>
      <w:tcPr>
        <w:tcBorders>
          <w:top w:val="single" w:color="C0504D" w:themeColor="accent2" w:sz="8" w:space="0"/>
          <w:bottom w:val="single" w:color="C0504D" w:themeColor="accent2" w:sz="8" w:space="0"/>
        </w:tcBorders>
      </w:tcPr>
    </w:tblStylePr>
    <w:tblStylePr w:type="band1Vert">
      <w:tblPr/>
      <w:tcPr>
        <w:shd w:val="clear" w:color="auto" w:fill="EFD3D3" w:themeFill="accent2" w:themeFillTint="3F"/>
      </w:tcPr>
    </w:tblStylePr>
    <w:tblStylePr w:type="band1Horz">
      <w:tblPr/>
      <w:tcPr>
        <w:shd w:val="clear" w:color="auto" w:fill="EFD3D3" w:themeFill="accent2" w:themeFillTint="3F"/>
      </w:tcPr>
    </w:tblStylePr>
  </w:style>
  <w:style w:type="table" w:styleId="75">
    <w:name w:val="Medium List 1 Accent 3"/>
    <w:basedOn w:val="35"/>
    <w:uiPriority w:val="65"/>
    <w:pPr>
      <w:spacing w:after="0" w:line="240" w:lineRule="auto"/>
    </w:pPr>
    <w:rPr>
      <w:color w:val="000000" w:themeColor="text1"/>
      <w14:textFill>
        <w14:solidFill>
          <w14:schemeClr w14:val="tx1"/>
        </w14:solidFill>
      </w14:textFill>
    </w:rPr>
    <w:tblPr>
      <w:tblBorders>
        <w:top w:val="single" w:color="9BBB59" w:themeColor="accent3" w:sz="8" w:space="0"/>
        <w:bottom w:val="single" w:color="9BBB59" w:themeColor="accent3"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9BBB59" w:themeColor="accent3" w:sz="8" w:space="0"/>
        </w:tcBorders>
      </w:tcPr>
    </w:tblStylePr>
    <w:tblStylePr w:type="lastRow">
      <w:rPr>
        <w:b/>
        <w:bCs/>
        <w:color w:val="1F497D" w:themeColor="text2"/>
        <w14:textFill>
          <w14:solidFill>
            <w14:schemeClr w14:val="tx2"/>
          </w14:solidFill>
        </w14:textFill>
      </w:rPr>
      <w:tblPr/>
      <w:tcPr>
        <w:tcBorders>
          <w:top w:val="single" w:color="9BBB59" w:themeColor="accent3" w:sz="8" w:space="0"/>
          <w:bottom w:val="single" w:color="9BBB59" w:themeColor="accent3" w:sz="8" w:space="0"/>
        </w:tcBorders>
      </w:tcPr>
    </w:tblStylePr>
    <w:tblStylePr w:type="firstCol">
      <w:rPr>
        <w:b/>
        <w:bCs/>
      </w:rPr>
    </w:tblStylePr>
    <w:tblStylePr w:type="lastCol">
      <w:rPr>
        <w:b/>
        <w:bCs/>
      </w:rPr>
      <w:tblPr/>
      <w:tcPr>
        <w:tcBorders>
          <w:top w:val="single" w:color="9BBB59" w:themeColor="accent3" w:sz="8" w:space="0"/>
          <w:bottom w:val="single" w:color="9BBB59" w:themeColor="accent3" w:sz="8" w:space="0"/>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76">
    <w:name w:val="Medium List 1 Accent 4"/>
    <w:basedOn w:val="35"/>
    <w:uiPriority w:val="65"/>
    <w:pPr>
      <w:spacing w:after="0" w:line="240" w:lineRule="auto"/>
    </w:pPr>
    <w:rPr>
      <w:color w:val="000000" w:themeColor="text1"/>
      <w14:textFill>
        <w14:solidFill>
          <w14:schemeClr w14:val="tx1"/>
        </w14:solidFill>
      </w14:textFill>
    </w:rPr>
    <w:tblPr>
      <w:tblBorders>
        <w:top w:val="single" w:color="8064A2" w:themeColor="accent4" w:sz="8" w:space="0"/>
        <w:bottom w:val="single" w:color="8064A2" w:themeColor="accent4"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8064A2" w:themeColor="accent4" w:sz="8" w:space="0"/>
        </w:tcBorders>
      </w:tcPr>
    </w:tblStylePr>
    <w:tblStylePr w:type="lastRow">
      <w:rPr>
        <w:b/>
        <w:bCs/>
        <w:color w:val="1F497D" w:themeColor="text2"/>
        <w14:textFill>
          <w14:solidFill>
            <w14:schemeClr w14:val="tx2"/>
          </w14:solidFill>
        </w14:textFill>
      </w:rPr>
      <w:tblPr/>
      <w:tcPr>
        <w:tcBorders>
          <w:top w:val="single" w:color="8064A2" w:themeColor="accent4" w:sz="8" w:space="0"/>
          <w:bottom w:val="single" w:color="8064A2" w:themeColor="accent4" w:sz="8" w:space="0"/>
        </w:tcBorders>
      </w:tcPr>
    </w:tblStylePr>
    <w:tblStylePr w:type="firstCol">
      <w:rPr>
        <w:b/>
        <w:bCs/>
      </w:rPr>
    </w:tblStylePr>
    <w:tblStylePr w:type="lastCol">
      <w:rPr>
        <w:b/>
        <w:bCs/>
      </w:rPr>
      <w:tblPr/>
      <w:tcPr>
        <w:tcBorders>
          <w:top w:val="single" w:color="8064A2" w:themeColor="accent4" w:sz="8" w:space="0"/>
          <w:bottom w:val="single" w:color="8064A2" w:themeColor="accent4" w:sz="8" w:space="0"/>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77">
    <w:name w:val="Medium List 1 Accent 5"/>
    <w:basedOn w:val="35"/>
    <w:uiPriority w:val="65"/>
    <w:pPr>
      <w:spacing w:after="0" w:line="240" w:lineRule="auto"/>
    </w:pPr>
    <w:rPr>
      <w:color w:val="000000" w:themeColor="text1"/>
      <w14:textFill>
        <w14:solidFill>
          <w14:schemeClr w14:val="tx1"/>
        </w14:solidFill>
      </w14:textFill>
    </w:rPr>
    <w:tblPr>
      <w:tblBorders>
        <w:top w:val="single" w:color="4BACC6" w:themeColor="accent5" w:sz="8" w:space="0"/>
        <w:bottom w:val="single" w:color="4BACC6" w:themeColor="accent5"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4BACC6" w:themeColor="accent5" w:sz="8" w:space="0"/>
        </w:tcBorders>
      </w:tcPr>
    </w:tblStylePr>
    <w:tblStylePr w:type="lastRow">
      <w:rPr>
        <w:b/>
        <w:bCs/>
        <w:color w:val="1F497D" w:themeColor="text2"/>
        <w14:textFill>
          <w14:solidFill>
            <w14:schemeClr w14:val="tx2"/>
          </w14:solidFill>
        </w14:textFill>
      </w:rPr>
      <w:tblPr/>
      <w:tcPr>
        <w:tcBorders>
          <w:top w:val="single" w:color="4BACC6" w:themeColor="accent5" w:sz="8" w:space="0"/>
          <w:bottom w:val="single" w:color="4BACC6" w:themeColor="accent5" w:sz="8" w:space="0"/>
        </w:tcBorders>
      </w:tcPr>
    </w:tblStylePr>
    <w:tblStylePr w:type="firstCol">
      <w:rPr>
        <w:b/>
        <w:bCs/>
      </w:rPr>
    </w:tblStylePr>
    <w:tblStylePr w:type="lastCol">
      <w:rPr>
        <w:b/>
        <w:bCs/>
      </w:rPr>
      <w:tblPr/>
      <w:tcPr>
        <w:tcBorders>
          <w:top w:val="single" w:color="4BACC6" w:themeColor="accent5" w:sz="8" w:space="0"/>
          <w:bottom w:val="single" w:color="4BACC6" w:themeColor="accent5" w:sz="8" w:space="0"/>
        </w:tcBorders>
      </w:tcPr>
    </w:tblStylePr>
    <w:tblStylePr w:type="band1Vert">
      <w:tblPr/>
      <w:tcPr>
        <w:shd w:val="clear" w:color="auto" w:fill="D2EAF0" w:themeFill="accent5" w:themeFillTint="3F"/>
      </w:tcPr>
    </w:tblStylePr>
    <w:tblStylePr w:type="band1Horz">
      <w:tblPr/>
      <w:tcPr>
        <w:shd w:val="clear" w:color="auto" w:fill="D2EAF0" w:themeFill="accent5" w:themeFillTint="3F"/>
      </w:tcPr>
    </w:tblStylePr>
  </w:style>
  <w:style w:type="table" w:styleId="78">
    <w:name w:val="Medium List 1 Accent 6"/>
    <w:basedOn w:val="35"/>
    <w:uiPriority w:val="65"/>
    <w:pPr>
      <w:spacing w:after="0" w:line="240" w:lineRule="auto"/>
    </w:pPr>
    <w:rPr>
      <w:color w:val="000000" w:themeColor="text1"/>
      <w14:textFill>
        <w14:solidFill>
          <w14:schemeClr w14:val="tx1"/>
        </w14:solidFill>
      </w14:textFill>
    </w:rPr>
    <w:tblPr>
      <w:tblBorders>
        <w:top w:val="single" w:color="F79646" w:themeColor="accent6" w:sz="8" w:space="0"/>
        <w:bottom w:val="single" w:color="F79646" w:themeColor="accent6"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F79646" w:themeColor="accent6" w:sz="8" w:space="0"/>
        </w:tcBorders>
      </w:tcPr>
    </w:tblStylePr>
    <w:tblStylePr w:type="lastRow">
      <w:rPr>
        <w:b/>
        <w:bCs/>
        <w:color w:val="1F497D" w:themeColor="text2"/>
        <w14:textFill>
          <w14:solidFill>
            <w14:schemeClr w14:val="tx2"/>
          </w14:solidFill>
        </w14:textFill>
      </w:rPr>
      <w:tblPr/>
      <w:tcPr>
        <w:tcBorders>
          <w:top w:val="single" w:color="F79646" w:themeColor="accent6" w:sz="8" w:space="0"/>
          <w:bottom w:val="single" w:color="F79646" w:themeColor="accent6" w:sz="8" w:space="0"/>
        </w:tcBorders>
      </w:tcPr>
    </w:tblStylePr>
    <w:tblStylePr w:type="firstCol">
      <w:rPr>
        <w:b/>
        <w:bCs/>
      </w:rPr>
    </w:tblStylePr>
    <w:tblStylePr w:type="lastCol">
      <w:rPr>
        <w:b/>
        <w:bCs/>
      </w:rPr>
      <w:tblPr/>
      <w:tcPr>
        <w:tcBorders>
          <w:top w:val="single" w:color="F79646" w:themeColor="accent6" w:sz="8" w:space="0"/>
          <w:bottom w:val="single" w:color="F79646" w:themeColor="accent6" w:sz="8" w:space="0"/>
        </w:tcBorders>
      </w:tcPr>
    </w:tblStylePr>
    <w:tblStylePr w:type="band1Vert">
      <w:tblPr/>
      <w:tcPr>
        <w:shd w:val="clear" w:color="auto" w:fill="FDE5D1" w:themeFill="accent6" w:themeFillTint="3F"/>
      </w:tcPr>
    </w:tblStylePr>
    <w:tblStylePr w:type="band1Horz">
      <w:tblPr/>
      <w:tcPr>
        <w:shd w:val="clear" w:color="auto" w:fill="FDE5D1" w:themeFill="accent6" w:themeFillTint="3F"/>
      </w:tcPr>
    </w:tblStylePr>
  </w:style>
  <w:style w:type="table" w:styleId="79">
    <w:name w:val="Medium List 2"/>
    <w:basedOn w:val="35"/>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000000" w:themeColor="text1" w:sz="8" w:space="0"/>
        <w:left w:val="single" w:color="000000" w:themeColor="text1" w:sz="8" w:space="0"/>
        <w:bottom w:val="single" w:color="000000" w:themeColor="text1" w:sz="8" w:space="0"/>
        <w:right w:val="single" w:color="000000" w:themeColor="text1" w:sz="8" w:space="0"/>
      </w:tblBorders>
      <w:tblCellMar>
        <w:top w:w="0" w:type="dxa"/>
        <w:left w:w="108" w:type="dxa"/>
        <w:bottom w:w="0" w:type="dxa"/>
        <w:right w:w="108" w:type="dxa"/>
      </w:tblCellMar>
    </w:tblPr>
    <w:tblStylePr w:type="firstRow">
      <w:rPr>
        <w:sz w:val="24"/>
        <w:szCs w:val="24"/>
      </w:rPr>
      <w:tblPr/>
      <w:tcPr>
        <w:tcBorders>
          <w:top w:val="nil"/>
          <w:left w:val="nil"/>
          <w:bottom w:val="single" w:color="000000" w:themeColor="text1" w:sz="24" w:space="0"/>
          <w:right w:val="nil"/>
          <w:insideH w:val="nil"/>
          <w:insideV w:val="nil"/>
        </w:tcBorders>
        <w:shd w:val="clear" w:color="auto" w:fill="FFFFFF" w:themeFill="background1"/>
      </w:tcPr>
    </w:tblStylePr>
    <w:tblStylePr w:type="lastRow">
      <w:tblPr/>
      <w:tcPr>
        <w:tcBorders>
          <w:top w:val="single" w:color="000000" w:themeColor="tex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000000" w:themeColor="text1" w:sz="8" w:space="0"/>
          <w:insideH w:val="nil"/>
          <w:insideV w:val="nil"/>
        </w:tcBorders>
        <w:shd w:val="clear" w:color="auto" w:fill="FFFFFF" w:themeFill="background1"/>
      </w:tcPr>
    </w:tblStylePr>
    <w:tblStylePr w:type="lastCol">
      <w:tblPr/>
      <w:tcPr>
        <w:tcBorders>
          <w:top w:val="nil"/>
          <w:left w:val="single" w:color="000000" w:themeColor="tex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FBFBF" w:themeFill="text1" w:themeFillTint="3F"/>
      </w:tcPr>
    </w:tblStylePr>
    <w:tblStylePr w:type="band1Horz">
      <w:tblPr/>
      <w:tcPr>
        <w:tcBorders>
          <w:top w:val="nil"/>
          <w:bottom w:val="nil"/>
          <w:insideH w:val="nil"/>
          <w:insideV w:val="nil"/>
        </w:tcBorders>
        <w:shd w:val="clear" w:color="auto" w:fill="BFBFBF"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80">
    <w:name w:val="Medium List 2 Accent 1"/>
    <w:basedOn w:val="35"/>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4F81BD" w:themeColor="accent1" w:sz="8" w:space="0"/>
        <w:left w:val="single" w:color="4F81BD" w:themeColor="accent1" w:sz="8" w:space="0"/>
        <w:bottom w:val="single" w:color="4F81BD" w:themeColor="accent1" w:sz="8" w:space="0"/>
        <w:right w:val="single" w:color="4F81BD" w:themeColor="accent1" w:sz="8" w:space="0"/>
      </w:tblBorders>
      <w:tblCellMar>
        <w:top w:w="0" w:type="dxa"/>
        <w:left w:w="108" w:type="dxa"/>
        <w:bottom w:w="0" w:type="dxa"/>
        <w:right w:w="108" w:type="dxa"/>
      </w:tblCellMar>
    </w:tblPr>
    <w:tblStylePr w:type="firstRow">
      <w:rPr>
        <w:sz w:val="24"/>
        <w:szCs w:val="24"/>
      </w:rPr>
      <w:tblPr/>
      <w:tcPr>
        <w:tcBorders>
          <w:top w:val="nil"/>
          <w:left w:val="nil"/>
          <w:bottom w:val="single" w:color="4F81BD" w:themeColor="accent1" w:sz="24" w:space="0"/>
          <w:right w:val="nil"/>
          <w:insideH w:val="nil"/>
          <w:insideV w:val="nil"/>
        </w:tcBorders>
        <w:shd w:val="clear" w:color="auto" w:fill="FFFFFF" w:themeFill="background1"/>
      </w:tcPr>
    </w:tblStylePr>
    <w:tblStylePr w:type="lastRow">
      <w:tblPr/>
      <w:tcPr>
        <w:tcBorders>
          <w:top w:val="single" w:color="4F81BD" w:themeColor="accen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F81BD" w:themeColor="accent1" w:sz="8" w:space="0"/>
          <w:insideH w:val="nil"/>
          <w:insideV w:val="nil"/>
        </w:tcBorders>
        <w:shd w:val="clear" w:color="auto" w:fill="FFFFFF" w:themeFill="background1"/>
      </w:tcPr>
    </w:tblStylePr>
    <w:tblStylePr w:type="lastCol">
      <w:tblPr/>
      <w:tcPr>
        <w:tcBorders>
          <w:top w:val="nil"/>
          <w:left w:val="single" w:color="4F81BD" w:themeColor="accen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81">
    <w:name w:val="Medium List 2 Accent 2"/>
    <w:basedOn w:val="35"/>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C0504D" w:themeColor="accent2" w:sz="8" w:space="0"/>
        <w:left w:val="single" w:color="C0504D" w:themeColor="accent2" w:sz="8" w:space="0"/>
        <w:bottom w:val="single" w:color="C0504D" w:themeColor="accent2" w:sz="8" w:space="0"/>
        <w:right w:val="single" w:color="C0504D" w:themeColor="accent2" w:sz="8" w:space="0"/>
      </w:tblBorders>
      <w:tblCellMar>
        <w:top w:w="0" w:type="dxa"/>
        <w:left w:w="108" w:type="dxa"/>
        <w:bottom w:w="0" w:type="dxa"/>
        <w:right w:w="108" w:type="dxa"/>
      </w:tblCellMar>
    </w:tblPr>
    <w:tblStylePr w:type="firstRow">
      <w:rPr>
        <w:sz w:val="24"/>
        <w:szCs w:val="24"/>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tblPr/>
      <w:tcPr>
        <w:tcBorders>
          <w:top w:val="single" w:color="C0504D" w:themeColor="accent2"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C0504D" w:themeColor="accent2" w:sz="8" w:space="0"/>
          <w:insideH w:val="nil"/>
          <w:insideV w:val="nil"/>
        </w:tcBorders>
        <w:shd w:val="clear" w:color="auto" w:fill="FFFFFF" w:themeFill="background1"/>
      </w:tcPr>
    </w:tblStylePr>
    <w:tblStylePr w:type="lastCol">
      <w:tblPr/>
      <w:tcPr>
        <w:tcBorders>
          <w:top w:val="nil"/>
          <w:left w:val="single" w:color="C0504D" w:themeColor="accent2"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3" w:themeFill="accent2" w:themeFillTint="3F"/>
      </w:tcPr>
    </w:tblStylePr>
    <w:tblStylePr w:type="band1Horz">
      <w:tblPr/>
      <w:tcPr>
        <w:tcBorders>
          <w:top w:val="nil"/>
          <w:bottom w:val="nil"/>
          <w:insideH w:val="nil"/>
          <w:insideV w:val="nil"/>
        </w:tcBorders>
        <w:shd w:val="clear" w:color="auto" w:fill="EFD3D3"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82">
    <w:name w:val="Medium List 2 Accent 3"/>
    <w:basedOn w:val="35"/>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9BBB59" w:themeColor="accent3" w:sz="8" w:space="0"/>
        <w:left w:val="single" w:color="9BBB59" w:themeColor="accent3" w:sz="8" w:space="0"/>
        <w:bottom w:val="single" w:color="9BBB59" w:themeColor="accent3" w:sz="8" w:space="0"/>
        <w:right w:val="single" w:color="9BBB59" w:themeColor="accent3" w:sz="8" w:space="0"/>
      </w:tblBorders>
      <w:tblCellMar>
        <w:top w:w="0" w:type="dxa"/>
        <w:left w:w="108" w:type="dxa"/>
        <w:bottom w:w="0" w:type="dxa"/>
        <w:right w:w="108" w:type="dxa"/>
      </w:tblCellMar>
    </w:tblPr>
    <w:tblStylePr w:type="firstRow">
      <w:rPr>
        <w:sz w:val="24"/>
        <w:szCs w:val="24"/>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tblPr/>
      <w:tcPr>
        <w:tcBorders>
          <w:top w:val="single" w:color="9BBB59" w:themeColor="accent3"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9BBB59" w:themeColor="accent3" w:sz="8" w:space="0"/>
          <w:insideH w:val="nil"/>
          <w:insideV w:val="nil"/>
        </w:tcBorders>
        <w:shd w:val="clear" w:color="auto" w:fill="FFFFFF" w:themeFill="background1"/>
      </w:tcPr>
    </w:tblStylePr>
    <w:tblStylePr w:type="lastCol">
      <w:tblPr/>
      <w:tcPr>
        <w:tcBorders>
          <w:top w:val="nil"/>
          <w:left w:val="single" w:color="9BBB59" w:themeColor="accent3"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83">
    <w:name w:val="Medium List 2 Accent 4"/>
    <w:basedOn w:val="35"/>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8064A2" w:themeColor="accent4" w:sz="8" w:space="0"/>
        <w:left w:val="single" w:color="8064A2" w:themeColor="accent4" w:sz="8" w:space="0"/>
        <w:bottom w:val="single" w:color="8064A2" w:themeColor="accent4" w:sz="8" w:space="0"/>
        <w:right w:val="single" w:color="8064A2" w:themeColor="accent4" w:sz="8" w:space="0"/>
      </w:tblBorders>
      <w:tblCellMar>
        <w:top w:w="0" w:type="dxa"/>
        <w:left w:w="108" w:type="dxa"/>
        <w:bottom w:w="0" w:type="dxa"/>
        <w:right w:w="108" w:type="dxa"/>
      </w:tblCellMar>
    </w:tblPr>
    <w:tblStylePr w:type="firstRow">
      <w:rPr>
        <w:sz w:val="24"/>
        <w:szCs w:val="24"/>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tblPr/>
      <w:tcPr>
        <w:tcBorders>
          <w:top w:val="single" w:color="8064A2" w:themeColor="accent4"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8064A2" w:themeColor="accent4" w:sz="8" w:space="0"/>
          <w:insideH w:val="nil"/>
          <w:insideV w:val="nil"/>
        </w:tcBorders>
        <w:shd w:val="clear" w:color="auto" w:fill="FFFFFF" w:themeFill="background1"/>
      </w:tcPr>
    </w:tblStylePr>
    <w:tblStylePr w:type="lastCol">
      <w:tblPr/>
      <w:tcPr>
        <w:tcBorders>
          <w:top w:val="nil"/>
          <w:left w:val="single" w:color="8064A2" w:themeColor="accent4"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84">
    <w:name w:val="Medium List 2 Accent 5"/>
    <w:basedOn w:val="35"/>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4BACC6" w:themeColor="accent5" w:sz="8" w:space="0"/>
        <w:left w:val="single" w:color="4BACC6" w:themeColor="accent5" w:sz="8" w:space="0"/>
        <w:bottom w:val="single" w:color="4BACC6" w:themeColor="accent5" w:sz="8" w:space="0"/>
        <w:right w:val="single" w:color="4BACC6" w:themeColor="accent5" w:sz="8" w:space="0"/>
      </w:tblBorders>
      <w:tblCellMar>
        <w:top w:w="0" w:type="dxa"/>
        <w:left w:w="108" w:type="dxa"/>
        <w:bottom w:w="0" w:type="dxa"/>
        <w:right w:w="108" w:type="dxa"/>
      </w:tblCellMar>
    </w:tblPr>
    <w:tblStylePr w:type="firstRow">
      <w:rPr>
        <w:sz w:val="24"/>
        <w:szCs w:val="24"/>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tblPr/>
      <w:tcPr>
        <w:tcBorders>
          <w:top w:val="single" w:color="4BACC6" w:themeColor="accent5"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BACC6" w:themeColor="accent5" w:sz="8" w:space="0"/>
          <w:insideH w:val="nil"/>
          <w:insideV w:val="nil"/>
        </w:tcBorders>
        <w:shd w:val="clear" w:color="auto" w:fill="FFFFFF" w:themeFill="background1"/>
      </w:tcPr>
    </w:tblStylePr>
    <w:tblStylePr w:type="lastCol">
      <w:tblPr/>
      <w:tcPr>
        <w:tcBorders>
          <w:top w:val="nil"/>
          <w:left w:val="single" w:color="4BACC6" w:themeColor="accent5"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0" w:themeFill="accent5" w:themeFillTint="3F"/>
      </w:tcPr>
    </w:tblStylePr>
    <w:tblStylePr w:type="band1Horz">
      <w:tblPr/>
      <w:tcPr>
        <w:tcBorders>
          <w:top w:val="nil"/>
          <w:bottom w:val="nil"/>
          <w:insideH w:val="nil"/>
          <w:insideV w:val="nil"/>
        </w:tcBorders>
        <w:shd w:val="clear" w:color="auto" w:fill="D2EA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85">
    <w:name w:val="Medium List 2 Accent 6"/>
    <w:basedOn w:val="35"/>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F79646" w:themeColor="accent6" w:sz="8" w:space="0"/>
        <w:left w:val="single" w:color="F79646" w:themeColor="accent6" w:sz="8" w:space="0"/>
        <w:bottom w:val="single" w:color="F79646" w:themeColor="accent6" w:sz="8" w:space="0"/>
        <w:right w:val="single" w:color="F79646" w:themeColor="accent6" w:sz="8" w:space="0"/>
      </w:tblBorders>
      <w:tblCellMar>
        <w:top w:w="0" w:type="dxa"/>
        <w:left w:w="108" w:type="dxa"/>
        <w:bottom w:w="0" w:type="dxa"/>
        <w:right w:w="108" w:type="dxa"/>
      </w:tblCellMar>
    </w:tblPr>
    <w:tblStylePr w:type="firstRow">
      <w:rPr>
        <w:sz w:val="24"/>
        <w:szCs w:val="24"/>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tblPr/>
      <w:tcPr>
        <w:tcBorders>
          <w:top w:val="single" w:color="F79646" w:themeColor="accent6"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F79646" w:themeColor="accent6" w:sz="8" w:space="0"/>
          <w:insideH w:val="nil"/>
          <w:insideV w:val="nil"/>
        </w:tcBorders>
        <w:shd w:val="clear" w:color="auto" w:fill="FFFFFF" w:themeFill="background1"/>
      </w:tcPr>
    </w:tblStylePr>
    <w:tblStylePr w:type="lastCol">
      <w:tblPr/>
      <w:tcPr>
        <w:tcBorders>
          <w:top w:val="nil"/>
          <w:left w:val="single" w:color="F79646" w:themeColor="accent6"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5D1" w:themeFill="accent6" w:themeFillTint="3F"/>
      </w:tcPr>
    </w:tblStylePr>
    <w:tblStylePr w:type="band1Horz">
      <w:tblPr/>
      <w:tcPr>
        <w:tcBorders>
          <w:top w:val="nil"/>
          <w:bottom w:val="nil"/>
          <w:insideH w:val="nil"/>
          <w:insideV w:val="nil"/>
        </w:tcBorders>
        <w:shd w:val="clear" w:color="auto" w:fill="FDE5D1"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86">
    <w:name w:val="Medium Grid 1"/>
    <w:basedOn w:val="35"/>
    <w:uiPriority w:val="67"/>
    <w:pPr>
      <w:spacing w:after="0" w:line="240" w:lineRule="auto"/>
    </w:pPr>
    <w:tblPr>
      <w:tblBorders>
        <w:top w:val="single" w:color="3F3F3F" w:themeColor="text1" w:themeTint="BF" w:sz="8" w:space="0"/>
        <w:left w:val="single" w:color="3F3F3F" w:themeColor="text1" w:themeTint="BF" w:sz="8" w:space="0"/>
        <w:bottom w:val="single" w:color="3F3F3F" w:themeColor="text1" w:themeTint="BF" w:sz="8" w:space="0"/>
        <w:right w:val="single" w:color="3F3F3F" w:themeColor="text1" w:themeTint="BF" w:sz="8" w:space="0"/>
        <w:insideH w:val="single" w:color="3F3F3F" w:themeColor="text1" w:themeTint="BF" w:sz="8" w:space="0"/>
        <w:insideV w:val="single" w:color="3F3F3F" w:themeColor="text1" w:themeTint="BF" w:sz="8" w:space="0"/>
      </w:tblBorders>
      <w:tblCellMar>
        <w:top w:w="0" w:type="dxa"/>
        <w:left w:w="108" w:type="dxa"/>
        <w:bottom w:w="0" w:type="dxa"/>
        <w:right w:w="108" w:type="dxa"/>
      </w:tblCellMar>
    </w:tblPr>
    <w:tcPr>
      <w:shd w:val="clear" w:color="auto" w:fill="BFBFBF" w:themeFill="text1" w:themeFillTint="3F"/>
    </w:tcPr>
    <w:tblStylePr w:type="firstRow">
      <w:rPr>
        <w:b/>
        <w:bCs/>
      </w:rPr>
    </w:tblStylePr>
    <w:tblStylePr w:type="lastRow">
      <w:rPr>
        <w:b/>
        <w:bCs/>
      </w:rPr>
      <w:tblPr/>
      <w:tcPr>
        <w:tcBorders>
          <w:top w:val="single" w:color="3F3F3F" w:themeColor="text1" w:themeTint="BF" w:sz="18" w:space="0"/>
        </w:tcBorders>
      </w:tcPr>
    </w:tblStylePr>
    <w:tblStylePr w:type="firstCol">
      <w:rPr>
        <w:b/>
        <w:bCs/>
      </w:rPr>
    </w:tblStylePr>
    <w:tblStylePr w:type="lastCol">
      <w:rPr>
        <w:b/>
        <w:bCs/>
      </w:rPr>
    </w:tblStylePr>
    <w:tblStylePr w:type="band1Vert">
      <w:tblPr/>
      <w:tcPr>
        <w:shd w:val="clear" w:color="auto" w:fill="7F7F7F" w:themeFill="text1" w:themeFillTint="7F"/>
      </w:tcPr>
    </w:tblStylePr>
    <w:tblStylePr w:type="band1Horz">
      <w:tblPr/>
      <w:tcPr>
        <w:shd w:val="clear" w:color="auto" w:fill="7F7F7F" w:themeFill="text1" w:themeFillTint="7F"/>
      </w:tcPr>
    </w:tblStylePr>
  </w:style>
  <w:style w:type="table" w:styleId="87">
    <w:name w:val="Medium Grid 1 Accent 1"/>
    <w:basedOn w:val="35"/>
    <w:uiPriority w:val="67"/>
    <w:pPr>
      <w:spacing w:after="0" w:line="240" w:lineRule="auto"/>
    </w:pPr>
    <w:tblPr>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insideV w:val="single" w:color="7BA0CD" w:themeColor="accent1" w:themeTint="BF" w:sz="8" w:space="0"/>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color="7BA0CD" w:themeColor="accent1" w:themeTint="BF" w:sz="18" w:space="0"/>
        </w:tcBorders>
      </w:tcPr>
    </w:tblStylePr>
    <w:tblStylePr w:type="firstCol">
      <w:rPr>
        <w:b/>
        <w:bCs/>
      </w:rPr>
    </w:tblStylePr>
    <w:tblStylePr w:type="lastCol">
      <w:rPr>
        <w:b/>
        <w:bCs/>
      </w:rPr>
    </w:tblStylePr>
    <w:tblStylePr w:type="band1Vert">
      <w:tblPr/>
      <w:tcPr>
        <w:shd w:val="clear" w:color="auto" w:fill="A7C0DE" w:themeFill="accent1" w:themeFillTint="7F"/>
      </w:tcPr>
    </w:tblStylePr>
    <w:tblStylePr w:type="band1Horz">
      <w:tblPr/>
      <w:tcPr>
        <w:shd w:val="clear" w:color="auto" w:fill="A7C0DE" w:themeFill="accent1" w:themeFillTint="7F"/>
      </w:tcPr>
    </w:tblStylePr>
  </w:style>
  <w:style w:type="table" w:styleId="88">
    <w:name w:val="Medium Grid 1 Accent 2"/>
    <w:basedOn w:val="35"/>
    <w:uiPriority w:val="67"/>
    <w:pPr>
      <w:spacing w:after="0" w:line="240" w:lineRule="auto"/>
    </w:pPr>
    <w:tblPr>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insideV w:val="single" w:color="CF7B79" w:themeColor="accent2" w:themeTint="BF" w:sz="8" w:space="0"/>
      </w:tblBorders>
      <w:tblCellMar>
        <w:top w:w="0" w:type="dxa"/>
        <w:left w:w="108" w:type="dxa"/>
        <w:bottom w:w="0" w:type="dxa"/>
        <w:right w:w="108" w:type="dxa"/>
      </w:tblCellMar>
    </w:tblPr>
    <w:tcPr>
      <w:shd w:val="clear" w:color="auto" w:fill="EFD3D3" w:themeFill="accent2" w:themeFillTint="3F"/>
    </w:tcPr>
    <w:tblStylePr w:type="firstRow">
      <w:rPr>
        <w:b/>
        <w:bCs/>
      </w:rPr>
    </w:tblStylePr>
    <w:tblStylePr w:type="lastRow">
      <w:rPr>
        <w:b/>
        <w:bCs/>
      </w:rPr>
      <w:tblPr/>
      <w:tcPr>
        <w:tcBorders>
          <w:top w:val="single" w:color="CF7B79" w:themeColor="accent2" w:themeTint="BF" w:sz="18" w:space="0"/>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89">
    <w:name w:val="Medium Grid 1 Accent 3"/>
    <w:basedOn w:val="35"/>
    <w:uiPriority w:val="67"/>
    <w:pPr>
      <w:spacing w:after="0" w:line="240" w:lineRule="auto"/>
    </w:pPr>
    <w:tblPr>
      <w:tblBorders>
        <w:top w:val="single" w:color="B4CC82" w:themeColor="accent3" w:themeTint="BF" w:sz="8" w:space="0"/>
        <w:left w:val="single" w:color="B4CC82" w:themeColor="accent3" w:themeTint="BF" w:sz="8" w:space="0"/>
        <w:bottom w:val="single" w:color="B4CC82" w:themeColor="accent3" w:themeTint="BF" w:sz="8" w:space="0"/>
        <w:right w:val="single" w:color="B4CC82" w:themeColor="accent3" w:themeTint="BF" w:sz="8" w:space="0"/>
        <w:insideH w:val="single" w:color="B4CC82" w:themeColor="accent3" w:themeTint="BF" w:sz="8" w:space="0"/>
        <w:insideV w:val="single" w:color="B4CC82" w:themeColor="accent3" w:themeTint="BF" w:sz="8" w:space="0"/>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color="B4CC82" w:themeColor="accent3" w:themeTint="BF" w:sz="18" w:space="0"/>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90">
    <w:name w:val="Medium Grid 1 Accent 4"/>
    <w:basedOn w:val="35"/>
    <w:uiPriority w:val="67"/>
    <w:pPr>
      <w:spacing w:after="0" w:line="240" w:lineRule="auto"/>
    </w:pPr>
    <w:tblPr>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insideV w:val="single" w:color="9F8AB9" w:themeColor="accent4" w:themeTint="BF" w:sz="8" w:space="0"/>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color="9F8AB9" w:themeColor="accent4" w:themeTint="BF" w:sz="18" w:space="0"/>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91">
    <w:name w:val="Medium Grid 1 Accent 5"/>
    <w:basedOn w:val="35"/>
    <w:uiPriority w:val="67"/>
    <w:pPr>
      <w:spacing w:after="0" w:line="240" w:lineRule="auto"/>
    </w:pPr>
    <w:tblPr>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insideV w:val="single" w:color="78C0D4" w:themeColor="accent5" w:themeTint="BF" w:sz="8" w:space="0"/>
      </w:tblBorders>
      <w:tblCellMar>
        <w:top w:w="0" w:type="dxa"/>
        <w:left w:w="108" w:type="dxa"/>
        <w:bottom w:w="0" w:type="dxa"/>
        <w:right w:w="108" w:type="dxa"/>
      </w:tblCellMar>
    </w:tblPr>
    <w:tcPr>
      <w:shd w:val="clear" w:color="auto" w:fill="D2EAF0" w:themeFill="accent5" w:themeFillTint="3F"/>
    </w:tcPr>
    <w:tblStylePr w:type="firstRow">
      <w:rPr>
        <w:b/>
        <w:bCs/>
      </w:rPr>
    </w:tblStylePr>
    <w:tblStylePr w:type="lastRow">
      <w:rPr>
        <w:b/>
        <w:bCs/>
      </w:rPr>
      <w:tblPr/>
      <w:tcPr>
        <w:tcBorders>
          <w:top w:val="single" w:color="78C0D4" w:themeColor="accent5" w:themeTint="BF" w:sz="18" w:space="0"/>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92">
    <w:name w:val="Medium Grid 1 Accent 6"/>
    <w:basedOn w:val="35"/>
    <w:uiPriority w:val="67"/>
    <w:pPr>
      <w:spacing w:after="0" w:line="240" w:lineRule="auto"/>
    </w:pPr>
    <w:tblPr>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insideV w:val="single" w:color="F9B074" w:themeColor="accent6" w:themeTint="BF" w:sz="8" w:space="0"/>
      </w:tblBorders>
      <w:tblCellMar>
        <w:top w:w="0" w:type="dxa"/>
        <w:left w:w="108" w:type="dxa"/>
        <w:bottom w:w="0" w:type="dxa"/>
        <w:right w:w="108" w:type="dxa"/>
      </w:tblCellMar>
    </w:tblPr>
    <w:tcPr>
      <w:shd w:val="clear" w:color="auto" w:fill="FDE5D1" w:themeFill="accent6" w:themeFillTint="3F"/>
    </w:tcPr>
    <w:tblStylePr w:type="firstRow">
      <w:rPr>
        <w:b/>
        <w:bCs/>
      </w:rPr>
    </w:tblStylePr>
    <w:tblStylePr w:type="lastRow">
      <w:rPr>
        <w:b/>
        <w:bCs/>
      </w:rPr>
      <w:tblPr/>
      <w:tcPr>
        <w:tcBorders>
          <w:top w:val="single" w:color="F9B074" w:themeColor="accent6" w:themeTint="BF" w:sz="18" w:space="0"/>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93">
    <w:name w:val="Medium Grid 2"/>
    <w:basedOn w:val="35"/>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
    <w:tcPr>
      <w:shd w:val="clear" w:color="auto" w:fill="BFBFBF" w:themeFill="text1" w:themeFillTint="3F"/>
    </w:tcPr>
    <w:tblStylePr w:type="firstRow">
      <w:rPr>
        <w:b/>
        <w:bCs/>
        <w:color w:val="000000" w:themeColor="text1"/>
        <w14:textFill>
          <w14:solidFill>
            <w14:schemeClr w14:val="tx1"/>
          </w14:solidFill>
        </w14:textFill>
      </w:rPr>
      <w:tblPr/>
      <w:tcPr>
        <w:shd w:val="clear" w:color="auto" w:fill="E5E5E5" w:themeFill="text1"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7F7F7F" w:themeFill="text1" w:themeFillTint="7F"/>
      </w:tcPr>
    </w:tblStylePr>
    <w:tblStylePr w:type="band1Horz">
      <w:tblPr/>
      <w:tcPr>
        <w:tcBorders>
          <w:insideH w:val="single" w:sz="6" w:space="0"/>
          <w:insideV w:val="single" w:sz="6" w:space="0"/>
        </w:tcBorders>
        <w:shd w:val="clear" w:color="auto" w:fill="7F7F7F" w:themeFill="text1" w:themeFillTint="7F"/>
      </w:tcPr>
    </w:tblStylePr>
    <w:tblStylePr w:type="nwCell">
      <w:tblPr/>
      <w:tcPr>
        <w:shd w:val="clear" w:color="auto" w:fill="FFFFFF" w:themeFill="background1"/>
      </w:tcPr>
    </w:tblStylePr>
  </w:style>
  <w:style w:type="table" w:styleId="94">
    <w:name w:val="Medium Grid 2 Accent 1"/>
    <w:basedOn w:val="35"/>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14:textFill>
          <w14:solidFill>
            <w14:schemeClr w14:val="tx1"/>
          </w14:solidFill>
        </w14:textFill>
      </w:rPr>
      <w:tblPr/>
      <w:tcPr>
        <w:shd w:val="clear" w:color="auto" w:fill="EDF2F8" w:themeFill="accent1"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C0DE" w:themeFill="accent1" w:themeFillTint="7F"/>
      </w:tcPr>
    </w:tblStylePr>
    <w:tblStylePr w:type="band1Horz">
      <w:tblPr/>
      <w:tcPr>
        <w:tcBorders>
          <w:insideH w:val="single" w:sz="6" w:space="0"/>
          <w:insideV w:val="single" w:sz="6" w:space="0"/>
        </w:tcBorders>
        <w:shd w:val="clear" w:color="auto" w:fill="A7C0DE" w:themeFill="accent1" w:themeFillTint="7F"/>
      </w:tcPr>
    </w:tblStylePr>
    <w:tblStylePr w:type="nwCell">
      <w:tblPr/>
      <w:tcPr>
        <w:shd w:val="clear" w:color="auto" w:fill="FFFFFF" w:themeFill="background1"/>
      </w:tcPr>
    </w:tblStylePr>
  </w:style>
  <w:style w:type="table" w:styleId="95">
    <w:name w:val="Medium Grid 2 Accent 2"/>
    <w:basedOn w:val="35"/>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CellMar>
        <w:top w:w="0" w:type="dxa"/>
        <w:left w:w="108" w:type="dxa"/>
        <w:bottom w:w="0" w:type="dxa"/>
        <w:right w:w="108" w:type="dxa"/>
      </w:tblCellMar>
    </w:tblPr>
    <w:tcPr>
      <w:shd w:val="clear" w:color="auto" w:fill="EFD3D3" w:themeFill="accent2" w:themeFillTint="3F"/>
    </w:tcPr>
    <w:tblStylePr w:type="firstRow">
      <w:rPr>
        <w:b/>
        <w:bCs/>
        <w:color w:val="000000" w:themeColor="text1"/>
        <w14:textFill>
          <w14:solidFill>
            <w14:schemeClr w14:val="tx1"/>
          </w14:solidFill>
        </w14:textFill>
      </w:rPr>
      <w:tblPr/>
      <w:tcPr>
        <w:shd w:val="clear" w:color="auto" w:fill="F8EDED" w:themeFill="accent2"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insideV w:val="single" w:sz="6" w:space="0"/>
        </w:tcBorders>
        <w:shd w:val="clear" w:color="auto" w:fill="DFA7A6" w:themeFill="accent2" w:themeFillTint="7F"/>
      </w:tcPr>
    </w:tblStylePr>
    <w:tblStylePr w:type="nwCell">
      <w:tblPr/>
      <w:tcPr>
        <w:shd w:val="clear" w:color="auto" w:fill="FFFFFF" w:themeFill="background1"/>
      </w:tcPr>
    </w:tblStylePr>
  </w:style>
  <w:style w:type="table" w:styleId="96">
    <w:name w:val="Medium Grid 2 Accent 3"/>
    <w:basedOn w:val="35"/>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14:textFill>
          <w14:solidFill>
            <w14:schemeClr w14:val="tx1"/>
          </w14:solidFill>
        </w14:textFill>
      </w:rPr>
      <w:tblPr/>
      <w:tcPr>
        <w:shd w:val="clear" w:color="auto" w:fill="F5F8EE" w:themeFill="accent3"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insideV w:val="single" w:sz="6" w:space="0"/>
        </w:tcBorders>
        <w:shd w:val="clear" w:color="auto" w:fill="CDDDAC" w:themeFill="accent3" w:themeFillTint="7F"/>
      </w:tcPr>
    </w:tblStylePr>
    <w:tblStylePr w:type="nwCell">
      <w:tblPr/>
      <w:tcPr>
        <w:shd w:val="clear" w:color="auto" w:fill="FFFFFF" w:themeFill="background1"/>
      </w:tcPr>
    </w:tblStylePr>
  </w:style>
  <w:style w:type="table" w:styleId="97">
    <w:name w:val="Medium Grid 2 Accent 4"/>
    <w:basedOn w:val="35"/>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14:textFill>
          <w14:solidFill>
            <w14:schemeClr w14:val="tx1"/>
          </w14:solidFill>
        </w14:textFill>
      </w:rPr>
      <w:tblPr/>
      <w:tcPr>
        <w:shd w:val="clear" w:color="auto" w:fill="F2EFF5" w:themeFill="accent4"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insideV w:val="single" w:sz="6" w:space="0"/>
        </w:tcBorders>
        <w:shd w:val="clear" w:color="auto" w:fill="BFB1D0" w:themeFill="accent4" w:themeFillTint="7F"/>
      </w:tcPr>
    </w:tblStylePr>
    <w:tblStylePr w:type="nwCell">
      <w:tblPr/>
      <w:tcPr>
        <w:shd w:val="clear" w:color="auto" w:fill="FFFFFF" w:themeFill="background1"/>
      </w:tcPr>
    </w:tblStylePr>
  </w:style>
  <w:style w:type="table" w:styleId="98">
    <w:name w:val="Medium Grid 2 Accent 5"/>
    <w:basedOn w:val="35"/>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CellMar>
        <w:top w:w="0" w:type="dxa"/>
        <w:left w:w="108" w:type="dxa"/>
        <w:bottom w:w="0" w:type="dxa"/>
        <w:right w:w="108" w:type="dxa"/>
      </w:tblCellMar>
    </w:tblPr>
    <w:tcPr>
      <w:shd w:val="clear" w:color="auto" w:fill="D2EAF0" w:themeFill="accent5" w:themeFillTint="3F"/>
    </w:tcPr>
    <w:tblStylePr w:type="firstRow">
      <w:rPr>
        <w:b/>
        <w:bCs/>
        <w:color w:val="000000" w:themeColor="text1"/>
        <w14:textFill>
          <w14:solidFill>
            <w14:schemeClr w14:val="tx1"/>
          </w14:solidFill>
        </w14:textFill>
      </w:rPr>
      <w:tblPr/>
      <w:tcPr>
        <w:shd w:val="clear" w:color="auto" w:fill="EDF6F9" w:themeFill="accent5"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insideV w:val="single" w:sz="6" w:space="0"/>
        </w:tcBorders>
        <w:shd w:val="clear" w:color="auto" w:fill="A5D5E2" w:themeFill="accent5" w:themeFillTint="7F"/>
      </w:tcPr>
    </w:tblStylePr>
    <w:tblStylePr w:type="nwCell">
      <w:tblPr/>
      <w:tcPr>
        <w:shd w:val="clear" w:color="auto" w:fill="FFFFFF" w:themeFill="background1"/>
      </w:tcPr>
    </w:tblStylePr>
  </w:style>
  <w:style w:type="table" w:styleId="99">
    <w:name w:val="Medium Grid 2 Accent 6"/>
    <w:basedOn w:val="35"/>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CellMar>
        <w:top w:w="0" w:type="dxa"/>
        <w:left w:w="108" w:type="dxa"/>
        <w:bottom w:w="0" w:type="dxa"/>
        <w:right w:w="108" w:type="dxa"/>
      </w:tblCellMar>
    </w:tblPr>
    <w:tcPr>
      <w:shd w:val="clear" w:color="auto" w:fill="FDE5D1" w:themeFill="accent6" w:themeFillTint="3F"/>
    </w:tcPr>
    <w:tblStylePr w:type="firstRow">
      <w:rPr>
        <w:b/>
        <w:bCs/>
        <w:color w:val="000000" w:themeColor="text1"/>
        <w14:textFill>
          <w14:solidFill>
            <w14:schemeClr w14:val="tx1"/>
          </w14:solidFill>
        </w14:textFill>
      </w:rPr>
      <w:tblPr/>
      <w:tcPr>
        <w:shd w:val="clear" w:color="auto" w:fill="FEF4EC" w:themeFill="accent6"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insideV w:val="single" w:sz="6" w:space="0"/>
        </w:tcBorders>
        <w:shd w:val="clear" w:color="auto" w:fill="FBCAA2" w:themeFill="accent6" w:themeFillTint="7F"/>
      </w:tcPr>
    </w:tblStylePr>
    <w:tblStylePr w:type="nwCell">
      <w:tblPr/>
      <w:tcPr>
        <w:shd w:val="clear" w:color="auto" w:fill="FFFFFF" w:themeFill="background1"/>
      </w:tcPr>
    </w:tblStylePr>
  </w:style>
  <w:style w:type="table" w:styleId="100">
    <w:name w:val="Medium Grid 3"/>
    <w:basedOn w:val="35"/>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BFBFBF" w:themeFill="text1"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000000" w:themeFill="text1"/>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000000" w:themeFill="text1"/>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000000" w:themeFill="text1"/>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000000" w:themeFill="tex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7F7F7F" w:themeFill="tex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7F7F7F" w:themeFill="text1" w:themeFillTint="7F"/>
      </w:tcPr>
    </w:tblStylePr>
  </w:style>
  <w:style w:type="table" w:styleId="101">
    <w:name w:val="Medium Grid 3 Accent 1"/>
    <w:basedOn w:val="35"/>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4F81BD" w:themeFill="accent1"/>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4F81BD" w:themeFill="accent1"/>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C0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A7C0DE" w:themeFill="accent1" w:themeFillTint="7F"/>
      </w:tcPr>
    </w:tblStylePr>
  </w:style>
  <w:style w:type="table" w:styleId="102">
    <w:name w:val="Medium Grid 3 Accent 2"/>
    <w:basedOn w:val="35"/>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EFD3D3" w:themeFill="accent2"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C0504D" w:themeFill="accent2"/>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C0504D" w:themeFill="accent2"/>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C0504D" w:themeFill="accent2"/>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C0504D" w:themeFill="accent2"/>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DFA7A6" w:themeFill="accent2"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DFA7A6" w:themeFill="accent2" w:themeFillTint="7F"/>
      </w:tcPr>
    </w:tblStylePr>
  </w:style>
  <w:style w:type="table" w:styleId="103">
    <w:name w:val="Medium Grid 3 Accent 3"/>
    <w:basedOn w:val="35"/>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9BBB59" w:themeFill="accent3"/>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9BBB59" w:themeFill="accent3"/>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9BBB59" w:themeFill="accent3"/>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9BBB59" w:themeFill="accent3"/>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CDDDAC" w:themeFill="accent3"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CDDDAC" w:themeFill="accent3" w:themeFillTint="7F"/>
      </w:tcPr>
    </w:tblStylePr>
  </w:style>
  <w:style w:type="table" w:styleId="104">
    <w:name w:val="Medium Grid 3 Accent 4"/>
    <w:basedOn w:val="35"/>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8064A2" w:themeFill="accent4"/>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8064A2" w:themeFill="accent4"/>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8064A2" w:themeFill="accent4"/>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8064A2" w:themeFill="accent4"/>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BFB1D0" w:themeFill="accent4"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BFB1D0" w:themeFill="accent4" w:themeFillTint="7F"/>
      </w:tcPr>
    </w:tblStylePr>
  </w:style>
  <w:style w:type="table" w:styleId="105">
    <w:name w:val="Medium Grid 3 Accent 5"/>
    <w:basedOn w:val="35"/>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2EAF0" w:themeFill="accent5"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4BACC6" w:themeFill="accent5"/>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4BACC6" w:themeFill="accent5"/>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4BACC6" w:themeFill="accent5"/>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4BACC6" w:themeFill="accent5"/>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5D5E2" w:themeFill="accent5"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A5D5E2" w:themeFill="accent5" w:themeFillTint="7F"/>
      </w:tcPr>
    </w:tblStylePr>
  </w:style>
  <w:style w:type="table" w:styleId="106">
    <w:name w:val="Medium Grid 3 Accent 6"/>
    <w:basedOn w:val="35"/>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FDE5D1" w:themeFill="accent6"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F79646" w:themeFill="accent6"/>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F79646" w:themeFill="accent6"/>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F79646" w:themeFill="accent6"/>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F79646" w:themeFill="accent6"/>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FBCAA2" w:themeFill="accent6"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FBCAA2" w:themeFill="accent6" w:themeFillTint="7F"/>
      </w:tcPr>
    </w:tblStylePr>
  </w:style>
  <w:style w:type="table" w:styleId="107">
    <w:name w:val="Dark List"/>
    <w:basedOn w:val="35"/>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color="FFFFFF" w:themeColor="background1" w:sz="18" w:space="0"/>
          <w:insideH w:val="nil"/>
          <w:insideV w:val="nil"/>
        </w:tcBorders>
        <w:shd w:val="clear" w:color="auto" w:fill="000000" w:themeFill="text1" w:themeFillShade="BF"/>
      </w:tcPr>
    </w:tblStylePr>
    <w:tblStylePr w:type="lastCol">
      <w:tblPr/>
      <w:tcPr>
        <w:tcBorders>
          <w:top w:val="nil"/>
          <w:left w:val="single" w:color="FFFFFF" w:themeColor="background1" w:sz="18" w:space="0"/>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08">
    <w:name w:val="Dark List Accent 1"/>
    <w:basedOn w:val="35"/>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43F61" w:themeFill="accent1" w:themeFillShade="7F"/>
      </w:tcPr>
    </w:tblStylePr>
    <w:tblStylePr w:type="firstCol">
      <w:tblPr/>
      <w:tcPr>
        <w:tcBorders>
          <w:top w:val="nil"/>
          <w:left w:val="nil"/>
          <w:bottom w:val="nil"/>
          <w:right w:val="single" w:color="FFFFFF" w:themeColor="background1" w:sz="18" w:space="0"/>
          <w:insideH w:val="nil"/>
          <w:insideV w:val="nil"/>
        </w:tcBorders>
        <w:shd w:val="clear" w:color="auto" w:fill="366091" w:themeFill="accent1" w:themeFillShade="BF"/>
      </w:tcPr>
    </w:tblStylePr>
    <w:tblStylePr w:type="lastCol">
      <w:tblPr/>
      <w:tcPr>
        <w:tcBorders>
          <w:top w:val="nil"/>
          <w:left w:val="single" w:color="FFFFFF" w:themeColor="background1" w:sz="18" w:space="0"/>
          <w:bottom w:val="nil"/>
          <w:right w:val="nil"/>
          <w:insideH w:val="nil"/>
          <w:insideV w:val="nil"/>
        </w:tcBorders>
        <w:shd w:val="clear" w:color="auto" w:fill="366091" w:themeFill="accent1" w:themeFillShade="BF"/>
      </w:tcPr>
    </w:tblStylePr>
    <w:tblStylePr w:type="band1Vert">
      <w:tblPr/>
      <w:tcPr>
        <w:tcBorders>
          <w:top w:val="nil"/>
          <w:left w:val="nil"/>
          <w:bottom w:val="nil"/>
          <w:right w:val="nil"/>
          <w:insideH w:val="nil"/>
          <w:insideV w:val="nil"/>
        </w:tcBorders>
        <w:shd w:val="clear" w:color="auto" w:fill="366091" w:themeFill="accent1" w:themeFillShade="BF"/>
      </w:tcPr>
    </w:tblStylePr>
    <w:tblStylePr w:type="band1Horz">
      <w:tblPr/>
      <w:tcPr>
        <w:tcBorders>
          <w:top w:val="nil"/>
          <w:left w:val="nil"/>
          <w:bottom w:val="nil"/>
          <w:right w:val="nil"/>
          <w:insideH w:val="nil"/>
          <w:insideV w:val="nil"/>
        </w:tcBorders>
        <w:shd w:val="clear" w:color="auto" w:fill="366091" w:themeFill="accent1" w:themeFillShade="BF"/>
      </w:tcPr>
    </w:tblStylePr>
  </w:style>
  <w:style w:type="table" w:styleId="109">
    <w:name w:val="Dark List Accent 2"/>
    <w:basedOn w:val="35"/>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color="FFFFFF" w:themeColor="background1" w:sz="18" w:space="0"/>
          <w:insideH w:val="nil"/>
          <w:insideV w:val="nil"/>
        </w:tcBorders>
        <w:shd w:val="clear" w:color="auto" w:fill="943734" w:themeFill="accent2" w:themeFillShade="BF"/>
      </w:tcPr>
    </w:tblStylePr>
    <w:tblStylePr w:type="lastCol">
      <w:tblPr/>
      <w:tcPr>
        <w:tcBorders>
          <w:top w:val="nil"/>
          <w:left w:val="single" w:color="FFFFFF" w:themeColor="background1" w:sz="18" w:space="0"/>
          <w:bottom w:val="nil"/>
          <w:right w:val="nil"/>
          <w:insideH w:val="nil"/>
          <w:insideV w:val="nil"/>
        </w:tcBorders>
        <w:shd w:val="clear" w:color="auto" w:fill="943734" w:themeFill="accent2" w:themeFillShade="BF"/>
      </w:tcPr>
    </w:tblStylePr>
    <w:tblStylePr w:type="band1Vert">
      <w:tblPr/>
      <w:tcPr>
        <w:tcBorders>
          <w:top w:val="nil"/>
          <w:left w:val="nil"/>
          <w:bottom w:val="nil"/>
          <w:right w:val="nil"/>
          <w:insideH w:val="nil"/>
          <w:insideV w:val="nil"/>
        </w:tcBorders>
        <w:shd w:val="clear" w:color="auto" w:fill="943734" w:themeFill="accent2" w:themeFillShade="BF"/>
      </w:tcPr>
    </w:tblStylePr>
    <w:tblStylePr w:type="band1Horz">
      <w:tblPr/>
      <w:tcPr>
        <w:tcBorders>
          <w:top w:val="nil"/>
          <w:left w:val="nil"/>
          <w:bottom w:val="nil"/>
          <w:right w:val="nil"/>
          <w:insideH w:val="nil"/>
          <w:insideV w:val="nil"/>
        </w:tcBorders>
        <w:shd w:val="clear" w:color="auto" w:fill="943734" w:themeFill="accent2" w:themeFillShade="BF"/>
      </w:tcPr>
    </w:tblStylePr>
  </w:style>
  <w:style w:type="table" w:styleId="110">
    <w:name w:val="Dark List Accent 3"/>
    <w:basedOn w:val="35"/>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4E6127" w:themeFill="accent3" w:themeFillShade="7F"/>
      </w:tcPr>
    </w:tblStylePr>
    <w:tblStylePr w:type="firstCol">
      <w:tblPr/>
      <w:tcPr>
        <w:tcBorders>
          <w:top w:val="nil"/>
          <w:left w:val="nil"/>
          <w:bottom w:val="nil"/>
          <w:right w:val="single" w:color="FFFFFF" w:themeColor="background1" w:sz="18" w:space="0"/>
          <w:insideH w:val="nil"/>
          <w:insideV w:val="nil"/>
        </w:tcBorders>
        <w:shd w:val="clear" w:color="auto" w:fill="76923C" w:themeFill="accent3" w:themeFillShade="BF"/>
      </w:tcPr>
    </w:tblStylePr>
    <w:tblStylePr w:type="lastCol">
      <w:tblPr/>
      <w:tcPr>
        <w:tcBorders>
          <w:top w:val="nil"/>
          <w:left w:val="single" w:color="FFFFFF" w:themeColor="background1" w:sz="18" w:space="0"/>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111">
    <w:name w:val="Dark List Accent 4"/>
    <w:basedOn w:val="35"/>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3F3051" w:themeFill="accent4" w:themeFillShade="7F"/>
      </w:tcPr>
    </w:tblStylePr>
    <w:tblStylePr w:type="firstCol">
      <w:tblPr/>
      <w:tcPr>
        <w:tcBorders>
          <w:top w:val="nil"/>
          <w:left w:val="nil"/>
          <w:bottom w:val="nil"/>
          <w:right w:val="single" w:color="FFFFFF" w:themeColor="background1" w:sz="18" w:space="0"/>
          <w:insideH w:val="nil"/>
          <w:insideV w:val="nil"/>
        </w:tcBorders>
        <w:shd w:val="clear" w:color="auto" w:fill="5F497A" w:themeFill="accent4" w:themeFillShade="BF"/>
      </w:tcPr>
    </w:tblStylePr>
    <w:tblStylePr w:type="lastCol">
      <w:tblPr/>
      <w:tcPr>
        <w:tcBorders>
          <w:top w:val="nil"/>
          <w:left w:val="single" w:color="FFFFFF" w:themeColor="background1" w:sz="18" w:space="0"/>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112">
    <w:name w:val="Dark List Accent 5"/>
    <w:basedOn w:val="35"/>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color="FFFFFF" w:themeColor="background1" w:sz="18" w:space="0"/>
          <w:insideH w:val="nil"/>
          <w:insideV w:val="nil"/>
        </w:tcBorders>
        <w:shd w:val="clear" w:color="auto" w:fill="31849B" w:themeFill="accent5" w:themeFillShade="BF"/>
      </w:tcPr>
    </w:tblStylePr>
    <w:tblStylePr w:type="lastCol">
      <w:tblPr/>
      <w:tcPr>
        <w:tcBorders>
          <w:top w:val="nil"/>
          <w:left w:val="single" w:color="FFFFFF" w:themeColor="background1" w:sz="18" w:space="0"/>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113">
    <w:name w:val="Dark List Accent 6"/>
    <w:basedOn w:val="35"/>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color="FFFFFF" w:themeColor="background1" w:sz="18" w:space="0"/>
          <w:insideH w:val="nil"/>
          <w:insideV w:val="nil"/>
        </w:tcBorders>
        <w:shd w:val="clear" w:color="auto" w:fill="E36C09" w:themeFill="accent6" w:themeFillShade="BF"/>
      </w:tcPr>
    </w:tblStylePr>
    <w:tblStylePr w:type="lastCol">
      <w:tblPr/>
      <w:tcPr>
        <w:tcBorders>
          <w:top w:val="nil"/>
          <w:left w:val="single" w:color="FFFFFF" w:themeColor="background1" w:sz="18" w:space="0"/>
          <w:bottom w:val="nil"/>
          <w:right w:val="nil"/>
          <w:insideH w:val="nil"/>
          <w:insideV w:val="nil"/>
        </w:tcBorders>
        <w:shd w:val="clear" w:color="auto" w:fill="E36C09" w:themeFill="accent6" w:themeFillShade="BF"/>
      </w:tcPr>
    </w:tblStylePr>
    <w:tblStylePr w:type="band1Vert">
      <w:tblPr/>
      <w:tcPr>
        <w:tcBorders>
          <w:top w:val="nil"/>
          <w:left w:val="nil"/>
          <w:bottom w:val="nil"/>
          <w:right w:val="nil"/>
          <w:insideH w:val="nil"/>
          <w:insideV w:val="nil"/>
        </w:tcBorders>
        <w:shd w:val="clear" w:color="auto" w:fill="E36C09" w:themeFill="accent6" w:themeFillShade="BF"/>
      </w:tcPr>
    </w:tblStylePr>
    <w:tblStylePr w:type="band1Horz">
      <w:tblPr/>
      <w:tcPr>
        <w:tcBorders>
          <w:top w:val="nil"/>
          <w:left w:val="nil"/>
          <w:bottom w:val="nil"/>
          <w:right w:val="nil"/>
          <w:insideH w:val="nil"/>
          <w:insideV w:val="nil"/>
        </w:tcBorders>
        <w:shd w:val="clear" w:color="auto" w:fill="E36C09" w:themeFill="accent6" w:themeFillShade="BF"/>
      </w:tcPr>
    </w:tblStylePr>
  </w:style>
  <w:style w:type="table" w:styleId="114">
    <w:name w:val="Colorful Shading"/>
    <w:basedOn w:val="35"/>
    <w:uiPriority w:val="71"/>
    <w:pPr>
      <w:spacing w:after="0" w:line="240" w:lineRule="auto"/>
    </w:pPr>
    <w:rPr>
      <w:color w:val="000000" w:themeColor="text1"/>
      <w14:textFill>
        <w14:solidFill>
          <w14:schemeClr w14:val="tx1"/>
        </w14:solidFill>
      </w14:textFill>
    </w:rPr>
    <w:tblPr>
      <w:tblBorders>
        <w:top w:val="single" w:color="C0504D" w:themeColor="accent2" w:sz="24" w:space="0"/>
        <w:left w:val="single" w:color="000000" w:themeColor="text1" w:sz="4" w:space="0"/>
        <w:bottom w:val="single" w:color="000000" w:themeColor="text1" w:sz="4" w:space="0"/>
        <w:right w:val="single" w:color="000000" w:themeColor="text1"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5E5E5" w:themeFill="tex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000000" w:themeFill="text1"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000000" w:themeFill="text1"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7F7F7F" w:themeFill="text1"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5">
    <w:name w:val="Colorful Shading Accent 1"/>
    <w:basedOn w:val="35"/>
    <w:uiPriority w:val="71"/>
    <w:pPr>
      <w:spacing w:after="0" w:line="240" w:lineRule="auto"/>
    </w:pPr>
    <w:rPr>
      <w:color w:val="000000" w:themeColor="text1"/>
      <w14:textFill>
        <w14:solidFill>
          <w14:schemeClr w14:val="tx1"/>
        </w14:solidFill>
      </w14:textFill>
    </w:rPr>
    <w:tblPr>
      <w:tblBorders>
        <w:top w:val="single" w:color="C0504D" w:themeColor="accent2" w:sz="24" w:space="0"/>
        <w:left w:val="single" w:color="4F81BD" w:themeColor="accent1" w:sz="4" w:space="0"/>
        <w:bottom w:val="single" w:color="4F81BD" w:themeColor="accent1" w:sz="4" w:space="0"/>
        <w:right w:val="single" w:color="4F81BD" w:themeColor="accent1"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2B4D74" w:themeFill="accent1"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2B4D74" w:themeFill="accent1"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2B4D74" w:themeFill="accent1" w:themeFillShade="99"/>
      </w:tcPr>
    </w:tblStylePr>
    <w:tblStylePr w:type="band1Vert">
      <w:tblPr/>
      <w:tcPr>
        <w:shd w:val="clear" w:color="auto" w:fill="B8CCE4" w:themeFill="accent1" w:themeFillTint="66"/>
      </w:tcPr>
    </w:tblStylePr>
    <w:tblStylePr w:type="band1Horz">
      <w:tblPr/>
      <w:tcPr>
        <w:shd w:val="clear" w:color="auto" w:fill="A7C0DE" w:themeFill="accent1"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6">
    <w:name w:val="Colorful Shading Accent 2"/>
    <w:basedOn w:val="35"/>
    <w:uiPriority w:val="71"/>
    <w:pPr>
      <w:spacing w:after="0" w:line="240" w:lineRule="auto"/>
    </w:pPr>
    <w:rPr>
      <w:color w:val="000000" w:themeColor="text1"/>
      <w14:textFill>
        <w14:solidFill>
          <w14:schemeClr w14:val="tx1"/>
        </w14:solidFill>
      </w14:textFill>
    </w:rPr>
    <w:tblPr>
      <w:tblBorders>
        <w:top w:val="single" w:color="C0504D" w:themeColor="accent2" w:sz="24" w:space="0"/>
        <w:left w:val="single" w:color="C0504D" w:themeColor="accent2" w:sz="4" w:space="0"/>
        <w:bottom w:val="single" w:color="C0504D" w:themeColor="accent2" w:sz="4" w:space="0"/>
        <w:right w:val="single" w:color="C0504D" w:themeColor="accent2"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772C2A" w:themeFill="accent2"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772C2A" w:themeFill="accent2"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7">
    <w:name w:val="Colorful Shading Accent 3"/>
    <w:basedOn w:val="35"/>
    <w:uiPriority w:val="71"/>
    <w:pPr>
      <w:spacing w:after="0" w:line="240" w:lineRule="auto"/>
    </w:pPr>
    <w:rPr>
      <w:color w:val="000000" w:themeColor="text1"/>
      <w14:textFill>
        <w14:solidFill>
          <w14:schemeClr w14:val="tx1"/>
        </w14:solidFill>
      </w14:textFill>
    </w:rPr>
    <w:tblPr>
      <w:tblBorders>
        <w:top w:val="single" w:color="8064A2" w:themeColor="accent4" w:sz="24" w:space="0"/>
        <w:left w:val="single" w:color="9BBB59" w:themeColor="accent3" w:sz="4" w:space="0"/>
        <w:bottom w:val="single" w:color="9BBB59" w:themeColor="accent3" w:sz="4" w:space="0"/>
        <w:right w:val="single" w:color="9BBB59" w:themeColor="accent3"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5E7530" w:themeFill="accent3"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5E7530" w:themeFill="accent3"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118">
    <w:name w:val="Colorful Shading Accent 4"/>
    <w:basedOn w:val="35"/>
    <w:uiPriority w:val="71"/>
    <w:pPr>
      <w:spacing w:after="0" w:line="240" w:lineRule="auto"/>
    </w:pPr>
    <w:rPr>
      <w:color w:val="000000" w:themeColor="text1"/>
      <w14:textFill>
        <w14:solidFill>
          <w14:schemeClr w14:val="tx1"/>
        </w14:solidFill>
      </w14:textFill>
    </w:rPr>
    <w:tblPr>
      <w:tblBorders>
        <w:top w:val="single" w:color="9BBB59" w:themeColor="accent3" w:sz="24" w:space="0"/>
        <w:left w:val="single" w:color="8064A2" w:themeColor="accent4" w:sz="4" w:space="0"/>
        <w:bottom w:val="single" w:color="8064A2" w:themeColor="accent4" w:sz="4" w:space="0"/>
        <w:right w:val="single" w:color="8064A2" w:themeColor="accent4"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2EFF5" w:themeFill="accent4" w:themeFillTint="19"/>
    </w:tcPr>
    <w:tblStylePr w:type="firstRow">
      <w:rPr>
        <w:b/>
        <w:bCs/>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4C3A62" w:themeFill="accent4"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4C3A62" w:themeFill="accent4"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4C3A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9">
    <w:name w:val="Colorful Shading Accent 5"/>
    <w:basedOn w:val="35"/>
    <w:uiPriority w:val="71"/>
    <w:pPr>
      <w:spacing w:after="0" w:line="240" w:lineRule="auto"/>
    </w:pPr>
    <w:rPr>
      <w:color w:val="000000" w:themeColor="text1"/>
      <w14:textFill>
        <w14:solidFill>
          <w14:schemeClr w14:val="tx1"/>
        </w14:solidFill>
      </w14:textFill>
    </w:rPr>
    <w:tblPr>
      <w:tblBorders>
        <w:top w:val="single" w:color="F79646" w:themeColor="accent6" w:sz="24" w:space="0"/>
        <w:left w:val="single" w:color="4BACC6" w:themeColor="accent5" w:sz="4" w:space="0"/>
        <w:bottom w:val="single" w:color="4BACC6" w:themeColor="accent5" w:sz="4" w:space="0"/>
        <w:right w:val="single" w:color="4BACC6" w:themeColor="accent5"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276A7C" w:themeFill="accent5"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276A7C" w:themeFill="accent5"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20">
    <w:name w:val="Colorful Shading Accent 6"/>
    <w:basedOn w:val="35"/>
    <w:uiPriority w:val="71"/>
    <w:pPr>
      <w:spacing w:after="0" w:line="240" w:lineRule="auto"/>
    </w:pPr>
    <w:rPr>
      <w:color w:val="000000" w:themeColor="text1"/>
      <w14:textFill>
        <w14:solidFill>
          <w14:schemeClr w14:val="tx1"/>
        </w14:solidFill>
      </w14:textFill>
    </w:rPr>
    <w:tblPr>
      <w:tblBorders>
        <w:top w:val="single" w:color="4BACC6" w:themeColor="accent5" w:sz="24" w:space="0"/>
        <w:left w:val="single" w:color="F79646" w:themeColor="accent6" w:sz="4" w:space="0"/>
        <w:bottom w:val="single" w:color="F79646" w:themeColor="accent6" w:sz="4" w:space="0"/>
        <w:right w:val="single" w:color="F79646" w:themeColor="accent6"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B65607" w:themeFill="accent6"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B65607" w:themeFill="accent6"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B65607"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21">
    <w:name w:val="Colorful List"/>
    <w:basedOn w:val="35"/>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E5E5E5" w:themeFill="text1"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9E3A38" w:themeFill="accent2" w:themeFillShade="CC"/>
      </w:tcPr>
    </w:tblStylePr>
    <w:tblStylePr w:type="lastRow">
      <w:rPr>
        <w:b/>
        <w:bCs/>
        <w:color w:val="9F3B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FBFBF" w:themeFill="text1" w:themeFillTint="3F"/>
      </w:tcPr>
    </w:tblStylePr>
    <w:tblStylePr w:type="band1Horz">
      <w:tblPr/>
      <w:tcPr>
        <w:shd w:val="clear" w:color="auto" w:fill="CCCCCC" w:themeFill="text1" w:themeFillTint="33"/>
      </w:tcPr>
    </w:tblStylePr>
  </w:style>
  <w:style w:type="table" w:styleId="122">
    <w:name w:val="Colorful List Accent 1"/>
    <w:basedOn w:val="35"/>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9E3A38" w:themeFill="accent2" w:themeFillShade="CC"/>
      </w:tcPr>
    </w:tblStylePr>
    <w:tblStylePr w:type="lastRow">
      <w:rPr>
        <w:b/>
        <w:bCs/>
        <w:color w:val="9F3B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123">
    <w:name w:val="Colorful List Accent 2"/>
    <w:basedOn w:val="35"/>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9E3A38" w:themeFill="accent2" w:themeFillShade="CC"/>
      </w:tcPr>
    </w:tblStylePr>
    <w:tblStylePr w:type="lastRow">
      <w:rPr>
        <w:b/>
        <w:bCs/>
        <w:color w:val="9F3B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3" w:themeFill="accent2" w:themeFillTint="3F"/>
      </w:tcPr>
    </w:tblStylePr>
    <w:tblStylePr w:type="band1Horz">
      <w:tblPr/>
      <w:tcPr>
        <w:shd w:val="clear" w:color="auto" w:fill="F2DBDB" w:themeFill="accent2" w:themeFillTint="33"/>
      </w:tcPr>
    </w:tblStylePr>
  </w:style>
  <w:style w:type="table" w:styleId="124">
    <w:name w:val="Colorful List Accent 3"/>
    <w:basedOn w:val="35"/>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664E82" w:themeFill="accent4" w:themeFillShade="CC"/>
      </w:tcPr>
    </w:tblStylePr>
    <w:tblStylePr w:type="lastRow">
      <w:rPr>
        <w:b/>
        <w:bCs/>
        <w:color w:val="664F83" w:themeColor="accent4"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125">
    <w:name w:val="Colorful List Accent 4"/>
    <w:basedOn w:val="35"/>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F2EFF5" w:themeFill="accent4"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7E9C40" w:themeFill="accent3" w:themeFillShade="CC"/>
      </w:tcPr>
    </w:tblStylePr>
    <w:tblStylePr w:type="lastRow">
      <w:rPr>
        <w:b/>
        <w:bCs/>
        <w:color w:val="7E9D40" w:themeColor="accent3"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126">
    <w:name w:val="Colorful List Accent 5"/>
    <w:basedOn w:val="35"/>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F3730A" w:themeFill="accent6" w:themeFillShade="CC"/>
      </w:tcPr>
    </w:tblStylePr>
    <w:tblStylePr w:type="lastRow">
      <w:rPr>
        <w:b/>
        <w:bCs/>
        <w:color w:val="F3740B" w:themeColor="accent6"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0" w:themeFill="accent5" w:themeFillTint="3F"/>
      </w:tcPr>
    </w:tblStylePr>
    <w:tblStylePr w:type="band1Horz">
      <w:tblPr/>
      <w:tcPr>
        <w:shd w:val="clear" w:color="auto" w:fill="DAEEF3" w:themeFill="accent5" w:themeFillTint="33"/>
      </w:tcPr>
    </w:tblStylePr>
  </w:style>
  <w:style w:type="table" w:styleId="127">
    <w:name w:val="Colorful List Accent 6"/>
    <w:basedOn w:val="35"/>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348DA5" w:themeFill="accent5" w:themeFillShade="CC"/>
      </w:tcPr>
    </w:tblStylePr>
    <w:tblStylePr w:type="lastRow">
      <w:rPr>
        <w:b/>
        <w:bCs/>
        <w:color w:val="358EA6" w:themeColor="accent5"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5D1" w:themeFill="accent6" w:themeFillTint="3F"/>
      </w:tcPr>
    </w:tblStylePr>
    <w:tblStylePr w:type="band1Horz">
      <w:tblPr/>
      <w:tcPr>
        <w:shd w:val="clear" w:color="auto" w:fill="FDE9D9" w:themeFill="accent6" w:themeFillTint="33"/>
      </w:tcPr>
    </w:tblStylePr>
  </w:style>
  <w:style w:type="table" w:styleId="128">
    <w:name w:val="Colorful Grid"/>
    <w:basedOn w:val="35"/>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14:textFill>
          <w14:solidFill>
            <w14:schemeClr w14:val="tx1"/>
          </w14:solidFill>
        </w14:textFill>
      </w:rPr>
      <w:tblPr/>
      <w:tcPr>
        <w:shd w:val="clear" w:color="auto" w:fill="999999" w:themeFill="text1" w:themeFillTint="66"/>
      </w:tcPr>
    </w:tblStylePr>
    <w:tblStylePr w:type="firstCol">
      <w:rPr>
        <w:color w:val="FFFFFF" w:themeColor="background1"/>
        <w14:textFill>
          <w14:solidFill>
            <w14:schemeClr w14:val="bg1"/>
          </w14:solidFill>
        </w14:textFill>
      </w:rPr>
      <w:tblPr/>
      <w:tcPr>
        <w:shd w:val="clear" w:color="auto" w:fill="000000" w:themeFill="text1" w:themeFillShade="BF"/>
      </w:tcPr>
    </w:tblStylePr>
    <w:tblStylePr w:type="lastCol">
      <w:rPr>
        <w:color w:val="FFFFFF" w:themeColor="background1"/>
        <w14:textFill>
          <w14:solidFill>
            <w14:schemeClr w14:val="bg1"/>
          </w14:solidFill>
        </w14:textFill>
      </w:rPr>
      <w:tblPr/>
      <w:tcPr>
        <w:shd w:val="clear" w:color="auto" w:fill="000000" w:themeFill="text1" w:themeFillShade="BF"/>
      </w:tcPr>
    </w:tblStylePr>
    <w:tblStylePr w:type="band1Vert">
      <w:tblPr/>
      <w:tcPr>
        <w:shd w:val="clear" w:color="auto" w:fill="7F7F7F" w:themeFill="text1" w:themeFillTint="7F"/>
      </w:tcPr>
    </w:tblStylePr>
    <w:tblStylePr w:type="band1Horz">
      <w:tblPr/>
      <w:tcPr>
        <w:shd w:val="clear" w:color="auto" w:fill="7F7F7F" w:themeFill="text1" w:themeFillTint="7F"/>
      </w:tcPr>
    </w:tblStylePr>
  </w:style>
  <w:style w:type="table" w:styleId="129">
    <w:name w:val="Colorful Grid Accent 1"/>
    <w:basedOn w:val="35"/>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14:textFill>
          <w14:solidFill>
            <w14:schemeClr w14:val="tx1"/>
          </w14:solidFill>
        </w14:textFill>
      </w:rPr>
      <w:tblPr/>
      <w:tcPr>
        <w:shd w:val="clear" w:color="auto" w:fill="B8CCE4" w:themeFill="accent1" w:themeFillTint="66"/>
      </w:tcPr>
    </w:tblStylePr>
    <w:tblStylePr w:type="firstCol">
      <w:rPr>
        <w:color w:val="FFFFFF" w:themeColor="background1"/>
        <w14:textFill>
          <w14:solidFill>
            <w14:schemeClr w14:val="bg1"/>
          </w14:solidFill>
        </w14:textFill>
      </w:rPr>
      <w:tblPr/>
      <w:tcPr>
        <w:shd w:val="clear" w:color="auto" w:fill="366091" w:themeFill="accent1" w:themeFillShade="BF"/>
      </w:tcPr>
    </w:tblStylePr>
    <w:tblStylePr w:type="lastCol">
      <w:rPr>
        <w:color w:val="FFFFFF" w:themeColor="background1"/>
        <w14:textFill>
          <w14:solidFill>
            <w14:schemeClr w14:val="bg1"/>
          </w14:solidFill>
        </w14:textFill>
      </w:rPr>
      <w:tblPr/>
      <w:tcPr>
        <w:shd w:val="clear" w:color="auto" w:fill="366091" w:themeFill="accent1" w:themeFillShade="BF"/>
      </w:tcPr>
    </w:tblStylePr>
    <w:tblStylePr w:type="band1Vert">
      <w:tblPr/>
      <w:tcPr>
        <w:shd w:val="clear" w:color="auto" w:fill="A7C0DE" w:themeFill="accent1" w:themeFillTint="7F"/>
      </w:tcPr>
    </w:tblStylePr>
    <w:tblStylePr w:type="band1Horz">
      <w:tblPr/>
      <w:tcPr>
        <w:shd w:val="clear" w:color="auto" w:fill="A7C0DE" w:themeFill="accent1" w:themeFillTint="7F"/>
      </w:tcPr>
    </w:tblStylePr>
  </w:style>
  <w:style w:type="table" w:styleId="130">
    <w:name w:val="Colorful Grid Accent 2"/>
    <w:basedOn w:val="35"/>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14:textFill>
          <w14:solidFill>
            <w14:schemeClr w14:val="tx1"/>
          </w14:solidFill>
        </w14:textFill>
      </w:rPr>
      <w:tblPr/>
      <w:tcPr>
        <w:shd w:val="clear" w:color="auto" w:fill="E5B8B7" w:themeFill="accent2" w:themeFillTint="66"/>
      </w:tcPr>
    </w:tblStylePr>
    <w:tblStylePr w:type="firstCol">
      <w:rPr>
        <w:color w:val="FFFFFF" w:themeColor="background1"/>
        <w14:textFill>
          <w14:solidFill>
            <w14:schemeClr w14:val="bg1"/>
          </w14:solidFill>
        </w14:textFill>
      </w:rPr>
      <w:tblPr/>
      <w:tcPr>
        <w:shd w:val="clear" w:color="auto" w:fill="943734" w:themeFill="accent2" w:themeFillShade="BF"/>
      </w:tcPr>
    </w:tblStylePr>
    <w:tblStylePr w:type="lastCol">
      <w:rPr>
        <w:color w:val="FFFFFF" w:themeColor="background1"/>
        <w14:textFill>
          <w14:solidFill>
            <w14:schemeClr w14:val="bg1"/>
          </w14:solidFill>
        </w14:textFill>
      </w:rPr>
      <w:tblPr/>
      <w:tcPr>
        <w:shd w:val="clear" w:color="auto" w:fill="9437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Colorful Grid Accent 3"/>
    <w:basedOn w:val="35"/>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14:textFill>
          <w14:solidFill>
            <w14:schemeClr w14:val="tx1"/>
          </w14:solidFill>
        </w14:textFill>
      </w:rPr>
      <w:tblPr/>
      <w:tcPr>
        <w:shd w:val="clear" w:color="auto" w:fill="D6E3BC" w:themeFill="accent3" w:themeFillTint="66"/>
      </w:tcPr>
    </w:tblStylePr>
    <w:tblStylePr w:type="firstCol">
      <w:rPr>
        <w:color w:val="FFFFFF" w:themeColor="background1"/>
        <w14:textFill>
          <w14:solidFill>
            <w14:schemeClr w14:val="bg1"/>
          </w14:solidFill>
        </w14:textFill>
      </w:rPr>
      <w:tblPr/>
      <w:tcPr>
        <w:shd w:val="clear" w:color="auto" w:fill="76923C" w:themeFill="accent3" w:themeFillShade="BF"/>
      </w:tcPr>
    </w:tblStylePr>
    <w:tblStylePr w:type="lastCol">
      <w:rPr>
        <w:color w:val="FFFFFF" w:themeColor="background1"/>
        <w14:textFill>
          <w14:solidFill>
            <w14:schemeClr w14:val="bg1"/>
          </w14:solidFill>
        </w14:textFill>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32">
    <w:name w:val="Colorful Grid Accent 4"/>
    <w:basedOn w:val="35"/>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14:textFill>
          <w14:solidFill>
            <w14:schemeClr w14:val="tx1"/>
          </w14:solidFill>
        </w14:textFill>
      </w:rPr>
      <w:tblPr/>
      <w:tcPr>
        <w:shd w:val="clear" w:color="auto" w:fill="CCC0D9" w:themeFill="accent4" w:themeFillTint="66"/>
      </w:tcPr>
    </w:tblStylePr>
    <w:tblStylePr w:type="firstCol">
      <w:rPr>
        <w:color w:val="FFFFFF" w:themeColor="background1"/>
        <w14:textFill>
          <w14:solidFill>
            <w14:schemeClr w14:val="bg1"/>
          </w14:solidFill>
        </w14:textFill>
      </w:rPr>
      <w:tblPr/>
      <w:tcPr>
        <w:shd w:val="clear" w:color="auto" w:fill="5F497A" w:themeFill="accent4" w:themeFillShade="BF"/>
      </w:tcPr>
    </w:tblStylePr>
    <w:tblStylePr w:type="lastCol">
      <w:rPr>
        <w:color w:val="FFFFFF" w:themeColor="background1"/>
        <w14:textFill>
          <w14:solidFill>
            <w14:schemeClr w14:val="bg1"/>
          </w14:solidFill>
        </w14:textFill>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33">
    <w:name w:val="Colorful Grid Accent 5"/>
    <w:basedOn w:val="35"/>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14:textFill>
          <w14:solidFill>
            <w14:schemeClr w14:val="tx1"/>
          </w14:solidFill>
        </w14:textFill>
      </w:rPr>
      <w:tblPr/>
      <w:tcPr>
        <w:shd w:val="clear" w:color="auto" w:fill="B6DDE8" w:themeFill="accent5" w:themeFillTint="66"/>
      </w:tcPr>
    </w:tblStylePr>
    <w:tblStylePr w:type="firstCol">
      <w:rPr>
        <w:color w:val="FFFFFF" w:themeColor="background1"/>
        <w14:textFill>
          <w14:solidFill>
            <w14:schemeClr w14:val="bg1"/>
          </w14:solidFill>
        </w14:textFill>
      </w:rPr>
      <w:tblPr/>
      <w:tcPr>
        <w:shd w:val="clear" w:color="auto" w:fill="31849B" w:themeFill="accent5" w:themeFillShade="BF"/>
      </w:tcPr>
    </w:tblStylePr>
    <w:tblStylePr w:type="lastCol">
      <w:rPr>
        <w:color w:val="FFFFFF" w:themeColor="background1"/>
        <w14:textFill>
          <w14:solidFill>
            <w14:schemeClr w14:val="bg1"/>
          </w14:solidFill>
        </w14:textFill>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34">
    <w:name w:val="Colorful Grid Accent 6"/>
    <w:basedOn w:val="35"/>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14:textFill>
          <w14:solidFill>
            <w14:schemeClr w14:val="tx1"/>
          </w14:solidFill>
        </w14:textFill>
      </w:rPr>
      <w:tblPr/>
      <w:tcPr>
        <w:shd w:val="clear" w:color="auto" w:fill="FBD4B4" w:themeFill="accent6" w:themeFillTint="66"/>
      </w:tcPr>
    </w:tblStylePr>
    <w:tblStylePr w:type="firstCol">
      <w:rPr>
        <w:color w:val="FFFFFF" w:themeColor="background1"/>
        <w14:textFill>
          <w14:solidFill>
            <w14:schemeClr w14:val="bg1"/>
          </w14:solidFill>
        </w14:textFill>
      </w:rPr>
      <w:tblPr/>
      <w:tcPr>
        <w:shd w:val="clear" w:color="auto" w:fill="E36C09" w:themeFill="accent6" w:themeFillShade="BF"/>
      </w:tcPr>
    </w:tblStylePr>
    <w:tblStylePr w:type="lastCol">
      <w:rPr>
        <w:color w:val="FFFFFF" w:themeColor="background1"/>
        <w14:textFill>
          <w14:solidFill>
            <w14:schemeClr w14:val="bg1"/>
          </w14:solidFill>
        </w14:textFill>
      </w:rPr>
      <w:tblPr/>
      <w:tcPr>
        <w:shd w:val="clear" w:color="auto" w:fill="E36C09"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136">
    <w:name w:val="Strong"/>
    <w:basedOn w:val="135"/>
    <w:qFormat/>
    <w:uiPriority w:val="22"/>
    <w:rPr>
      <w:b/>
      <w:bCs/>
    </w:rPr>
  </w:style>
  <w:style w:type="character" w:styleId="137">
    <w:name w:val="Emphasis"/>
    <w:basedOn w:val="135"/>
    <w:qFormat/>
    <w:uiPriority w:val="20"/>
    <w:rPr>
      <w:i/>
      <w:iCs/>
    </w:rPr>
  </w:style>
  <w:style w:type="character" w:customStyle="1" w:styleId="138">
    <w:name w:val="Header Char"/>
    <w:basedOn w:val="135"/>
    <w:link w:val="26"/>
    <w:uiPriority w:val="99"/>
  </w:style>
  <w:style w:type="character" w:customStyle="1" w:styleId="139">
    <w:name w:val="Footer Char"/>
    <w:basedOn w:val="135"/>
    <w:link w:val="25"/>
    <w:uiPriority w:val="99"/>
  </w:style>
  <w:style w:type="paragraph" w:styleId="140">
    <w:name w:val="No Spacing"/>
    <w:qFormat/>
    <w:uiPriority w:val="1"/>
    <w:pPr>
      <w:spacing w:after="0" w:line="240" w:lineRule="auto"/>
    </w:pPr>
    <w:rPr>
      <w:rFonts w:asciiTheme="minorHAnsi" w:hAnsiTheme="minorHAnsi" w:eastAsiaTheme="minorEastAsia" w:cstheme="minorBidi"/>
      <w:sz w:val="22"/>
      <w:szCs w:val="22"/>
      <w:lang w:val="en-US" w:eastAsia="en-US" w:bidi="ar-SA"/>
    </w:rPr>
  </w:style>
  <w:style w:type="character" w:customStyle="1" w:styleId="141">
    <w:name w:val="Heading 1 Char"/>
    <w:basedOn w:val="135"/>
    <w:link w:val="3"/>
    <w:uiPriority w:val="9"/>
    <w:rPr>
      <w:rFonts w:asciiTheme="majorHAnsi" w:hAnsiTheme="majorHAnsi" w:eastAsiaTheme="majorEastAsia" w:cstheme="majorBidi"/>
      <w:b/>
      <w:bCs/>
      <w:color w:val="376092" w:themeColor="accent1" w:themeShade="BF"/>
      <w:sz w:val="28"/>
      <w:szCs w:val="28"/>
    </w:rPr>
  </w:style>
  <w:style w:type="character" w:customStyle="1" w:styleId="142">
    <w:name w:val="Heading 2 Char"/>
    <w:basedOn w:val="135"/>
    <w:link w:val="4"/>
    <w:uiPriority w:val="9"/>
    <w:rPr>
      <w:rFonts w:asciiTheme="majorHAnsi" w:hAnsiTheme="majorHAnsi" w:eastAsiaTheme="majorEastAsia" w:cstheme="majorBidi"/>
      <w:b/>
      <w:bCs/>
      <w:color w:val="4F81BD" w:themeColor="accent1"/>
      <w:sz w:val="26"/>
      <w:szCs w:val="26"/>
      <w14:textFill>
        <w14:solidFill>
          <w14:schemeClr w14:val="accent1"/>
        </w14:solidFill>
      </w14:textFill>
    </w:rPr>
  </w:style>
  <w:style w:type="character" w:customStyle="1" w:styleId="143">
    <w:name w:val="Heading 3 Char"/>
    <w:basedOn w:val="135"/>
    <w:link w:val="5"/>
    <w:uiPriority w:val="9"/>
    <w:rPr>
      <w:rFonts w:asciiTheme="majorHAnsi" w:hAnsiTheme="majorHAnsi" w:eastAsiaTheme="majorEastAsia" w:cstheme="majorBidi"/>
      <w:b/>
      <w:bCs/>
      <w:color w:val="4F81BD" w:themeColor="accent1"/>
      <w14:textFill>
        <w14:solidFill>
          <w14:schemeClr w14:val="accent1"/>
        </w14:solidFill>
      </w14:textFill>
    </w:rPr>
  </w:style>
  <w:style w:type="character" w:customStyle="1" w:styleId="144">
    <w:name w:val="Title Char"/>
    <w:basedOn w:val="135"/>
    <w:link w:val="34"/>
    <w:uiPriority w:val="10"/>
    <w:rPr>
      <w:rFonts w:asciiTheme="majorHAnsi" w:hAnsiTheme="majorHAnsi" w:eastAsiaTheme="majorEastAsia" w:cstheme="majorBidi"/>
      <w:color w:val="17375E" w:themeColor="text2" w:themeShade="BF"/>
      <w:spacing w:val="5"/>
      <w:kern w:val="28"/>
      <w:sz w:val="52"/>
      <w:szCs w:val="52"/>
    </w:rPr>
  </w:style>
  <w:style w:type="character" w:customStyle="1" w:styleId="145">
    <w:name w:val="Subtitle Char"/>
    <w:basedOn w:val="135"/>
    <w:link w:val="28"/>
    <w:uiPriority w:val="11"/>
    <w:rPr>
      <w:rFonts w:asciiTheme="majorHAnsi" w:hAnsiTheme="majorHAnsi" w:eastAsiaTheme="majorEastAsia" w:cstheme="majorBidi"/>
      <w:i/>
      <w:iCs/>
      <w:color w:val="4F81BD" w:themeColor="accent1"/>
      <w:spacing w:val="15"/>
      <w:sz w:val="24"/>
      <w:szCs w:val="24"/>
      <w14:textFill>
        <w14:solidFill>
          <w14:schemeClr w14:val="accent1"/>
        </w14:solidFill>
      </w14:textFill>
    </w:rPr>
  </w:style>
  <w:style w:type="paragraph" w:styleId="146">
    <w:name w:val="List Paragraph"/>
    <w:basedOn w:val="1"/>
    <w:qFormat/>
    <w:uiPriority w:val="34"/>
    <w:pPr>
      <w:ind w:left="720"/>
      <w:contextualSpacing/>
    </w:pPr>
  </w:style>
  <w:style w:type="character" w:customStyle="1" w:styleId="147">
    <w:name w:val="Body Text Char"/>
    <w:basedOn w:val="135"/>
    <w:link w:val="19"/>
    <w:uiPriority w:val="99"/>
  </w:style>
  <w:style w:type="character" w:customStyle="1" w:styleId="148">
    <w:name w:val="Body Text 2 Char"/>
    <w:basedOn w:val="135"/>
    <w:link w:val="31"/>
    <w:uiPriority w:val="99"/>
  </w:style>
  <w:style w:type="character" w:customStyle="1" w:styleId="149">
    <w:name w:val="Body Text 3 Char"/>
    <w:basedOn w:val="135"/>
    <w:link w:val="17"/>
    <w:uiPriority w:val="99"/>
    <w:rPr>
      <w:sz w:val="16"/>
      <w:szCs w:val="16"/>
    </w:rPr>
  </w:style>
  <w:style w:type="character" w:customStyle="1" w:styleId="150">
    <w:name w:val="Macro Text Char"/>
    <w:basedOn w:val="135"/>
    <w:link w:val="2"/>
    <w:uiPriority w:val="99"/>
    <w:rPr>
      <w:rFonts w:ascii="Courier" w:hAnsi="Courier"/>
      <w:sz w:val="20"/>
      <w:szCs w:val="20"/>
    </w:rPr>
  </w:style>
  <w:style w:type="paragraph" w:styleId="151">
    <w:name w:val="Quote"/>
    <w:basedOn w:val="1"/>
    <w:next w:val="1"/>
    <w:link w:val="152"/>
    <w:qFormat/>
    <w:uiPriority w:val="29"/>
    <w:rPr>
      <w:i/>
      <w:iCs/>
      <w:color w:val="000000" w:themeColor="text1"/>
      <w14:textFill>
        <w14:solidFill>
          <w14:schemeClr w14:val="tx1"/>
        </w14:solidFill>
      </w14:textFill>
    </w:rPr>
  </w:style>
  <w:style w:type="character" w:customStyle="1" w:styleId="152">
    <w:name w:val="Quote Char"/>
    <w:basedOn w:val="135"/>
    <w:link w:val="151"/>
    <w:uiPriority w:val="29"/>
    <w:rPr>
      <w:i/>
      <w:iCs/>
      <w:color w:val="000000" w:themeColor="text1"/>
      <w14:textFill>
        <w14:solidFill>
          <w14:schemeClr w14:val="tx1"/>
        </w14:solidFill>
      </w14:textFill>
    </w:rPr>
  </w:style>
  <w:style w:type="character" w:customStyle="1" w:styleId="153">
    <w:name w:val="Heading 4 Char"/>
    <w:basedOn w:val="135"/>
    <w:link w:val="6"/>
    <w:semiHidden/>
    <w:uiPriority w:val="9"/>
    <w:rPr>
      <w:rFonts w:asciiTheme="majorHAnsi" w:hAnsiTheme="majorHAnsi" w:eastAsiaTheme="majorEastAsia" w:cstheme="majorBidi"/>
      <w:b/>
      <w:bCs/>
      <w:i/>
      <w:iCs/>
      <w:color w:val="4F81BD" w:themeColor="accent1"/>
      <w14:textFill>
        <w14:solidFill>
          <w14:schemeClr w14:val="accent1"/>
        </w14:solidFill>
      </w14:textFill>
    </w:rPr>
  </w:style>
  <w:style w:type="character" w:customStyle="1" w:styleId="154">
    <w:name w:val="Heading 5 Char"/>
    <w:basedOn w:val="135"/>
    <w:link w:val="7"/>
    <w:semiHidden/>
    <w:uiPriority w:val="9"/>
    <w:rPr>
      <w:rFonts w:asciiTheme="majorHAnsi" w:hAnsiTheme="majorHAnsi" w:eastAsiaTheme="majorEastAsia" w:cstheme="majorBidi"/>
      <w:color w:val="254061" w:themeColor="accent1" w:themeShade="80"/>
    </w:rPr>
  </w:style>
  <w:style w:type="character" w:customStyle="1" w:styleId="155">
    <w:name w:val="Heading 6 Char"/>
    <w:basedOn w:val="135"/>
    <w:link w:val="8"/>
    <w:semiHidden/>
    <w:uiPriority w:val="9"/>
    <w:rPr>
      <w:rFonts w:asciiTheme="majorHAnsi" w:hAnsiTheme="majorHAnsi" w:eastAsiaTheme="majorEastAsia" w:cstheme="majorBidi"/>
      <w:i/>
      <w:iCs/>
      <w:color w:val="254061" w:themeColor="accent1" w:themeShade="80"/>
    </w:rPr>
  </w:style>
  <w:style w:type="character" w:customStyle="1" w:styleId="156">
    <w:name w:val="Heading 7 Char"/>
    <w:basedOn w:val="135"/>
    <w:link w:val="9"/>
    <w:semiHidden/>
    <w:uiPriority w:val="9"/>
    <w:rPr>
      <w:rFonts w:asciiTheme="majorHAnsi" w:hAnsiTheme="majorHAnsi" w:eastAsiaTheme="majorEastAsia" w:cstheme="majorBidi"/>
      <w:i/>
      <w:iCs/>
      <w:color w:val="404040" w:themeColor="text1" w:themeTint="BF"/>
      <w14:textFill>
        <w14:solidFill>
          <w14:schemeClr w14:val="tx1">
            <w14:lumMod w14:val="75000"/>
            <w14:lumOff w14:val="25000"/>
          </w14:schemeClr>
        </w14:solidFill>
      </w14:textFill>
    </w:rPr>
  </w:style>
  <w:style w:type="character" w:customStyle="1" w:styleId="157">
    <w:name w:val="Heading 8 Char"/>
    <w:basedOn w:val="135"/>
    <w:link w:val="10"/>
    <w:semiHidden/>
    <w:uiPriority w:val="9"/>
    <w:rPr>
      <w:rFonts w:asciiTheme="majorHAnsi" w:hAnsiTheme="majorHAnsi" w:eastAsiaTheme="majorEastAsia" w:cstheme="majorBidi"/>
      <w:color w:val="4F81BD" w:themeColor="accent1"/>
      <w:sz w:val="20"/>
      <w:szCs w:val="20"/>
      <w14:textFill>
        <w14:solidFill>
          <w14:schemeClr w14:val="accent1"/>
        </w14:solidFill>
      </w14:textFill>
    </w:rPr>
  </w:style>
  <w:style w:type="character" w:customStyle="1" w:styleId="158">
    <w:name w:val="Heading 9 Char"/>
    <w:basedOn w:val="135"/>
    <w:link w:val="11"/>
    <w:semiHidden/>
    <w:uiPriority w:val="9"/>
    <w:rPr>
      <w:rFonts w:asciiTheme="majorHAnsi" w:hAnsiTheme="majorHAnsi" w:eastAsiaTheme="majorEastAsia" w:cstheme="majorBidi"/>
      <w:i/>
      <w:iCs/>
      <w:color w:val="404040" w:themeColor="text1" w:themeTint="BF"/>
      <w:sz w:val="20"/>
      <w:szCs w:val="20"/>
      <w14:textFill>
        <w14:solidFill>
          <w14:schemeClr w14:val="tx1">
            <w14:lumMod w14:val="75000"/>
            <w14:lumOff w14:val="25000"/>
          </w14:schemeClr>
        </w14:solidFill>
      </w14:textFill>
    </w:rPr>
  </w:style>
  <w:style w:type="paragraph" w:styleId="159">
    <w:name w:val="Intense Quote"/>
    <w:basedOn w:val="1"/>
    <w:next w:val="1"/>
    <w:link w:val="160"/>
    <w:qFormat/>
    <w:uiPriority w:val="30"/>
    <w:pPr>
      <w:pBdr>
        <w:bottom w:val="single" w:color="4F81BD" w:themeColor="accent1" w:sz="4" w:space="4"/>
      </w:pBdr>
      <w:spacing w:before="200" w:after="280"/>
      <w:ind w:left="936" w:right="936"/>
    </w:pPr>
    <w:rPr>
      <w:b/>
      <w:bCs/>
      <w:i/>
      <w:iCs/>
      <w:color w:val="4F81BD" w:themeColor="accent1"/>
      <w14:textFill>
        <w14:solidFill>
          <w14:schemeClr w14:val="accent1"/>
        </w14:solidFill>
      </w14:textFill>
    </w:rPr>
  </w:style>
  <w:style w:type="character" w:customStyle="1" w:styleId="160">
    <w:name w:val="Intense Quote Char"/>
    <w:basedOn w:val="135"/>
    <w:link w:val="159"/>
    <w:uiPriority w:val="30"/>
    <w:rPr>
      <w:b/>
      <w:bCs/>
      <w:i/>
      <w:iCs/>
      <w:color w:val="4F81BD" w:themeColor="accent1"/>
      <w14:textFill>
        <w14:solidFill>
          <w14:schemeClr w14:val="accent1"/>
        </w14:solidFill>
      </w14:textFill>
    </w:rPr>
  </w:style>
  <w:style w:type="character" w:customStyle="1" w:styleId="161">
    <w:name w:val="Subtle Emphasis"/>
    <w:basedOn w:val="135"/>
    <w:qFormat/>
    <w:uiPriority w:val="19"/>
    <w:rPr>
      <w:i/>
      <w:iCs/>
      <w:color w:val="808080" w:themeColor="text1" w:themeTint="80"/>
      <w14:textFill>
        <w14:solidFill>
          <w14:schemeClr w14:val="tx1">
            <w14:lumMod w14:val="50000"/>
            <w14:lumOff w14:val="50000"/>
          </w14:schemeClr>
        </w14:solidFill>
      </w14:textFill>
    </w:rPr>
  </w:style>
  <w:style w:type="character" w:customStyle="1" w:styleId="162">
    <w:name w:val="Intense Emphasis"/>
    <w:basedOn w:val="135"/>
    <w:qFormat/>
    <w:uiPriority w:val="21"/>
    <w:rPr>
      <w:b/>
      <w:bCs/>
      <w:i/>
      <w:iCs/>
      <w:color w:val="4F81BD" w:themeColor="accent1"/>
      <w14:textFill>
        <w14:solidFill>
          <w14:schemeClr w14:val="accent1"/>
        </w14:solidFill>
      </w14:textFill>
    </w:rPr>
  </w:style>
  <w:style w:type="character" w:customStyle="1" w:styleId="163">
    <w:name w:val="Subtle Reference"/>
    <w:basedOn w:val="135"/>
    <w:qFormat/>
    <w:uiPriority w:val="31"/>
    <w:rPr>
      <w:smallCaps/>
      <w:color w:val="C0504D" w:themeColor="accent2"/>
      <w:u w:val="single"/>
      <w14:textFill>
        <w14:solidFill>
          <w14:schemeClr w14:val="accent2"/>
        </w14:solidFill>
      </w14:textFill>
    </w:rPr>
  </w:style>
  <w:style w:type="character" w:customStyle="1" w:styleId="164">
    <w:name w:val="Intense Reference"/>
    <w:basedOn w:val="135"/>
    <w:qFormat/>
    <w:uiPriority w:val="32"/>
    <w:rPr>
      <w:b/>
      <w:bCs/>
      <w:smallCaps/>
      <w:color w:val="C0504D" w:themeColor="accent2"/>
      <w:spacing w:val="5"/>
      <w:u w:val="single"/>
      <w14:textFill>
        <w14:solidFill>
          <w14:schemeClr w14:val="accent2"/>
        </w14:solidFill>
      </w14:textFill>
    </w:rPr>
  </w:style>
  <w:style w:type="character" w:customStyle="1" w:styleId="165">
    <w:name w:val="Book Title"/>
    <w:basedOn w:val="135"/>
    <w:qFormat/>
    <w:uiPriority w:val="33"/>
    <w:rPr>
      <w:b/>
      <w:bCs/>
      <w:smallCaps/>
      <w:spacing w:val="5"/>
    </w:rPr>
  </w:style>
  <w:style w:type="paragraph" w:customStyle="1" w:styleId="166">
    <w:name w:val="TOC Heading"/>
    <w:basedOn w:val="3"/>
    <w:next w:val="1"/>
    <w:semiHidden/>
    <w:unhideWhenUsed/>
    <w:qFormat/>
    <w:uiPriority w:val="39"/>
    <w:pPr>
      <w:outlineLvl w:val="9"/>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tyleName="APA" SelectedStyle="/APA.XSL"/>
</file>

<file path=customXml/itemProps1.xml><?xml version="1.0" encoding="utf-8"?>
<ds:datastoreItem xmlns:ds="http://schemas.openxmlformats.org/officeDocument/2006/customXml" ds:itemID="{EF278816-EC6F-A645-907D-7F25AECB1D4A}">
  <ds:schemaRefs/>
</ds:datastoreItem>
</file>

<file path=docProps/app.xml><?xml version="1.0" encoding="utf-8"?>
<Properties xmlns="http://schemas.openxmlformats.org/officeDocument/2006/extended-properties" xmlns:vt="http://schemas.openxmlformats.org/officeDocument/2006/docPropsVTypes">
  <Template>Normal.dotm</Template>
  <Pages>33</Pages>
  <Words>0</Words>
  <Characters>0</Characters>
  <Lines>0</Lines>
  <Paragraphs>0</Paragraphs>
  <TotalTime>2</TotalTime>
  <ScaleCrop>false</ScaleCrop>
  <LinksUpToDate>false</LinksUpToDate>
  <CharactersWithSpaces>0</CharactersWithSpaces>
  <Application>WPS Office_12.1.25869.25869_F1E327BC-269C-435d-A152-05C5408002CA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2013-12-24T07:15:00Z</dcterms:created>
  <dc:creator>python-docx</dc:creator>
  <dc:description>generated by python-docx</dc:description>
  <cp:lastModifiedBy>belong_杰</cp:lastModifiedBy>
  <dcterms:modified xsi:type="dcterms:W3CDTF">2026-05-18T11:08:42Z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2052-12.1.25869.25869</vt:lpwstr>
  </property>
  <property fmtid="{D5CDD505-2E9C-101B-9397-08002B2CF9AE}" pid="3" name="ICV">
    <vt:lpwstr>3CE2FD1CC65A1845BA820A6A83E0E6C4_42</vt:lpwstr>
  </property>
</Properties>
</file>