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40"/>
          <w:highlight w:val="none"/>
        </w:rPr>
      </w:pPr>
    </w:p>
    <w:p>
      <w:pPr>
        <w:jc w:val="center"/>
        <w:rPr>
          <w:rFonts w:hint="eastAsia"/>
          <w:b/>
          <w:sz w:val="40"/>
          <w:highlight w:val="none"/>
        </w:rPr>
      </w:pPr>
      <w:r>
        <w:rPr>
          <w:rFonts w:hint="eastAsia"/>
          <w:b/>
          <w:sz w:val="40"/>
          <w:highlight w:val="none"/>
        </w:rPr>
        <w:t>万江街道新村片区智慧城市改造工程二期</w:t>
      </w:r>
    </w:p>
    <w:p>
      <w:pPr>
        <w:jc w:val="center"/>
        <w:rPr>
          <w:b/>
          <w:sz w:val="40"/>
          <w:highlight w:val="none"/>
        </w:rPr>
      </w:pPr>
      <w:r>
        <w:rPr>
          <w:b/>
          <w:sz w:val="40"/>
          <w:highlight w:val="none"/>
        </w:rPr>
        <w:t>政府采购需求表</w:t>
      </w:r>
    </w:p>
    <w:p>
      <w:pPr>
        <w:pStyle w:val="3"/>
        <w:bidi w:val="0"/>
        <w:rPr>
          <w:rFonts w:hint="eastAsia"/>
          <w:highlight w:val="none"/>
        </w:rPr>
      </w:pPr>
      <w:r>
        <w:rPr>
          <w:rFonts w:hint="eastAsia"/>
          <w:highlight w:val="none"/>
        </w:rPr>
        <w:t>主要商务要求：</w:t>
      </w:r>
    </w:p>
    <w:p>
      <w:pPr>
        <w:spacing w:before="5"/>
        <w:rPr>
          <w:b/>
          <w:sz w:val="5"/>
          <w:highlight w:val="none"/>
        </w:rPr>
      </w:pPr>
    </w:p>
    <w:tbl>
      <w:tblPr>
        <w:tblStyle w:val="23"/>
        <w:tblW w:w="9996" w:type="dxa"/>
        <w:jc w:val="center"/>
        <w:tblBorders>
          <w:top w:val="single" w:color="D1D1D1" w:sz="6" w:space="0"/>
          <w:left w:val="single" w:color="D1D1D1" w:sz="6" w:space="0"/>
          <w:bottom w:val="single" w:color="D1D1D1" w:sz="6" w:space="0"/>
          <w:right w:val="single" w:color="D1D1D1" w:sz="6" w:space="0"/>
          <w:insideH w:val="single" w:color="D1D1D1" w:sz="6" w:space="0"/>
          <w:insideV w:val="single" w:color="D1D1D1" w:sz="6" w:space="0"/>
        </w:tblBorders>
        <w:tblLayout w:type="fixed"/>
        <w:tblCellMar>
          <w:top w:w="0" w:type="dxa"/>
          <w:left w:w="57" w:type="dxa"/>
          <w:bottom w:w="0" w:type="dxa"/>
          <w:right w:w="57" w:type="dxa"/>
        </w:tblCellMar>
      </w:tblPr>
      <w:tblGrid>
        <w:gridCol w:w="1911"/>
        <w:gridCol w:w="8085"/>
      </w:tblGrid>
      <w:tr>
        <w:tblPrEx>
          <w:tblBorders>
            <w:top w:val="single" w:color="D1D1D1" w:sz="6" w:space="0"/>
            <w:left w:val="single" w:color="D1D1D1" w:sz="6" w:space="0"/>
            <w:bottom w:val="single" w:color="D1D1D1" w:sz="6" w:space="0"/>
            <w:right w:val="single" w:color="D1D1D1" w:sz="6" w:space="0"/>
            <w:insideH w:val="single" w:color="D1D1D1" w:sz="6" w:space="0"/>
            <w:insideV w:val="single" w:color="D1D1D1" w:sz="6" w:space="0"/>
          </w:tblBorders>
          <w:tblCellMar>
            <w:top w:w="0" w:type="dxa"/>
            <w:left w:w="57" w:type="dxa"/>
            <w:bottom w:w="0" w:type="dxa"/>
            <w:right w:w="57" w:type="dxa"/>
          </w:tblCellMar>
        </w:tblPrEx>
        <w:trPr>
          <w:trHeight w:val="484" w:hRule="atLeast"/>
          <w:jc w:val="center"/>
        </w:trPr>
        <w:tc>
          <w:tcPr>
            <w:tcW w:w="1911" w:type="dxa"/>
            <w:shd w:val="clear" w:color="auto" w:fill="ECEFF2"/>
            <w:vAlign w:val="center"/>
          </w:tcPr>
          <w:p>
            <w:pPr>
              <w:keepNext w:val="0"/>
              <w:keepLines w:val="0"/>
              <w:pageBreakBefore w:val="0"/>
              <w:widowControl w:val="0"/>
              <w:kinsoku/>
              <w:wordWrap/>
              <w:overflowPunct/>
              <w:topLinePunct w:val="0"/>
              <w:autoSpaceDE w:val="0"/>
              <w:autoSpaceDN w:val="0"/>
              <w:bidi w:val="0"/>
              <w:adjustRightInd/>
              <w:snapToGrid/>
              <w:spacing w:line="360" w:lineRule="auto"/>
              <w:ind w:left="0" w:right="0" w:firstLine="0" w:firstLineChars="0"/>
              <w:jc w:val="center"/>
              <w:textAlignment w:val="auto"/>
              <w:rPr>
                <w:rFonts w:hint="eastAsia" w:ascii="仿宋" w:hAnsi="仿宋" w:eastAsia="仿宋" w:cs="仿宋"/>
                <w:b/>
                <w:sz w:val="21"/>
                <w:szCs w:val="21"/>
                <w:highlight w:val="none"/>
              </w:rPr>
            </w:pPr>
            <w:r>
              <w:rPr>
                <w:rFonts w:hint="eastAsia" w:ascii="仿宋" w:hAnsi="仿宋" w:eastAsia="仿宋" w:cs="仿宋"/>
                <w:b/>
                <w:color w:val="212121"/>
                <w:w w:val="105"/>
                <w:sz w:val="21"/>
                <w:szCs w:val="21"/>
                <w:highlight w:val="none"/>
              </w:rPr>
              <w:t>标的提供的时间（必填）</w:t>
            </w:r>
          </w:p>
        </w:tc>
        <w:tc>
          <w:tcPr>
            <w:tcW w:w="8085" w:type="dxa"/>
            <w:vAlign w:val="center"/>
          </w:tcPr>
          <w:p>
            <w:pPr>
              <w:keepNext w:val="0"/>
              <w:keepLines w:val="0"/>
              <w:pageBreakBefore w:val="0"/>
              <w:widowControl w:val="0"/>
              <w:kinsoku/>
              <w:wordWrap/>
              <w:overflowPunct/>
              <w:topLinePunct w:val="0"/>
              <w:autoSpaceDE w:val="0"/>
              <w:autoSpaceDN w:val="0"/>
              <w:bidi w:val="0"/>
              <w:adjustRightInd/>
              <w:snapToGrid/>
              <w:spacing w:line="360" w:lineRule="auto"/>
              <w:ind w:left="0" w:right="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合同签订后</w:t>
            </w:r>
            <w:r>
              <w:rPr>
                <w:rFonts w:hint="eastAsia" w:cs="仿宋"/>
                <w:sz w:val="21"/>
                <w:szCs w:val="21"/>
                <w:highlight w:val="none"/>
                <w:lang w:val="en-US" w:eastAsia="zh-CN"/>
              </w:rPr>
              <w:t>150</w:t>
            </w:r>
            <w:r>
              <w:rPr>
                <w:rFonts w:hint="eastAsia" w:ascii="仿宋" w:hAnsi="仿宋" w:eastAsia="仿宋" w:cs="仿宋"/>
                <w:sz w:val="21"/>
                <w:szCs w:val="21"/>
                <w:highlight w:val="none"/>
              </w:rPr>
              <w:t>个日历日内完成项目实施及验收。</w:t>
            </w:r>
          </w:p>
        </w:tc>
      </w:tr>
      <w:tr>
        <w:tblPrEx>
          <w:tblBorders>
            <w:top w:val="single" w:color="D1D1D1" w:sz="6" w:space="0"/>
            <w:left w:val="single" w:color="D1D1D1" w:sz="6" w:space="0"/>
            <w:bottom w:val="single" w:color="D1D1D1" w:sz="6" w:space="0"/>
            <w:right w:val="single" w:color="D1D1D1" w:sz="6" w:space="0"/>
            <w:insideH w:val="single" w:color="D1D1D1" w:sz="6" w:space="0"/>
            <w:insideV w:val="single" w:color="D1D1D1" w:sz="6" w:space="0"/>
          </w:tblBorders>
          <w:tblCellMar>
            <w:top w:w="0" w:type="dxa"/>
            <w:left w:w="57" w:type="dxa"/>
            <w:bottom w:w="0" w:type="dxa"/>
            <w:right w:w="57" w:type="dxa"/>
          </w:tblCellMar>
        </w:tblPrEx>
        <w:trPr>
          <w:trHeight w:val="484" w:hRule="atLeast"/>
          <w:jc w:val="center"/>
        </w:trPr>
        <w:tc>
          <w:tcPr>
            <w:tcW w:w="1911" w:type="dxa"/>
            <w:shd w:val="clear" w:color="auto" w:fill="ECEFF2"/>
            <w:vAlign w:val="center"/>
          </w:tcPr>
          <w:p>
            <w:pPr>
              <w:keepNext w:val="0"/>
              <w:keepLines w:val="0"/>
              <w:pageBreakBefore w:val="0"/>
              <w:widowControl w:val="0"/>
              <w:kinsoku/>
              <w:wordWrap/>
              <w:overflowPunct/>
              <w:topLinePunct w:val="0"/>
              <w:autoSpaceDE w:val="0"/>
              <w:autoSpaceDN w:val="0"/>
              <w:bidi w:val="0"/>
              <w:adjustRightInd/>
              <w:snapToGrid/>
              <w:spacing w:line="360" w:lineRule="auto"/>
              <w:ind w:left="0" w:right="0" w:firstLine="0" w:firstLineChars="0"/>
              <w:jc w:val="center"/>
              <w:textAlignment w:val="auto"/>
              <w:rPr>
                <w:rFonts w:hint="eastAsia" w:ascii="仿宋" w:hAnsi="仿宋" w:eastAsia="仿宋" w:cs="仿宋"/>
                <w:b/>
                <w:sz w:val="21"/>
                <w:szCs w:val="21"/>
                <w:highlight w:val="none"/>
              </w:rPr>
            </w:pPr>
            <w:r>
              <w:rPr>
                <w:rFonts w:hint="eastAsia" w:ascii="仿宋" w:hAnsi="仿宋" w:eastAsia="仿宋" w:cs="仿宋"/>
                <w:b/>
                <w:color w:val="212121"/>
                <w:w w:val="105"/>
                <w:sz w:val="21"/>
                <w:szCs w:val="21"/>
                <w:highlight w:val="none"/>
              </w:rPr>
              <w:t>标的提供的地点（必填）</w:t>
            </w:r>
          </w:p>
        </w:tc>
        <w:tc>
          <w:tcPr>
            <w:tcW w:w="8085" w:type="dxa"/>
            <w:vAlign w:val="center"/>
          </w:tcPr>
          <w:p>
            <w:pPr>
              <w:keepNext w:val="0"/>
              <w:keepLines w:val="0"/>
              <w:pageBreakBefore w:val="0"/>
              <w:widowControl w:val="0"/>
              <w:kinsoku/>
              <w:wordWrap/>
              <w:overflowPunct/>
              <w:topLinePunct w:val="0"/>
              <w:autoSpaceDE w:val="0"/>
              <w:autoSpaceDN w:val="0"/>
              <w:bidi w:val="0"/>
              <w:adjustRightInd/>
              <w:snapToGrid/>
              <w:spacing w:line="360" w:lineRule="auto"/>
              <w:ind w:left="0" w:right="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rPr>
              <w:t>万江辖区</w:t>
            </w:r>
            <w:r>
              <w:rPr>
                <w:rFonts w:hint="eastAsia" w:cs="仿宋"/>
                <w:sz w:val="21"/>
                <w:szCs w:val="21"/>
                <w:highlight w:val="none"/>
                <w:lang w:val="en-US" w:eastAsia="zh-CN"/>
              </w:rPr>
              <w:t>新村片区周边道路，包括但不限于莞穗路、万高路、友谊路、汾溪路、大新路等重点路段及区域</w:t>
            </w:r>
            <w:r>
              <w:rPr>
                <w:rFonts w:hint="eastAsia" w:cs="仿宋"/>
                <w:sz w:val="21"/>
                <w:szCs w:val="21"/>
                <w:highlight w:val="none"/>
                <w:lang w:eastAsia="zh-CN"/>
              </w:rPr>
              <w:t>。</w:t>
            </w:r>
          </w:p>
        </w:tc>
      </w:tr>
      <w:tr>
        <w:tblPrEx>
          <w:tblBorders>
            <w:top w:val="single" w:color="D1D1D1" w:sz="6" w:space="0"/>
            <w:left w:val="single" w:color="D1D1D1" w:sz="6" w:space="0"/>
            <w:bottom w:val="single" w:color="D1D1D1" w:sz="6" w:space="0"/>
            <w:right w:val="single" w:color="D1D1D1" w:sz="6" w:space="0"/>
            <w:insideH w:val="single" w:color="D1D1D1" w:sz="6" w:space="0"/>
            <w:insideV w:val="single" w:color="D1D1D1" w:sz="6" w:space="0"/>
          </w:tblBorders>
          <w:tblCellMar>
            <w:top w:w="0" w:type="dxa"/>
            <w:left w:w="57" w:type="dxa"/>
            <w:bottom w:w="0" w:type="dxa"/>
            <w:right w:w="57" w:type="dxa"/>
          </w:tblCellMar>
        </w:tblPrEx>
        <w:trPr>
          <w:trHeight w:val="484" w:hRule="atLeast"/>
          <w:jc w:val="center"/>
        </w:trPr>
        <w:tc>
          <w:tcPr>
            <w:tcW w:w="1911" w:type="dxa"/>
            <w:shd w:val="clear" w:color="auto" w:fill="ECEFF2"/>
            <w:vAlign w:val="center"/>
          </w:tcPr>
          <w:p>
            <w:pPr>
              <w:keepNext w:val="0"/>
              <w:keepLines w:val="0"/>
              <w:pageBreakBefore w:val="0"/>
              <w:widowControl w:val="0"/>
              <w:kinsoku/>
              <w:wordWrap/>
              <w:overflowPunct/>
              <w:topLinePunct w:val="0"/>
              <w:autoSpaceDE w:val="0"/>
              <w:autoSpaceDN w:val="0"/>
              <w:bidi w:val="0"/>
              <w:adjustRightInd/>
              <w:snapToGrid/>
              <w:spacing w:line="360" w:lineRule="auto"/>
              <w:ind w:left="0" w:right="0" w:firstLine="0" w:firstLineChars="0"/>
              <w:jc w:val="center"/>
              <w:textAlignment w:val="auto"/>
              <w:rPr>
                <w:rFonts w:hint="eastAsia" w:ascii="仿宋" w:hAnsi="仿宋" w:eastAsia="仿宋" w:cs="仿宋"/>
                <w:b/>
                <w:sz w:val="21"/>
                <w:szCs w:val="21"/>
                <w:highlight w:val="none"/>
              </w:rPr>
            </w:pPr>
            <w:r>
              <w:rPr>
                <w:rFonts w:hint="eastAsia" w:ascii="仿宋" w:hAnsi="仿宋" w:eastAsia="仿宋" w:cs="仿宋"/>
                <w:b/>
                <w:color w:val="212121"/>
                <w:w w:val="105"/>
                <w:sz w:val="21"/>
                <w:szCs w:val="21"/>
                <w:highlight w:val="none"/>
              </w:rPr>
              <w:t>投标有效期</w:t>
            </w:r>
          </w:p>
        </w:tc>
        <w:tc>
          <w:tcPr>
            <w:tcW w:w="8085" w:type="dxa"/>
            <w:vAlign w:val="center"/>
          </w:tcPr>
          <w:p>
            <w:pPr>
              <w:keepNext w:val="0"/>
              <w:keepLines w:val="0"/>
              <w:pageBreakBefore w:val="0"/>
              <w:widowControl w:val="0"/>
              <w:kinsoku/>
              <w:wordWrap/>
              <w:overflowPunct/>
              <w:topLinePunct w:val="0"/>
              <w:autoSpaceDE w:val="0"/>
              <w:autoSpaceDN w:val="0"/>
              <w:bidi w:val="0"/>
              <w:adjustRightInd/>
              <w:snapToGrid/>
              <w:spacing w:line="360" w:lineRule="auto"/>
              <w:ind w:left="0" w:right="0"/>
              <w:textAlignment w:val="auto"/>
              <w:rPr>
                <w:rFonts w:hint="eastAsia" w:ascii="仿宋" w:hAnsi="仿宋" w:eastAsia="仿宋" w:cs="仿宋"/>
                <w:color w:val="212121"/>
                <w:w w:val="105"/>
                <w:sz w:val="21"/>
                <w:szCs w:val="21"/>
                <w:highlight w:val="none"/>
              </w:rPr>
            </w:pPr>
            <w:r>
              <w:rPr>
                <w:rFonts w:hint="eastAsia" w:ascii="仿宋" w:hAnsi="仿宋" w:eastAsia="仿宋" w:cs="仿宋"/>
                <w:color w:val="212121"/>
                <w:w w:val="105"/>
                <w:sz w:val="21"/>
                <w:szCs w:val="21"/>
                <w:highlight w:val="none"/>
              </w:rPr>
              <w:t>从提交投标文件的截止之日起90日历天。</w:t>
            </w:r>
          </w:p>
        </w:tc>
      </w:tr>
      <w:tr>
        <w:tblPrEx>
          <w:tblBorders>
            <w:top w:val="single" w:color="D1D1D1" w:sz="6" w:space="0"/>
            <w:left w:val="single" w:color="D1D1D1" w:sz="6" w:space="0"/>
            <w:bottom w:val="single" w:color="D1D1D1" w:sz="6" w:space="0"/>
            <w:right w:val="single" w:color="D1D1D1" w:sz="6" w:space="0"/>
            <w:insideH w:val="single" w:color="D1D1D1" w:sz="6" w:space="0"/>
            <w:insideV w:val="single" w:color="D1D1D1" w:sz="6" w:space="0"/>
          </w:tblBorders>
          <w:tblCellMar>
            <w:top w:w="0" w:type="dxa"/>
            <w:left w:w="57" w:type="dxa"/>
            <w:bottom w:w="0" w:type="dxa"/>
            <w:right w:w="57" w:type="dxa"/>
          </w:tblCellMar>
        </w:tblPrEx>
        <w:trPr>
          <w:trHeight w:val="933" w:hRule="atLeast"/>
          <w:jc w:val="center"/>
        </w:trPr>
        <w:tc>
          <w:tcPr>
            <w:tcW w:w="1911" w:type="dxa"/>
            <w:shd w:val="clear" w:color="auto" w:fill="ECEFF2"/>
            <w:vAlign w:val="center"/>
          </w:tcPr>
          <w:p>
            <w:pPr>
              <w:keepNext w:val="0"/>
              <w:keepLines w:val="0"/>
              <w:pageBreakBefore w:val="0"/>
              <w:widowControl w:val="0"/>
              <w:kinsoku/>
              <w:wordWrap/>
              <w:overflowPunct/>
              <w:topLinePunct w:val="0"/>
              <w:autoSpaceDE w:val="0"/>
              <w:autoSpaceDN w:val="0"/>
              <w:bidi w:val="0"/>
              <w:adjustRightInd/>
              <w:snapToGrid/>
              <w:spacing w:line="360" w:lineRule="auto"/>
              <w:ind w:left="0" w:right="0" w:firstLine="0" w:firstLineChars="0"/>
              <w:jc w:val="center"/>
              <w:textAlignment w:val="auto"/>
              <w:rPr>
                <w:rFonts w:hint="eastAsia" w:ascii="仿宋" w:hAnsi="仿宋" w:eastAsia="仿宋" w:cs="仿宋"/>
                <w:b/>
                <w:sz w:val="21"/>
                <w:szCs w:val="21"/>
                <w:highlight w:val="none"/>
              </w:rPr>
            </w:pPr>
            <w:r>
              <w:rPr>
                <w:rFonts w:hint="eastAsia" w:ascii="仿宋" w:hAnsi="仿宋" w:eastAsia="仿宋" w:cs="仿宋"/>
                <w:b/>
                <w:color w:val="212121"/>
                <w:w w:val="105"/>
                <w:sz w:val="21"/>
                <w:szCs w:val="21"/>
                <w:highlight w:val="none"/>
              </w:rPr>
              <w:t>采购资金支付（必填）</w:t>
            </w:r>
          </w:p>
        </w:tc>
        <w:tc>
          <w:tcPr>
            <w:tcW w:w="8085" w:type="dxa"/>
            <w:vAlign w:val="center"/>
          </w:tcPr>
          <w:p>
            <w:pPr>
              <w:keepNext w:val="0"/>
              <w:keepLines w:val="0"/>
              <w:pageBreakBefore w:val="0"/>
              <w:widowControl w:val="0"/>
              <w:kinsoku/>
              <w:wordWrap/>
              <w:overflowPunct/>
              <w:topLinePunct w:val="0"/>
              <w:autoSpaceDE w:val="0"/>
              <w:autoSpaceDN w:val="0"/>
              <w:bidi w:val="0"/>
              <w:adjustRightInd/>
              <w:snapToGrid/>
              <w:spacing w:line="360" w:lineRule="auto"/>
              <w:ind w:left="0" w:right="0"/>
              <w:textAlignment w:val="auto"/>
              <w:rPr>
                <w:rFonts w:hint="eastAsia" w:ascii="仿宋" w:hAnsi="仿宋" w:eastAsia="仿宋" w:cs="仿宋"/>
                <w:color w:val="212121"/>
                <w:w w:val="105"/>
                <w:sz w:val="21"/>
                <w:szCs w:val="21"/>
                <w:highlight w:val="none"/>
              </w:rPr>
            </w:pPr>
            <w:r>
              <w:rPr>
                <w:rFonts w:hint="eastAsia" w:ascii="仿宋" w:hAnsi="仿宋" w:eastAsia="仿宋" w:cs="仿宋"/>
                <w:color w:val="212121"/>
                <w:w w:val="105"/>
                <w:sz w:val="21"/>
                <w:szCs w:val="21"/>
                <w:highlight w:val="none"/>
              </w:rPr>
              <w:t>第1期为(预付款)：支付比例30%，签订合同后，在14个工作日内向中标人支付项目建设费用的30%。</w:t>
            </w:r>
          </w:p>
          <w:p>
            <w:pPr>
              <w:keepNext w:val="0"/>
              <w:keepLines w:val="0"/>
              <w:pageBreakBefore w:val="0"/>
              <w:widowControl w:val="0"/>
              <w:kinsoku/>
              <w:wordWrap/>
              <w:overflowPunct/>
              <w:topLinePunct w:val="0"/>
              <w:autoSpaceDE w:val="0"/>
              <w:autoSpaceDN w:val="0"/>
              <w:bidi w:val="0"/>
              <w:adjustRightInd/>
              <w:snapToGrid/>
              <w:spacing w:line="360" w:lineRule="auto"/>
              <w:ind w:left="0" w:right="0"/>
              <w:textAlignment w:val="auto"/>
              <w:rPr>
                <w:rFonts w:hint="eastAsia" w:ascii="仿宋" w:hAnsi="仿宋" w:eastAsia="仿宋" w:cs="仿宋"/>
                <w:color w:val="212121"/>
                <w:w w:val="105"/>
                <w:sz w:val="21"/>
                <w:szCs w:val="21"/>
                <w:highlight w:val="none"/>
              </w:rPr>
            </w:pPr>
            <w:r>
              <w:rPr>
                <w:rFonts w:hint="eastAsia" w:ascii="仿宋" w:hAnsi="仿宋" w:eastAsia="仿宋" w:cs="仿宋"/>
                <w:color w:val="212121"/>
                <w:w w:val="105"/>
                <w:sz w:val="21"/>
                <w:szCs w:val="21"/>
                <w:highlight w:val="none"/>
              </w:rPr>
              <w:t>第2期为(进度款)：支付比例</w:t>
            </w:r>
            <w:r>
              <w:rPr>
                <w:rFonts w:hint="eastAsia" w:cs="仿宋"/>
                <w:color w:val="212121"/>
                <w:w w:val="105"/>
                <w:sz w:val="21"/>
                <w:szCs w:val="21"/>
                <w:highlight w:val="lightGray"/>
                <w:lang w:val="en-US" w:eastAsia="zh-CN"/>
              </w:rPr>
              <w:t>3</w:t>
            </w:r>
            <w:r>
              <w:rPr>
                <w:rFonts w:hint="eastAsia" w:ascii="仿宋" w:hAnsi="仿宋" w:eastAsia="仿宋" w:cs="仿宋"/>
                <w:color w:val="212121"/>
                <w:w w:val="105"/>
                <w:sz w:val="21"/>
                <w:szCs w:val="21"/>
                <w:highlight w:val="lightGray"/>
                <w:lang w:val="en-US" w:eastAsia="zh-CN"/>
              </w:rPr>
              <w:t>5</w:t>
            </w:r>
            <w:r>
              <w:rPr>
                <w:rFonts w:hint="eastAsia" w:ascii="仿宋" w:hAnsi="仿宋" w:eastAsia="仿宋" w:cs="仿宋"/>
                <w:color w:val="212121"/>
                <w:w w:val="105"/>
                <w:sz w:val="21"/>
                <w:szCs w:val="21"/>
                <w:highlight w:val="none"/>
              </w:rPr>
              <w:t>%，</w:t>
            </w:r>
            <w:r>
              <w:rPr>
                <w:rFonts w:hint="eastAsia" w:cs="仿宋"/>
                <w:color w:val="212121"/>
                <w:w w:val="105"/>
                <w:sz w:val="21"/>
                <w:szCs w:val="21"/>
                <w:highlight w:val="none"/>
                <w:lang w:val="en-US" w:eastAsia="zh-CN"/>
              </w:rPr>
              <w:t>前端主</w:t>
            </w:r>
            <w:r>
              <w:rPr>
                <w:rFonts w:hint="eastAsia" w:ascii="仿宋" w:hAnsi="仿宋" w:eastAsia="仿宋" w:cs="仿宋"/>
                <w:color w:val="212121"/>
                <w:w w:val="105"/>
                <w:sz w:val="21"/>
                <w:szCs w:val="21"/>
                <w:highlight w:val="none"/>
              </w:rPr>
              <w:t>设备到场后，在14个工作日内向中标人支付至项目建设费用的</w:t>
            </w:r>
            <w:r>
              <w:rPr>
                <w:rFonts w:hint="eastAsia" w:ascii="仿宋" w:hAnsi="仿宋" w:eastAsia="仿宋" w:cs="仿宋"/>
                <w:color w:val="212121"/>
                <w:w w:val="105"/>
                <w:sz w:val="21"/>
                <w:szCs w:val="21"/>
                <w:highlight w:val="none"/>
                <w:lang w:val="en-US" w:eastAsia="zh-CN"/>
              </w:rPr>
              <w:t>75</w:t>
            </w:r>
            <w:r>
              <w:rPr>
                <w:rFonts w:hint="eastAsia" w:ascii="仿宋" w:hAnsi="仿宋" w:eastAsia="仿宋" w:cs="仿宋"/>
                <w:color w:val="212121"/>
                <w:w w:val="105"/>
                <w:sz w:val="21"/>
                <w:szCs w:val="21"/>
                <w:highlight w:val="none"/>
              </w:rPr>
              <w:t>%。</w:t>
            </w:r>
          </w:p>
          <w:p>
            <w:pPr>
              <w:keepNext w:val="0"/>
              <w:keepLines w:val="0"/>
              <w:pageBreakBefore w:val="0"/>
              <w:widowControl w:val="0"/>
              <w:kinsoku/>
              <w:wordWrap/>
              <w:overflowPunct/>
              <w:topLinePunct w:val="0"/>
              <w:autoSpaceDE w:val="0"/>
              <w:autoSpaceDN w:val="0"/>
              <w:bidi w:val="0"/>
              <w:adjustRightInd/>
              <w:snapToGrid/>
              <w:spacing w:line="360" w:lineRule="auto"/>
              <w:ind w:left="0" w:right="0"/>
              <w:textAlignment w:val="auto"/>
              <w:rPr>
                <w:rFonts w:hint="eastAsia" w:ascii="仿宋" w:hAnsi="仿宋" w:eastAsia="仿宋" w:cs="仿宋"/>
                <w:color w:val="212121"/>
                <w:w w:val="105"/>
                <w:sz w:val="21"/>
                <w:szCs w:val="21"/>
                <w:highlight w:val="none"/>
              </w:rPr>
            </w:pPr>
            <w:r>
              <w:rPr>
                <w:rFonts w:hint="eastAsia" w:ascii="仿宋" w:hAnsi="仿宋" w:eastAsia="仿宋" w:cs="仿宋"/>
                <w:color w:val="212121"/>
                <w:w w:val="105"/>
                <w:sz w:val="21"/>
                <w:szCs w:val="21"/>
                <w:highlight w:val="none"/>
              </w:rPr>
              <w:t>第3期为(验收款)：支付比例</w:t>
            </w:r>
            <w:r>
              <w:rPr>
                <w:rFonts w:hint="eastAsia" w:cs="仿宋"/>
                <w:color w:val="212121"/>
                <w:w w:val="105"/>
                <w:sz w:val="21"/>
                <w:szCs w:val="21"/>
                <w:highlight w:val="lightGray"/>
                <w:lang w:val="en-US" w:eastAsia="zh-CN"/>
              </w:rPr>
              <w:t>3</w:t>
            </w:r>
            <w:r>
              <w:rPr>
                <w:rFonts w:hint="eastAsia" w:ascii="仿宋" w:hAnsi="仿宋" w:eastAsia="仿宋" w:cs="仿宋"/>
                <w:color w:val="212121"/>
                <w:w w:val="105"/>
                <w:sz w:val="21"/>
                <w:szCs w:val="21"/>
                <w:highlight w:val="lightGray"/>
                <w:lang w:val="en-US" w:eastAsia="zh-CN"/>
              </w:rPr>
              <w:t>5</w:t>
            </w:r>
            <w:r>
              <w:rPr>
                <w:rFonts w:hint="eastAsia" w:ascii="仿宋" w:hAnsi="仿宋" w:eastAsia="仿宋" w:cs="仿宋"/>
                <w:color w:val="212121"/>
                <w:w w:val="105"/>
                <w:sz w:val="21"/>
                <w:szCs w:val="21"/>
                <w:highlight w:val="none"/>
              </w:rPr>
              <w:t>%，设备安装调试完毕，经采购人验收合格后，在14个工作日内向中标人支付至项目建设费用的100%。</w:t>
            </w:r>
          </w:p>
          <w:p>
            <w:pPr>
              <w:pStyle w:val="2"/>
              <w:ind w:left="0" w:leftChars="0" w:firstLine="460" w:firstLineChars="200"/>
              <w:rPr>
                <w:rFonts w:hint="eastAsia" w:cs="仿宋"/>
                <w:color w:val="212121"/>
                <w:spacing w:val="10"/>
                <w:sz w:val="21"/>
                <w:szCs w:val="21"/>
                <w:highlight w:val="lightGray"/>
                <w:lang w:val="en-US" w:eastAsia="zh-CN" w:bidi="ar-SA"/>
              </w:rPr>
            </w:pPr>
            <w:r>
              <w:rPr>
                <w:rFonts w:hint="eastAsia" w:ascii="仿宋" w:hAnsi="仿宋" w:eastAsia="仿宋" w:cs="仿宋"/>
                <w:color w:val="212121"/>
                <w:spacing w:val="10"/>
                <w:sz w:val="21"/>
                <w:szCs w:val="21"/>
                <w:highlight w:val="lightGray"/>
                <w:lang w:val="en-US" w:eastAsia="zh-CN" w:bidi="ar-SA"/>
              </w:rPr>
              <w:t>备注：</w:t>
            </w:r>
            <w:r>
              <w:rPr>
                <w:rFonts w:hint="eastAsia" w:cs="仿宋"/>
                <w:color w:val="212121"/>
                <w:spacing w:val="10"/>
                <w:sz w:val="21"/>
                <w:szCs w:val="21"/>
                <w:highlight w:val="lightGray"/>
                <w:lang w:val="en-US" w:eastAsia="zh-CN" w:bidi="ar-SA"/>
              </w:rPr>
              <w:t>1、中标人须提供包括但不限于合同、发票、设备到货相关材料（到货单、检验单、报审表等）、验收报告、竣工报告等。</w:t>
            </w:r>
          </w:p>
          <w:p>
            <w:pPr>
              <w:pStyle w:val="2"/>
              <w:ind w:left="0" w:leftChars="0" w:firstLine="460" w:firstLineChars="200"/>
              <w:rPr>
                <w:rFonts w:hint="eastAsia"/>
                <w:highlight w:val="none"/>
              </w:rPr>
            </w:pPr>
            <w:r>
              <w:rPr>
                <w:rFonts w:hint="eastAsia" w:cs="仿宋"/>
                <w:color w:val="212121"/>
                <w:spacing w:val="10"/>
                <w:sz w:val="21"/>
                <w:szCs w:val="21"/>
                <w:highlight w:val="none"/>
                <w:lang w:val="en-US" w:eastAsia="zh-CN" w:bidi="ar-SA"/>
              </w:rPr>
              <w:t>2、本项目的经费是由财政拨款，前款规定的付款时间为采购人向财政支付部门提出办理财政支付申请手续的时间（不含政府财政支付部门审核的时间），采购人在规定时间内提出支付申请手续即视为不违约，采购人有义务跟进支付情况直至款项实际到账，拨款未能及时到位，中标人不得以此为由而不履行合同规定的义务。因财政支付手续或中标人原因导致不能按时付款或付款迟延的，采购人不以违约论。如果中标人怠于或者拒绝提供资料或者办理手续的，则因此产生的付款迟延责任全部由中标人承担。</w:t>
            </w:r>
          </w:p>
        </w:tc>
      </w:tr>
      <w:tr>
        <w:tblPrEx>
          <w:tblBorders>
            <w:top w:val="single" w:color="D1D1D1" w:sz="6" w:space="0"/>
            <w:left w:val="single" w:color="D1D1D1" w:sz="6" w:space="0"/>
            <w:bottom w:val="single" w:color="D1D1D1" w:sz="6" w:space="0"/>
            <w:right w:val="single" w:color="D1D1D1" w:sz="6" w:space="0"/>
            <w:insideH w:val="single" w:color="D1D1D1" w:sz="6" w:space="0"/>
            <w:insideV w:val="single" w:color="D1D1D1" w:sz="6" w:space="0"/>
          </w:tblBorders>
          <w:tblCellMar>
            <w:top w:w="0" w:type="dxa"/>
            <w:left w:w="57" w:type="dxa"/>
            <w:bottom w:w="0" w:type="dxa"/>
            <w:right w:w="57" w:type="dxa"/>
          </w:tblCellMar>
        </w:tblPrEx>
        <w:trPr>
          <w:trHeight w:val="989" w:hRule="atLeast"/>
          <w:jc w:val="center"/>
        </w:trPr>
        <w:tc>
          <w:tcPr>
            <w:tcW w:w="1911" w:type="dxa"/>
            <w:shd w:val="clear" w:color="auto" w:fill="ECEFF2"/>
            <w:vAlign w:val="center"/>
          </w:tcPr>
          <w:p>
            <w:pPr>
              <w:keepNext w:val="0"/>
              <w:keepLines w:val="0"/>
              <w:pageBreakBefore w:val="0"/>
              <w:widowControl w:val="0"/>
              <w:kinsoku/>
              <w:wordWrap/>
              <w:overflowPunct/>
              <w:topLinePunct w:val="0"/>
              <w:autoSpaceDE w:val="0"/>
              <w:autoSpaceDN w:val="0"/>
              <w:bidi w:val="0"/>
              <w:adjustRightInd/>
              <w:snapToGrid/>
              <w:spacing w:line="360" w:lineRule="auto"/>
              <w:ind w:left="0" w:right="0" w:firstLine="0" w:firstLineChars="0"/>
              <w:jc w:val="center"/>
              <w:textAlignment w:val="auto"/>
              <w:rPr>
                <w:rFonts w:hint="eastAsia" w:ascii="仿宋" w:hAnsi="仿宋" w:eastAsia="仿宋" w:cs="仿宋"/>
                <w:b/>
                <w:sz w:val="21"/>
                <w:szCs w:val="21"/>
                <w:highlight w:val="none"/>
              </w:rPr>
            </w:pPr>
            <w:r>
              <w:rPr>
                <w:rFonts w:hint="eastAsia" w:ascii="仿宋" w:hAnsi="仿宋" w:eastAsia="仿宋" w:cs="仿宋"/>
                <w:b/>
                <w:color w:val="212121"/>
                <w:w w:val="105"/>
                <w:sz w:val="21"/>
                <w:szCs w:val="21"/>
                <w:highlight w:val="none"/>
              </w:rPr>
              <w:t>验收要求（必填）</w:t>
            </w:r>
          </w:p>
        </w:tc>
        <w:tc>
          <w:tcPr>
            <w:tcW w:w="8085" w:type="dxa"/>
            <w:vAlign w:val="center"/>
          </w:tcPr>
          <w:p>
            <w:pPr>
              <w:keepNext w:val="0"/>
              <w:keepLines w:val="0"/>
              <w:pageBreakBefore w:val="0"/>
              <w:widowControl w:val="0"/>
              <w:kinsoku/>
              <w:wordWrap/>
              <w:overflowPunct/>
              <w:topLinePunct w:val="0"/>
              <w:autoSpaceDE w:val="0"/>
              <w:autoSpaceDN w:val="0"/>
              <w:bidi w:val="0"/>
              <w:adjustRightInd/>
              <w:snapToGrid/>
              <w:spacing w:line="360" w:lineRule="auto"/>
              <w:ind w:left="0" w:right="0"/>
              <w:textAlignment w:val="auto"/>
              <w:rPr>
                <w:rFonts w:hint="eastAsia" w:ascii="仿宋" w:hAnsi="仿宋" w:eastAsia="仿宋" w:cs="仿宋"/>
                <w:color w:val="212121"/>
                <w:w w:val="105"/>
                <w:sz w:val="21"/>
                <w:szCs w:val="21"/>
                <w:highlight w:val="none"/>
              </w:rPr>
            </w:pPr>
            <w:r>
              <w:rPr>
                <w:rFonts w:hint="eastAsia" w:ascii="仿宋" w:hAnsi="仿宋" w:eastAsia="仿宋" w:cs="仿宋"/>
                <w:color w:val="212121"/>
                <w:w w:val="105"/>
                <w:sz w:val="21"/>
                <w:szCs w:val="21"/>
                <w:highlight w:val="none"/>
              </w:rPr>
              <w:t>1期：详见技术标准与要求货物验收及项目验收要求。</w:t>
            </w:r>
          </w:p>
        </w:tc>
      </w:tr>
      <w:tr>
        <w:tblPrEx>
          <w:tblBorders>
            <w:top w:val="single" w:color="D1D1D1" w:sz="6" w:space="0"/>
            <w:left w:val="single" w:color="D1D1D1" w:sz="6" w:space="0"/>
            <w:bottom w:val="single" w:color="D1D1D1" w:sz="6" w:space="0"/>
            <w:right w:val="single" w:color="D1D1D1" w:sz="6" w:space="0"/>
            <w:insideH w:val="single" w:color="D1D1D1" w:sz="6" w:space="0"/>
            <w:insideV w:val="single" w:color="D1D1D1" w:sz="6" w:space="0"/>
          </w:tblBorders>
          <w:tblCellMar>
            <w:top w:w="0" w:type="dxa"/>
            <w:left w:w="57" w:type="dxa"/>
            <w:bottom w:w="0" w:type="dxa"/>
            <w:right w:w="57" w:type="dxa"/>
          </w:tblCellMar>
        </w:tblPrEx>
        <w:trPr>
          <w:trHeight w:val="484" w:hRule="atLeast"/>
          <w:jc w:val="center"/>
        </w:trPr>
        <w:tc>
          <w:tcPr>
            <w:tcW w:w="1911" w:type="dxa"/>
            <w:shd w:val="clear" w:color="auto" w:fill="ECEFF2"/>
            <w:vAlign w:val="center"/>
          </w:tcPr>
          <w:p>
            <w:pPr>
              <w:keepNext w:val="0"/>
              <w:keepLines w:val="0"/>
              <w:pageBreakBefore w:val="0"/>
              <w:widowControl w:val="0"/>
              <w:kinsoku/>
              <w:wordWrap/>
              <w:overflowPunct/>
              <w:topLinePunct w:val="0"/>
              <w:autoSpaceDE w:val="0"/>
              <w:autoSpaceDN w:val="0"/>
              <w:bidi w:val="0"/>
              <w:adjustRightInd/>
              <w:snapToGrid/>
              <w:spacing w:line="360" w:lineRule="auto"/>
              <w:ind w:left="0" w:right="0" w:firstLine="0" w:firstLineChars="0"/>
              <w:jc w:val="center"/>
              <w:textAlignment w:val="auto"/>
              <w:rPr>
                <w:rFonts w:hint="eastAsia" w:ascii="仿宋" w:hAnsi="仿宋" w:eastAsia="仿宋" w:cs="仿宋"/>
                <w:b/>
                <w:sz w:val="21"/>
                <w:szCs w:val="21"/>
                <w:highlight w:val="none"/>
              </w:rPr>
            </w:pPr>
            <w:r>
              <w:rPr>
                <w:rFonts w:hint="eastAsia" w:ascii="仿宋" w:hAnsi="仿宋" w:eastAsia="仿宋" w:cs="仿宋"/>
                <w:b/>
                <w:color w:val="212121"/>
                <w:w w:val="105"/>
                <w:sz w:val="21"/>
                <w:szCs w:val="21"/>
                <w:highlight w:val="none"/>
              </w:rPr>
              <w:t>联合体投标（必填）</w:t>
            </w:r>
          </w:p>
        </w:tc>
        <w:tc>
          <w:tcPr>
            <w:tcW w:w="8085" w:type="dxa"/>
            <w:vAlign w:val="center"/>
          </w:tcPr>
          <w:p>
            <w:pPr>
              <w:keepNext w:val="0"/>
              <w:keepLines w:val="0"/>
              <w:pageBreakBefore w:val="0"/>
              <w:widowControl w:val="0"/>
              <w:kinsoku/>
              <w:wordWrap/>
              <w:overflowPunct/>
              <w:topLinePunct w:val="0"/>
              <w:autoSpaceDE w:val="0"/>
              <w:autoSpaceDN w:val="0"/>
              <w:bidi w:val="0"/>
              <w:adjustRightInd/>
              <w:snapToGrid/>
              <w:spacing w:line="360" w:lineRule="auto"/>
              <w:ind w:left="0" w:right="0"/>
              <w:textAlignment w:val="auto"/>
              <w:rPr>
                <w:rFonts w:hint="eastAsia" w:ascii="仿宋" w:hAnsi="仿宋" w:eastAsia="仿宋" w:cs="仿宋"/>
                <w:sz w:val="21"/>
                <w:szCs w:val="21"/>
                <w:highlight w:val="none"/>
              </w:rPr>
            </w:pPr>
            <w:r>
              <w:rPr>
                <w:rFonts w:hint="eastAsia" w:ascii="仿宋" w:hAnsi="仿宋" w:eastAsia="仿宋" w:cs="仿宋"/>
                <w:color w:val="FF0000"/>
                <w:w w:val="105"/>
                <w:sz w:val="21"/>
                <w:szCs w:val="21"/>
                <w:highlight w:val="none"/>
                <w:lang w:eastAsia="zh-CN"/>
              </w:rPr>
              <w:t>☑</w:t>
            </w:r>
            <w:r>
              <w:rPr>
                <w:rFonts w:hint="eastAsia" w:ascii="仿宋" w:hAnsi="仿宋" w:eastAsia="仿宋" w:cs="仿宋"/>
                <w:sz w:val="21"/>
                <w:szCs w:val="21"/>
                <w:highlight w:val="none"/>
              </w:rPr>
              <w:t>是/</w:t>
            </w:r>
            <w:r>
              <w:rPr>
                <w:rFonts w:hint="eastAsia" w:ascii="仿宋" w:hAnsi="仿宋" w:eastAsia="仿宋" w:cs="仿宋"/>
                <w:color w:val="FF0000"/>
                <w:w w:val="105"/>
                <w:sz w:val="21"/>
                <w:szCs w:val="21"/>
                <w:highlight w:val="none"/>
                <w:lang w:eastAsia="zh-CN"/>
              </w:rPr>
              <w:t>□</w:t>
            </w:r>
            <w:r>
              <w:rPr>
                <w:rFonts w:hint="eastAsia" w:ascii="仿宋" w:hAnsi="仿宋" w:eastAsia="仿宋" w:cs="仿宋"/>
                <w:sz w:val="21"/>
                <w:szCs w:val="21"/>
                <w:highlight w:val="none"/>
              </w:rPr>
              <w:t>否</w:t>
            </w:r>
          </w:p>
        </w:tc>
      </w:tr>
      <w:tr>
        <w:tblPrEx>
          <w:tblBorders>
            <w:top w:val="single" w:color="D1D1D1" w:sz="6" w:space="0"/>
            <w:left w:val="single" w:color="D1D1D1" w:sz="6" w:space="0"/>
            <w:bottom w:val="single" w:color="D1D1D1" w:sz="6" w:space="0"/>
            <w:right w:val="single" w:color="D1D1D1" w:sz="6" w:space="0"/>
            <w:insideH w:val="single" w:color="D1D1D1" w:sz="6" w:space="0"/>
            <w:insideV w:val="single" w:color="D1D1D1" w:sz="6" w:space="0"/>
          </w:tblBorders>
          <w:tblCellMar>
            <w:top w:w="0" w:type="dxa"/>
            <w:left w:w="57" w:type="dxa"/>
            <w:bottom w:w="0" w:type="dxa"/>
            <w:right w:w="57" w:type="dxa"/>
          </w:tblCellMar>
        </w:tblPrEx>
        <w:trPr>
          <w:trHeight w:val="484" w:hRule="atLeast"/>
          <w:jc w:val="center"/>
        </w:trPr>
        <w:tc>
          <w:tcPr>
            <w:tcW w:w="1911" w:type="dxa"/>
            <w:shd w:val="clear" w:color="auto" w:fill="ECEFF2"/>
            <w:vAlign w:val="center"/>
          </w:tcPr>
          <w:p>
            <w:pPr>
              <w:keepNext w:val="0"/>
              <w:keepLines w:val="0"/>
              <w:pageBreakBefore w:val="0"/>
              <w:widowControl w:val="0"/>
              <w:kinsoku/>
              <w:wordWrap/>
              <w:overflowPunct/>
              <w:topLinePunct w:val="0"/>
              <w:autoSpaceDE w:val="0"/>
              <w:autoSpaceDN w:val="0"/>
              <w:bidi w:val="0"/>
              <w:adjustRightInd/>
              <w:snapToGrid/>
              <w:spacing w:line="360" w:lineRule="auto"/>
              <w:ind w:left="0" w:right="0" w:firstLine="0" w:firstLineChars="0"/>
              <w:jc w:val="center"/>
              <w:textAlignment w:val="auto"/>
              <w:rPr>
                <w:rFonts w:hint="eastAsia" w:ascii="仿宋" w:hAnsi="仿宋" w:eastAsia="仿宋" w:cs="仿宋"/>
                <w:b/>
                <w:sz w:val="21"/>
                <w:szCs w:val="21"/>
                <w:highlight w:val="none"/>
              </w:rPr>
            </w:pPr>
            <w:r>
              <w:rPr>
                <w:rFonts w:hint="eastAsia" w:ascii="仿宋" w:hAnsi="仿宋" w:eastAsia="仿宋" w:cs="仿宋"/>
                <w:b/>
                <w:color w:val="212121"/>
                <w:w w:val="105"/>
                <w:sz w:val="21"/>
                <w:szCs w:val="21"/>
                <w:highlight w:val="none"/>
              </w:rPr>
              <w:t>合同履行期限（必填）</w:t>
            </w:r>
          </w:p>
        </w:tc>
        <w:tc>
          <w:tcPr>
            <w:tcW w:w="8085" w:type="dxa"/>
            <w:vAlign w:val="center"/>
          </w:tcPr>
          <w:p>
            <w:pPr>
              <w:keepNext w:val="0"/>
              <w:keepLines w:val="0"/>
              <w:pageBreakBefore w:val="0"/>
              <w:widowControl w:val="0"/>
              <w:kinsoku/>
              <w:wordWrap/>
              <w:overflowPunct/>
              <w:topLinePunct w:val="0"/>
              <w:autoSpaceDE w:val="0"/>
              <w:autoSpaceDN w:val="0"/>
              <w:bidi w:val="0"/>
              <w:adjustRightInd/>
              <w:snapToGrid/>
              <w:spacing w:line="360" w:lineRule="auto"/>
              <w:ind w:left="0" w:right="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自验收合格之日起3年。</w:t>
            </w:r>
          </w:p>
        </w:tc>
      </w:tr>
      <w:tr>
        <w:tblPrEx>
          <w:tblBorders>
            <w:top w:val="single" w:color="D1D1D1" w:sz="6" w:space="0"/>
            <w:left w:val="single" w:color="D1D1D1" w:sz="6" w:space="0"/>
            <w:bottom w:val="single" w:color="D1D1D1" w:sz="6" w:space="0"/>
            <w:right w:val="single" w:color="D1D1D1" w:sz="6" w:space="0"/>
            <w:insideH w:val="single" w:color="D1D1D1" w:sz="6" w:space="0"/>
            <w:insideV w:val="single" w:color="D1D1D1" w:sz="6" w:space="0"/>
          </w:tblBorders>
          <w:tblCellMar>
            <w:top w:w="0" w:type="dxa"/>
            <w:left w:w="57" w:type="dxa"/>
            <w:bottom w:w="0" w:type="dxa"/>
            <w:right w:w="57" w:type="dxa"/>
          </w:tblCellMar>
        </w:tblPrEx>
        <w:trPr>
          <w:trHeight w:val="484" w:hRule="atLeast"/>
          <w:jc w:val="center"/>
        </w:trPr>
        <w:tc>
          <w:tcPr>
            <w:tcW w:w="1911" w:type="dxa"/>
            <w:shd w:val="clear" w:color="auto" w:fill="ECEFF2"/>
            <w:vAlign w:val="center"/>
          </w:tcPr>
          <w:p>
            <w:pPr>
              <w:keepNext w:val="0"/>
              <w:keepLines w:val="0"/>
              <w:pageBreakBefore w:val="0"/>
              <w:widowControl w:val="0"/>
              <w:kinsoku/>
              <w:wordWrap/>
              <w:overflowPunct/>
              <w:topLinePunct w:val="0"/>
              <w:autoSpaceDE w:val="0"/>
              <w:autoSpaceDN w:val="0"/>
              <w:bidi w:val="0"/>
              <w:adjustRightInd/>
              <w:snapToGrid/>
              <w:spacing w:line="360" w:lineRule="auto"/>
              <w:ind w:left="0" w:right="0" w:firstLine="0" w:firstLineChars="0"/>
              <w:jc w:val="center"/>
              <w:textAlignment w:val="auto"/>
              <w:rPr>
                <w:rFonts w:hint="eastAsia" w:ascii="仿宋" w:hAnsi="仿宋" w:eastAsia="仿宋" w:cs="仿宋"/>
                <w:b/>
                <w:sz w:val="21"/>
                <w:szCs w:val="21"/>
                <w:highlight w:val="none"/>
              </w:rPr>
            </w:pPr>
            <w:r>
              <w:rPr>
                <w:rFonts w:hint="eastAsia" w:ascii="仿宋" w:hAnsi="仿宋" w:eastAsia="仿宋" w:cs="仿宋"/>
                <w:b/>
                <w:color w:val="212121"/>
                <w:w w:val="105"/>
                <w:sz w:val="21"/>
                <w:szCs w:val="21"/>
                <w:highlight w:val="none"/>
              </w:rPr>
              <w:t>其他</w:t>
            </w:r>
          </w:p>
        </w:tc>
        <w:tc>
          <w:tcPr>
            <w:tcW w:w="8085" w:type="dxa"/>
            <w:vAlign w:val="center"/>
          </w:tcPr>
          <w:p>
            <w:pPr>
              <w:keepNext w:val="0"/>
              <w:keepLines w:val="0"/>
              <w:pageBreakBefore w:val="0"/>
              <w:widowControl w:val="0"/>
              <w:kinsoku/>
              <w:wordWrap/>
              <w:overflowPunct/>
              <w:topLinePunct w:val="0"/>
              <w:autoSpaceDE w:val="0"/>
              <w:autoSpaceDN w:val="0"/>
              <w:bidi w:val="0"/>
              <w:adjustRightInd/>
              <w:snapToGrid/>
              <w:spacing w:line="240" w:lineRule="auto"/>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①质保期：</w:t>
            </w:r>
            <w:r>
              <w:rPr>
                <w:rFonts w:hint="eastAsia"/>
                <w:color w:val="212121"/>
                <w:spacing w:val="10"/>
                <w:sz w:val="21"/>
                <w:szCs w:val="21"/>
                <w:highlight w:val="none"/>
                <w:lang w:val="en-US" w:eastAsia="zh-CN"/>
              </w:rPr>
              <w:t>中标人自</w:t>
            </w:r>
            <w:r>
              <w:rPr>
                <w:rFonts w:hint="eastAsia"/>
                <w:sz w:val="21"/>
                <w:szCs w:val="21"/>
                <w:highlight w:val="none"/>
              </w:rPr>
              <w:t>项目</w:t>
            </w:r>
            <w:r>
              <w:rPr>
                <w:sz w:val="21"/>
                <w:szCs w:val="21"/>
                <w:highlight w:val="none"/>
              </w:rPr>
              <w:t>通过最终验收合格之日</w:t>
            </w:r>
            <w:r>
              <w:rPr>
                <w:rFonts w:hint="eastAsia"/>
                <w:sz w:val="21"/>
                <w:szCs w:val="21"/>
                <w:highlight w:val="none"/>
              </w:rPr>
              <w:t>起提供</w:t>
            </w:r>
            <w:r>
              <w:rPr>
                <w:rFonts w:hint="eastAsia"/>
                <w:sz w:val="21"/>
                <w:szCs w:val="21"/>
                <w:highlight w:val="none"/>
                <w:lang w:val="en-US" w:eastAsia="zh-CN"/>
              </w:rPr>
              <w:t>三年</w:t>
            </w:r>
            <w:r>
              <w:rPr>
                <w:rFonts w:hint="eastAsia"/>
                <w:sz w:val="21"/>
                <w:szCs w:val="21"/>
                <w:highlight w:val="none"/>
              </w:rPr>
              <w:t>整体项目质保</w:t>
            </w:r>
            <w:r>
              <w:rPr>
                <w:rFonts w:hint="eastAsia"/>
                <w:sz w:val="21"/>
                <w:szCs w:val="21"/>
                <w:highlight w:val="none"/>
                <w:lang w:val="en-US" w:eastAsia="zh-CN"/>
              </w:rPr>
              <w:t>服务</w:t>
            </w:r>
            <w:r>
              <w:rPr>
                <w:rFonts w:hint="eastAsia"/>
                <w:sz w:val="21"/>
                <w:szCs w:val="21"/>
                <w:highlight w:val="none"/>
              </w:rPr>
              <w:t>（即36个月），</w:t>
            </w:r>
            <w:r>
              <w:rPr>
                <w:rFonts w:hint="eastAsia"/>
                <w:sz w:val="21"/>
                <w:szCs w:val="21"/>
                <w:highlight w:val="none"/>
                <w:lang w:val="en-US" w:eastAsia="zh-CN"/>
              </w:rPr>
              <w:t>在质保期内，中标人须保障本项目范围内设备、系统的正常运行；系统运行指标须达到当年东莞市公安局关于视图治理基础指标的相关标准。若在质保期内发生的质量问题，由中标人负责免费解决，包退包换（因采购人使用不当或其他人为因素造成的故障除外）。</w:t>
            </w:r>
          </w:p>
          <w:p>
            <w:pPr>
              <w:keepNext w:val="0"/>
              <w:keepLines w:val="0"/>
              <w:pageBreakBefore w:val="0"/>
              <w:widowControl w:val="0"/>
              <w:kinsoku/>
              <w:wordWrap/>
              <w:overflowPunct/>
              <w:topLinePunct w:val="0"/>
              <w:autoSpaceDE w:val="0"/>
              <w:autoSpaceDN w:val="0"/>
              <w:bidi w:val="0"/>
              <w:adjustRightInd/>
              <w:snapToGrid/>
              <w:spacing w:line="240" w:lineRule="auto"/>
              <w:ind w:left="0" w:right="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②本</w:t>
            </w:r>
            <w:r>
              <w:rPr>
                <w:rFonts w:hint="eastAsia" w:ascii="仿宋" w:hAnsi="仿宋" w:eastAsia="仿宋" w:cs="仿宋"/>
                <w:sz w:val="21"/>
                <w:szCs w:val="21"/>
                <w:highlight w:val="none"/>
                <w:lang w:val="en-US" w:eastAsia="zh-CN"/>
              </w:rPr>
              <w:t>采购包</w:t>
            </w:r>
            <w:r>
              <w:rPr>
                <w:rFonts w:hint="eastAsia" w:ascii="仿宋" w:hAnsi="仿宋" w:eastAsia="仿宋" w:cs="仿宋"/>
                <w:sz w:val="21"/>
                <w:szCs w:val="21"/>
                <w:highlight w:val="none"/>
              </w:rPr>
              <w:t>采购总预算为人民币</w:t>
            </w:r>
            <w:r>
              <w:rPr>
                <w:rFonts w:hint="eastAsia"/>
                <w:sz w:val="21"/>
                <w:szCs w:val="21"/>
                <w:highlight w:val="lightGray"/>
                <w:lang w:val="en-US" w:eastAsia="zh-CN"/>
              </w:rPr>
              <w:t>20467863.12</w:t>
            </w:r>
            <w:r>
              <w:rPr>
                <w:rFonts w:hint="eastAsia" w:ascii="仿宋" w:hAnsi="仿宋" w:eastAsia="仿宋" w:cs="仿宋"/>
                <w:sz w:val="21"/>
                <w:szCs w:val="21"/>
                <w:highlight w:val="lightGray"/>
                <w:lang w:eastAsia="zh-CN"/>
              </w:rPr>
              <w:t>元</w:t>
            </w:r>
            <w:r>
              <w:rPr>
                <w:rFonts w:hint="eastAsia" w:ascii="仿宋" w:hAnsi="仿宋" w:eastAsia="仿宋" w:cs="仿宋"/>
                <w:sz w:val="21"/>
                <w:szCs w:val="21"/>
                <w:highlight w:val="none"/>
              </w:rPr>
              <w:t>，</w:t>
            </w:r>
            <w:r>
              <w:rPr>
                <w:rFonts w:hint="default" w:ascii="仿宋" w:hAnsi="仿宋" w:eastAsia="仿宋" w:cs="仿宋"/>
                <w:sz w:val="21"/>
                <w:szCs w:val="21"/>
                <w:highlight w:val="none"/>
                <w:lang w:val="en-US" w:eastAsia="zh-CN" w:bidi="ar-SA"/>
              </w:rPr>
              <w:t>项目报价应包含完成本次采购所有货物和服务内容的费用，包含设备及材料的供应（包括设备材料的技术文件）、勘探现场、装卸、运输、保管、拆卸、清运、安装调试、验收和维修保养、各种税务费及合同实施过程中的不可预见费用等全部费用（含招标文件所要求的必要的辅助材料费用）和售后服务费等，且不得以任何理由或手段增加项目的费用。</w:t>
            </w:r>
            <w:r>
              <w:rPr>
                <w:rFonts w:hint="eastAsia" w:ascii="仿宋" w:hAnsi="仿宋" w:eastAsia="仿宋" w:cs="仿宋"/>
                <w:sz w:val="21"/>
                <w:szCs w:val="21"/>
                <w:highlight w:val="none"/>
              </w:rPr>
              <w:t>投标人在填写分项明细报价时，报价不得超出</w:t>
            </w:r>
            <w:r>
              <w:rPr>
                <w:rFonts w:hint="eastAsia" w:cs="仿宋"/>
                <w:sz w:val="21"/>
                <w:szCs w:val="21"/>
                <w:highlight w:val="none"/>
                <w:lang w:val="en-US" w:eastAsia="zh-CN"/>
              </w:rPr>
              <w:t>相应单项的最高预算价，所有单项的报价累计不得超过项目总预算价，</w:t>
            </w:r>
            <w:r>
              <w:rPr>
                <w:rFonts w:hint="eastAsia" w:ascii="仿宋" w:hAnsi="仿宋" w:eastAsia="仿宋" w:cs="仿宋"/>
                <w:sz w:val="21"/>
                <w:szCs w:val="21"/>
                <w:highlight w:val="none"/>
              </w:rPr>
              <w:t>否则将被视为非实质性响应而予以投标无效处理。</w:t>
            </w:r>
          </w:p>
          <w:p>
            <w:pPr>
              <w:pStyle w:val="2"/>
              <w:keepNext w:val="0"/>
              <w:keepLines w:val="0"/>
              <w:pageBreakBefore w:val="0"/>
              <w:widowControl w:val="0"/>
              <w:kinsoku/>
              <w:wordWrap/>
              <w:overflowPunct/>
              <w:topLinePunct w:val="0"/>
              <w:autoSpaceDE w:val="0"/>
              <w:autoSpaceDN w:val="0"/>
              <w:bidi w:val="0"/>
              <w:adjustRightInd/>
              <w:snapToGrid/>
              <w:spacing w:line="240" w:lineRule="auto"/>
              <w:ind w:left="0" w:leftChars="0" w:firstLine="460" w:firstLineChars="200"/>
              <w:textAlignment w:val="auto"/>
              <w:rPr>
                <w:rFonts w:hint="eastAsia" w:cs="仿宋"/>
                <w:color w:val="212121"/>
                <w:spacing w:val="10"/>
                <w:sz w:val="21"/>
                <w:szCs w:val="21"/>
                <w:highlight w:val="none"/>
                <w:lang w:val="en-US" w:eastAsia="zh-CN" w:bidi="ar-SA"/>
              </w:rPr>
            </w:pPr>
            <w:r>
              <w:rPr>
                <w:rFonts w:hint="default" w:ascii="仿宋" w:hAnsi="仿宋" w:eastAsia="仿宋" w:cs="仿宋"/>
                <w:color w:val="212121"/>
                <w:spacing w:val="10"/>
                <w:sz w:val="21"/>
                <w:szCs w:val="21"/>
                <w:highlight w:val="none"/>
                <w:lang w:val="en-US" w:eastAsia="zh-CN" w:bidi="ar-SA"/>
              </w:rPr>
              <w:t>③</w:t>
            </w:r>
            <w:r>
              <w:rPr>
                <w:rFonts w:hint="eastAsia" w:cs="仿宋"/>
                <w:color w:val="212121"/>
                <w:spacing w:val="10"/>
                <w:sz w:val="21"/>
                <w:szCs w:val="21"/>
                <w:highlight w:val="none"/>
                <w:lang w:val="en-US" w:eastAsia="zh-CN" w:bidi="ar-SA"/>
              </w:rPr>
              <w:t>本采购包不得转包或分包。</w:t>
            </w:r>
          </w:p>
          <w:p>
            <w:pPr>
              <w:keepNext w:val="0"/>
              <w:keepLines w:val="0"/>
              <w:pageBreakBefore w:val="0"/>
              <w:widowControl w:val="0"/>
              <w:kinsoku/>
              <w:wordWrap/>
              <w:overflowPunct/>
              <w:topLinePunct w:val="0"/>
              <w:autoSpaceDE w:val="0"/>
              <w:autoSpaceDN w:val="0"/>
              <w:bidi w:val="0"/>
              <w:adjustRightInd/>
              <w:snapToGrid/>
              <w:spacing w:line="240" w:lineRule="auto"/>
              <w:textAlignment w:val="auto"/>
              <w:rPr>
                <w:rFonts w:hint="default"/>
                <w:highlight w:val="none"/>
                <w:lang w:val="en-US"/>
              </w:rPr>
            </w:pPr>
            <w:r>
              <w:rPr>
                <w:rFonts w:hint="eastAsia"/>
                <w:sz w:val="21"/>
                <w:szCs w:val="21"/>
                <w:highlight w:val="lightGray"/>
              </w:rPr>
              <w:t>④</w:t>
            </w:r>
            <w:r>
              <w:rPr>
                <w:rFonts w:hint="eastAsia"/>
                <w:sz w:val="21"/>
                <w:szCs w:val="21"/>
                <w:highlight w:val="lightGray"/>
                <w:lang w:eastAsia="zh-CN"/>
              </w:rPr>
              <w:t>鼓励积极</w:t>
            </w:r>
            <w:r>
              <w:rPr>
                <w:rFonts w:hint="eastAsia"/>
                <w:sz w:val="21"/>
                <w:szCs w:val="21"/>
                <w:highlight w:val="lightGray"/>
              </w:rPr>
              <w:t>参与广东省百县千镇万村高质量发展政府公益项目：</w:t>
            </w:r>
            <w:r>
              <w:rPr>
                <w:rFonts w:hint="eastAsia"/>
                <w:sz w:val="21"/>
                <w:szCs w:val="21"/>
                <w:highlight w:val="lightGray"/>
                <w:lang w:eastAsia="zh-CN"/>
              </w:rPr>
              <w:t>建议</w:t>
            </w:r>
            <w:r>
              <w:rPr>
                <w:rFonts w:hint="eastAsia"/>
                <w:sz w:val="21"/>
                <w:szCs w:val="21"/>
                <w:highlight w:val="lightGray"/>
              </w:rPr>
              <w:t>中标人以</w:t>
            </w:r>
            <w:r>
              <w:rPr>
                <w:rFonts w:hint="eastAsia"/>
                <w:sz w:val="21"/>
                <w:szCs w:val="21"/>
                <w:highlight w:val="lightGray"/>
                <w:lang w:eastAsia="zh-CN"/>
              </w:rPr>
              <w:t>不低于</w:t>
            </w:r>
            <w:r>
              <w:rPr>
                <w:rFonts w:hint="eastAsia"/>
                <w:sz w:val="21"/>
                <w:szCs w:val="21"/>
                <w:highlight w:val="lightGray"/>
              </w:rPr>
              <w:t>中标金额的5%</w:t>
            </w:r>
            <w:r>
              <w:rPr>
                <w:rFonts w:hint="eastAsia"/>
                <w:sz w:val="21"/>
                <w:szCs w:val="21"/>
                <w:highlight w:val="lightGray"/>
                <w:lang w:eastAsia="zh-CN"/>
              </w:rPr>
              <w:t>专门用</w:t>
            </w:r>
            <w:r>
              <w:rPr>
                <w:rFonts w:hint="eastAsia"/>
                <w:sz w:val="21"/>
                <w:szCs w:val="21"/>
                <w:highlight w:val="lightGray"/>
              </w:rPr>
              <w:t>于广东省百县千镇万村高质量发展政府公益项目，支持公益助力项目建设。</w:t>
            </w:r>
          </w:p>
        </w:tc>
      </w:tr>
    </w:tbl>
    <w:p>
      <w:pPr>
        <w:rPr>
          <w:rFonts w:hint="eastAsia" w:ascii="仿宋" w:hAnsi="仿宋" w:eastAsia="仿宋" w:cs="仿宋"/>
          <w:color w:val="212121"/>
          <w:spacing w:val="10"/>
          <w:sz w:val="21"/>
          <w:szCs w:val="21"/>
          <w:highlight w:val="none"/>
        </w:rPr>
      </w:pPr>
    </w:p>
    <w:p>
      <w:pPr>
        <w:pStyle w:val="2"/>
        <w:rPr>
          <w:rFonts w:hint="eastAsia"/>
          <w:highlight w:val="none"/>
        </w:rPr>
      </w:pPr>
    </w:p>
    <w:p>
      <w:pPr>
        <w:pStyle w:val="3"/>
        <w:bidi w:val="0"/>
        <w:rPr>
          <w:rFonts w:hint="eastAsia"/>
          <w:highlight w:val="none"/>
        </w:rPr>
      </w:pPr>
      <w:r>
        <w:rPr>
          <w:rFonts w:hint="eastAsia"/>
          <w:highlight w:val="none"/>
        </w:rPr>
        <w:t>标的需求清单及技术（参数）要求</w:t>
      </w:r>
    </w:p>
    <w:p>
      <w:pPr>
        <w:pStyle w:val="4"/>
        <w:bidi w:val="0"/>
        <w:rPr>
          <w:rFonts w:hint="eastAsia"/>
          <w:highlight w:val="none"/>
          <w:lang w:eastAsia="zh-CN"/>
        </w:rPr>
      </w:pPr>
      <w:r>
        <w:rPr>
          <w:rFonts w:hint="eastAsia"/>
          <w:highlight w:val="none"/>
          <w:lang w:val="en-US" w:eastAsia="zh-CN"/>
        </w:rPr>
        <w:t>项目背景</w:t>
      </w:r>
    </w:p>
    <w:p>
      <w:pPr>
        <w:bidi w:val="0"/>
        <w:rPr>
          <w:rFonts w:hint="eastAsia"/>
          <w:highlight w:val="none"/>
          <w:lang w:val="en-US" w:eastAsia="zh-CN"/>
        </w:rPr>
      </w:pPr>
      <w:r>
        <w:rPr>
          <w:rFonts w:hint="default"/>
          <w:highlight w:val="none"/>
          <w:lang w:val="en-US" w:eastAsia="zh-CN"/>
        </w:rPr>
        <w:t>为</w:t>
      </w:r>
      <w:r>
        <w:rPr>
          <w:rFonts w:hint="eastAsia"/>
          <w:highlight w:val="none"/>
          <w:lang w:val="en-US" w:eastAsia="zh-CN"/>
        </w:rPr>
        <w:t>提升万江街道城市整体形象与万江街道新村片区人居环境品质，街道于2025年开展了万江街道新村片区智慧城市改造工程建设，该项目有效补齐了片区基础设施短板，改善区域交通通行条件，为片区发展筑牢基础。</w:t>
      </w:r>
    </w:p>
    <w:p>
      <w:pPr>
        <w:bidi w:val="0"/>
        <w:rPr>
          <w:rFonts w:hint="eastAsia"/>
          <w:highlight w:val="none"/>
          <w:lang w:val="en-US" w:eastAsia="zh-CN"/>
        </w:rPr>
      </w:pPr>
      <w:r>
        <w:rPr>
          <w:rFonts w:hint="eastAsia"/>
          <w:highlight w:val="none"/>
          <w:lang w:val="en-US" w:eastAsia="zh-CN"/>
        </w:rPr>
        <w:t>为巩固建设成效，落实“品质交通攻坚行动”工作要求，破解片区社会面管控智能化、交通服务精细化水平不足等问题，夯实基层治理现代化根基，万江街道在新村片区智慧城市改造工程项目的基础上，提出“万江街道新村片区智慧城市改造工程项目二期”建设。本次项目作为智慧城市建设的“基础性工程”，以“筑牢安全底座、畅通数据血脉”为目标，聚焦公告安全与交通管理领域的智能化升级改造，同时为城市管理、环保监测等专题应用预留扩展空间，推动视频图像等数据资源转化为重要资产，为后续城市发展、民生服务等提供底座支撑。</w:t>
      </w:r>
    </w:p>
    <w:p>
      <w:pPr>
        <w:pStyle w:val="4"/>
        <w:bidi w:val="0"/>
        <w:rPr>
          <w:rFonts w:hint="default"/>
          <w:highlight w:val="none"/>
          <w:lang w:val="en-US" w:eastAsia="zh-CN"/>
        </w:rPr>
      </w:pPr>
      <w:bookmarkStart w:id="0" w:name="_Toc196214520"/>
      <w:r>
        <w:rPr>
          <w:rFonts w:hint="eastAsia"/>
          <w:highlight w:val="none"/>
          <w:lang w:val="en-US" w:eastAsia="zh-CN"/>
        </w:rPr>
        <w:t>建设依据</w:t>
      </w:r>
      <w:bookmarkEnd w:id="0"/>
    </w:p>
    <w:p>
      <w:pPr>
        <w:pStyle w:val="5"/>
        <w:bidi w:val="0"/>
        <w:rPr>
          <w:rFonts w:hint="default"/>
          <w:highlight w:val="none"/>
          <w:lang w:val="en-US" w:eastAsia="zh-CN"/>
        </w:rPr>
      </w:pPr>
      <w:r>
        <w:rPr>
          <w:rFonts w:hint="default"/>
          <w:highlight w:val="none"/>
          <w:lang w:val="en-US" w:eastAsia="zh-CN"/>
        </w:rPr>
        <w:t>法律法规及政策文件</w:t>
      </w:r>
    </w:p>
    <w:p>
      <w:pPr>
        <w:bidi w:val="0"/>
        <w:rPr>
          <w:rFonts w:hint="default"/>
          <w:highlight w:val="none"/>
          <w:lang w:val="en-US" w:eastAsia="zh-CN"/>
        </w:rPr>
      </w:pPr>
      <w:r>
        <w:rPr>
          <w:rFonts w:hint="default"/>
          <w:highlight w:val="none"/>
          <w:lang w:val="en-US" w:eastAsia="zh-CN"/>
        </w:rPr>
        <w:t>《中华人民共和国网络安全法》（主席令12届第53号）</w:t>
      </w:r>
    </w:p>
    <w:p>
      <w:pPr>
        <w:bidi w:val="0"/>
        <w:rPr>
          <w:rFonts w:hint="default"/>
          <w:highlight w:val="none"/>
          <w:lang w:val="en-US" w:eastAsia="zh-CN"/>
        </w:rPr>
      </w:pPr>
      <w:r>
        <w:rPr>
          <w:rFonts w:hint="default"/>
          <w:highlight w:val="none"/>
          <w:lang w:val="en-US" w:eastAsia="zh-CN"/>
        </w:rPr>
        <w:t>《中华人民共和国数据安全法》</w:t>
      </w:r>
    </w:p>
    <w:p>
      <w:pPr>
        <w:bidi w:val="0"/>
        <w:rPr>
          <w:rFonts w:hint="default"/>
          <w:highlight w:val="none"/>
          <w:lang w:val="en-US" w:eastAsia="zh-CN"/>
        </w:rPr>
      </w:pPr>
      <w:r>
        <w:rPr>
          <w:rFonts w:hint="default"/>
          <w:highlight w:val="none"/>
          <w:lang w:val="en-US" w:eastAsia="zh-CN"/>
        </w:rPr>
        <w:t>《中华人民共和国个人信息保护法》</w:t>
      </w:r>
    </w:p>
    <w:p>
      <w:pPr>
        <w:bidi w:val="0"/>
        <w:rPr>
          <w:rFonts w:hint="default"/>
          <w:highlight w:val="none"/>
          <w:lang w:val="en-US" w:eastAsia="zh-CN"/>
        </w:rPr>
      </w:pPr>
      <w:r>
        <w:rPr>
          <w:rFonts w:hint="default"/>
          <w:highlight w:val="none"/>
          <w:lang w:val="en-US" w:eastAsia="zh-CN"/>
        </w:rPr>
        <w:t>《关键信息基础设施安全保护条例》</w:t>
      </w:r>
    </w:p>
    <w:p>
      <w:pPr>
        <w:bidi w:val="0"/>
        <w:rPr>
          <w:rFonts w:hint="default"/>
          <w:highlight w:val="none"/>
          <w:lang w:val="en-US" w:eastAsia="zh-CN"/>
        </w:rPr>
      </w:pPr>
      <w:r>
        <w:rPr>
          <w:rFonts w:hint="default"/>
          <w:highlight w:val="none"/>
          <w:lang w:val="en-US" w:eastAsia="zh-CN"/>
        </w:rPr>
        <w:t>《中华人民共和国计算机信息系统安全保护条例》（国务院147号令）</w:t>
      </w:r>
    </w:p>
    <w:p>
      <w:pPr>
        <w:bidi w:val="0"/>
        <w:rPr>
          <w:rFonts w:hint="default"/>
          <w:highlight w:val="none"/>
          <w:lang w:val="en-US" w:eastAsia="zh-CN"/>
        </w:rPr>
      </w:pPr>
      <w:r>
        <w:rPr>
          <w:rFonts w:hint="default"/>
          <w:highlight w:val="none"/>
          <w:lang w:val="en-US" w:eastAsia="zh-CN"/>
        </w:rPr>
        <w:t>《中共中央关于新时代公安工作的意见》</w:t>
      </w:r>
    </w:p>
    <w:p>
      <w:pPr>
        <w:bidi w:val="0"/>
        <w:rPr>
          <w:rFonts w:hint="default"/>
          <w:highlight w:val="none"/>
          <w:lang w:val="en-US" w:eastAsia="zh-CN"/>
        </w:rPr>
      </w:pPr>
      <w:r>
        <w:rPr>
          <w:rFonts w:hint="default"/>
          <w:highlight w:val="none"/>
          <w:lang w:val="en-US" w:eastAsia="zh-CN"/>
        </w:rPr>
        <w:t>《新一代人工智能发展规划》（国发〔2017〕35号）</w:t>
      </w:r>
    </w:p>
    <w:p>
      <w:pPr>
        <w:bidi w:val="0"/>
        <w:rPr>
          <w:rFonts w:hint="default"/>
          <w:highlight w:val="none"/>
          <w:lang w:val="en-US" w:eastAsia="zh-CN"/>
        </w:rPr>
      </w:pPr>
      <w:r>
        <w:rPr>
          <w:rFonts w:hint="default"/>
          <w:highlight w:val="none"/>
          <w:lang w:val="en-US" w:eastAsia="zh-CN"/>
        </w:rPr>
        <w:t>《信息安全等级保护商用密码管理办法》</w:t>
      </w:r>
    </w:p>
    <w:p>
      <w:pPr>
        <w:bidi w:val="0"/>
        <w:rPr>
          <w:rFonts w:hint="default"/>
          <w:highlight w:val="none"/>
          <w:lang w:val="en-US" w:eastAsia="zh-CN"/>
        </w:rPr>
      </w:pPr>
      <w:r>
        <w:rPr>
          <w:rFonts w:hint="default"/>
          <w:highlight w:val="none"/>
          <w:lang w:val="en-US" w:eastAsia="zh-CN"/>
        </w:rPr>
        <w:t>《人像识别技术应用安全管理规定（试行）》（网信办）</w:t>
      </w:r>
    </w:p>
    <w:p>
      <w:pPr>
        <w:bidi w:val="0"/>
        <w:rPr>
          <w:rFonts w:hint="default"/>
          <w:highlight w:val="none"/>
          <w:lang w:val="en-US" w:eastAsia="zh-CN"/>
        </w:rPr>
      </w:pPr>
      <w:r>
        <w:rPr>
          <w:rFonts w:hint="default"/>
          <w:highlight w:val="none"/>
          <w:lang w:val="en-US" w:eastAsia="zh-CN"/>
        </w:rPr>
        <w:t>《政务信息资源共享管理暂行办法》（国发〔2016〕51号）</w:t>
      </w:r>
    </w:p>
    <w:p>
      <w:pPr>
        <w:bidi w:val="0"/>
        <w:rPr>
          <w:rFonts w:hint="default"/>
          <w:highlight w:val="none"/>
          <w:lang w:val="en-US" w:eastAsia="zh-CN"/>
        </w:rPr>
      </w:pPr>
      <w:r>
        <w:rPr>
          <w:rFonts w:hint="default"/>
          <w:highlight w:val="none"/>
          <w:lang w:val="en-US" w:eastAsia="zh-CN"/>
        </w:rPr>
        <w:t>《公安信息通信网边界接入平台安全规范》</w:t>
      </w:r>
    </w:p>
    <w:p>
      <w:pPr>
        <w:bidi w:val="0"/>
        <w:rPr>
          <w:rFonts w:hint="default"/>
          <w:highlight w:val="none"/>
          <w:lang w:val="en-US" w:eastAsia="zh-CN"/>
        </w:rPr>
      </w:pPr>
      <w:r>
        <w:rPr>
          <w:rFonts w:hint="default"/>
          <w:highlight w:val="none"/>
          <w:lang w:val="en-US" w:eastAsia="zh-CN"/>
        </w:rPr>
        <w:t>《公安信息网安全管理规定（试行）》（公通字〔2017〕8号）</w:t>
      </w:r>
    </w:p>
    <w:p>
      <w:pPr>
        <w:bidi w:val="0"/>
        <w:rPr>
          <w:rFonts w:hint="default"/>
          <w:highlight w:val="none"/>
          <w:lang w:val="en-US" w:eastAsia="zh-CN"/>
        </w:rPr>
      </w:pPr>
      <w:r>
        <w:rPr>
          <w:rFonts w:hint="default"/>
          <w:highlight w:val="none"/>
          <w:lang w:val="en-US" w:eastAsia="zh-CN"/>
        </w:rPr>
        <w:t>《公安视频图像智能化建设应用指南》</w:t>
      </w:r>
    </w:p>
    <w:p>
      <w:pPr>
        <w:bidi w:val="0"/>
        <w:rPr>
          <w:rFonts w:hint="default"/>
          <w:highlight w:val="none"/>
          <w:lang w:val="en-US" w:eastAsia="zh-CN"/>
        </w:rPr>
      </w:pPr>
      <w:r>
        <w:rPr>
          <w:rFonts w:hint="default"/>
          <w:highlight w:val="none"/>
          <w:lang w:val="en-US" w:eastAsia="zh-CN"/>
        </w:rPr>
        <w:t>《中华人民共和国国民经济和社会发展第十四个五年规划和2035年远景目标纲要》</w:t>
      </w:r>
    </w:p>
    <w:p>
      <w:pPr>
        <w:bidi w:val="0"/>
        <w:rPr>
          <w:rFonts w:hint="default"/>
          <w:highlight w:val="none"/>
          <w:lang w:val="en-US" w:eastAsia="zh-CN"/>
        </w:rPr>
      </w:pPr>
      <w:r>
        <w:rPr>
          <w:rFonts w:hint="default"/>
          <w:highlight w:val="none"/>
          <w:lang w:val="en-US" w:eastAsia="zh-CN"/>
        </w:rPr>
        <w:t>《广东公安信息化建设“十四五”规划》</w:t>
      </w:r>
    </w:p>
    <w:p>
      <w:pPr>
        <w:bidi w:val="0"/>
        <w:rPr>
          <w:rFonts w:hint="default"/>
          <w:highlight w:val="none"/>
          <w:lang w:val="en-US" w:eastAsia="zh-CN"/>
        </w:rPr>
      </w:pPr>
      <w:r>
        <w:rPr>
          <w:rFonts w:hint="default"/>
          <w:highlight w:val="none"/>
          <w:lang w:val="en-US" w:eastAsia="zh-CN"/>
        </w:rPr>
        <w:t>《广东公安视频图像智能化建设应用指南》</w:t>
      </w:r>
    </w:p>
    <w:p>
      <w:pPr>
        <w:bidi w:val="0"/>
        <w:rPr>
          <w:rFonts w:hint="default"/>
          <w:highlight w:val="none"/>
          <w:lang w:val="en-US" w:eastAsia="zh-CN"/>
        </w:rPr>
      </w:pPr>
      <w:r>
        <w:rPr>
          <w:rFonts w:hint="default"/>
          <w:highlight w:val="none"/>
          <w:lang w:val="en-US" w:eastAsia="zh-CN"/>
        </w:rPr>
        <w:t>《2023年度全省公安科信部门运维管理考核指标及测评方法》</w:t>
      </w:r>
    </w:p>
    <w:p>
      <w:pPr>
        <w:bidi w:val="0"/>
        <w:rPr>
          <w:rFonts w:hint="default"/>
          <w:highlight w:val="none"/>
          <w:lang w:val="en-US" w:eastAsia="zh-CN"/>
        </w:rPr>
      </w:pPr>
      <w:r>
        <w:rPr>
          <w:rFonts w:hint="default"/>
          <w:highlight w:val="none"/>
          <w:lang w:val="en-US" w:eastAsia="zh-CN"/>
        </w:rPr>
        <w:t>《东莞市数字政府改革建设“十四五”规划》</w:t>
      </w:r>
    </w:p>
    <w:p>
      <w:pPr>
        <w:bidi w:val="0"/>
        <w:rPr>
          <w:rFonts w:hint="default"/>
          <w:highlight w:val="none"/>
          <w:lang w:val="en-US" w:eastAsia="zh-CN"/>
        </w:rPr>
      </w:pPr>
      <w:r>
        <w:rPr>
          <w:rFonts w:hint="default"/>
          <w:highlight w:val="none"/>
          <w:lang w:val="en-US" w:eastAsia="zh-CN"/>
        </w:rPr>
        <w:t>《东莞市公路防控体系建设智能化升级工作方案的通知》</w:t>
      </w:r>
    </w:p>
    <w:p>
      <w:pPr>
        <w:pStyle w:val="5"/>
        <w:bidi w:val="0"/>
        <w:rPr>
          <w:rFonts w:hint="default"/>
          <w:highlight w:val="none"/>
          <w:lang w:val="en-US" w:eastAsia="zh-CN"/>
        </w:rPr>
      </w:pPr>
      <w:r>
        <w:rPr>
          <w:rFonts w:hint="default"/>
          <w:highlight w:val="none"/>
          <w:lang w:val="en-US" w:eastAsia="zh-CN"/>
        </w:rPr>
        <w:t>标准规范</w:t>
      </w:r>
    </w:p>
    <w:p>
      <w:pPr>
        <w:bidi w:val="0"/>
        <w:rPr>
          <w:rFonts w:hint="default"/>
          <w:highlight w:val="none"/>
          <w:lang w:val="en-US" w:eastAsia="zh-CN"/>
        </w:rPr>
      </w:pPr>
      <w:r>
        <w:rPr>
          <w:rFonts w:hint="default"/>
          <w:highlight w:val="none"/>
          <w:lang w:val="en-US" w:eastAsia="zh-CN"/>
        </w:rPr>
        <w:t>《公共安全视频监控数字视音频编解码技术要求》（GB/T25724-2017）</w:t>
      </w:r>
    </w:p>
    <w:p>
      <w:pPr>
        <w:bidi w:val="0"/>
        <w:rPr>
          <w:rFonts w:hint="default"/>
          <w:highlight w:val="none"/>
          <w:lang w:val="en-US" w:eastAsia="zh-CN"/>
        </w:rPr>
      </w:pPr>
      <w:r>
        <w:rPr>
          <w:rFonts w:hint="default"/>
          <w:highlight w:val="none"/>
          <w:lang w:val="en-US" w:eastAsia="zh-CN"/>
        </w:rPr>
        <w:t>《公共安全视频监控联网系统信息传输、交换、控制技术要求》（GB/T28181-2022）</w:t>
      </w:r>
    </w:p>
    <w:p>
      <w:pPr>
        <w:bidi w:val="0"/>
        <w:rPr>
          <w:rFonts w:hint="default"/>
          <w:highlight w:val="none"/>
          <w:lang w:val="en-US" w:eastAsia="zh-CN"/>
        </w:rPr>
      </w:pPr>
      <w:r>
        <w:rPr>
          <w:rFonts w:hint="default"/>
          <w:highlight w:val="none"/>
          <w:lang w:val="en-US" w:eastAsia="zh-CN"/>
        </w:rPr>
        <w:t>《公共安全视频监控联网信息安全技术要求》（GB35114-2017）</w:t>
      </w:r>
    </w:p>
    <w:p>
      <w:pPr>
        <w:bidi w:val="0"/>
        <w:rPr>
          <w:rFonts w:hint="default"/>
          <w:highlight w:val="none"/>
          <w:lang w:val="en-US" w:eastAsia="zh-CN"/>
        </w:rPr>
      </w:pPr>
      <w:r>
        <w:rPr>
          <w:rFonts w:hint="default"/>
          <w:highlight w:val="none"/>
          <w:lang w:val="en-US" w:eastAsia="zh-CN"/>
        </w:rPr>
        <w:t>《安全防范工程技术标准》（GB50348-2018）</w:t>
      </w:r>
    </w:p>
    <w:p>
      <w:pPr>
        <w:bidi w:val="0"/>
        <w:rPr>
          <w:rFonts w:hint="default"/>
          <w:highlight w:val="none"/>
          <w:lang w:val="en-US" w:eastAsia="zh-CN"/>
        </w:rPr>
      </w:pPr>
      <w:r>
        <w:rPr>
          <w:rFonts w:hint="default"/>
          <w:highlight w:val="none"/>
          <w:lang w:val="en-US" w:eastAsia="zh-CN"/>
        </w:rPr>
        <w:t>《安全防范视频监控人像识别系统技术要求》（GB/T31488-2015）</w:t>
      </w:r>
    </w:p>
    <w:p>
      <w:pPr>
        <w:bidi w:val="0"/>
        <w:rPr>
          <w:rFonts w:hint="default"/>
          <w:highlight w:val="none"/>
          <w:lang w:val="en-US" w:eastAsia="zh-CN"/>
        </w:rPr>
      </w:pPr>
      <w:r>
        <w:rPr>
          <w:rFonts w:hint="default"/>
          <w:highlight w:val="none"/>
          <w:lang w:val="en-US" w:eastAsia="zh-CN"/>
        </w:rPr>
        <w:t>《网络安全等级保护测试评估技术指南》（GB/T36627-2018）</w:t>
      </w:r>
    </w:p>
    <w:p>
      <w:pPr>
        <w:bidi w:val="0"/>
        <w:rPr>
          <w:rFonts w:hint="default"/>
          <w:highlight w:val="none"/>
          <w:lang w:val="en-US" w:eastAsia="zh-CN"/>
        </w:rPr>
      </w:pPr>
      <w:r>
        <w:rPr>
          <w:rFonts w:hint="default"/>
          <w:highlight w:val="none"/>
          <w:lang w:val="en-US" w:eastAsia="zh-CN"/>
        </w:rPr>
        <w:t>《信息安全技术信息系统安全运维管理指南》（GB/T36626-2018）</w:t>
      </w:r>
    </w:p>
    <w:p>
      <w:pPr>
        <w:bidi w:val="0"/>
        <w:rPr>
          <w:rFonts w:hint="default"/>
          <w:highlight w:val="none"/>
          <w:lang w:val="en-US" w:eastAsia="zh-CN"/>
        </w:rPr>
      </w:pPr>
      <w:r>
        <w:rPr>
          <w:rFonts w:hint="default"/>
          <w:highlight w:val="none"/>
          <w:lang w:val="en-US" w:eastAsia="zh-CN"/>
        </w:rPr>
        <w:t>《信息安全技术信息系统密码应用基本要求》（GB/T39786-2021）</w:t>
      </w:r>
    </w:p>
    <w:p>
      <w:pPr>
        <w:bidi w:val="0"/>
        <w:rPr>
          <w:rFonts w:hint="default"/>
          <w:highlight w:val="none"/>
          <w:lang w:val="en-US" w:eastAsia="zh-CN"/>
        </w:rPr>
      </w:pPr>
      <w:r>
        <w:rPr>
          <w:rFonts w:hint="default"/>
          <w:highlight w:val="none"/>
          <w:lang w:val="en-US" w:eastAsia="zh-CN"/>
        </w:rPr>
        <w:t>《计算机信息系统安全等级保护划分准则》（GB/T17859-1999）</w:t>
      </w:r>
    </w:p>
    <w:p>
      <w:pPr>
        <w:bidi w:val="0"/>
        <w:rPr>
          <w:rFonts w:hint="default"/>
          <w:highlight w:val="none"/>
          <w:lang w:val="en-US" w:eastAsia="zh-CN"/>
        </w:rPr>
      </w:pPr>
      <w:r>
        <w:rPr>
          <w:rFonts w:hint="default"/>
          <w:highlight w:val="none"/>
          <w:lang w:val="en-US" w:eastAsia="zh-CN"/>
        </w:rPr>
        <w:t>《信息安全技术网络安全等级保护基本要求》（GB/T22239-2019）</w:t>
      </w:r>
    </w:p>
    <w:p>
      <w:pPr>
        <w:bidi w:val="0"/>
        <w:rPr>
          <w:rFonts w:hint="default"/>
          <w:highlight w:val="none"/>
          <w:lang w:val="en-US" w:eastAsia="zh-CN"/>
        </w:rPr>
      </w:pPr>
      <w:r>
        <w:rPr>
          <w:rFonts w:hint="default"/>
          <w:highlight w:val="none"/>
          <w:lang w:val="en-US" w:eastAsia="zh-CN"/>
        </w:rPr>
        <w:t>《信息安全技术信息系统安全等级保护定级指南》（GB/T22240-2020）</w:t>
      </w:r>
    </w:p>
    <w:p>
      <w:pPr>
        <w:bidi w:val="0"/>
        <w:rPr>
          <w:rFonts w:hint="default"/>
          <w:highlight w:val="none"/>
          <w:lang w:val="en-US" w:eastAsia="zh-CN"/>
        </w:rPr>
      </w:pPr>
      <w:r>
        <w:rPr>
          <w:rFonts w:hint="default"/>
          <w:highlight w:val="none"/>
          <w:lang w:val="en-US" w:eastAsia="zh-CN"/>
        </w:rPr>
        <w:t>《信息安全技术网络安全等级保护安全设计技术要求》（GB/T25070-2019）</w:t>
      </w:r>
    </w:p>
    <w:p>
      <w:pPr>
        <w:bidi w:val="0"/>
        <w:rPr>
          <w:rFonts w:hint="default"/>
          <w:highlight w:val="none"/>
          <w:lang w:val="en-US" w:eastAsia="zh-CN"/>
        </w:rPr>
      </w:pPr>
      <w:r>
        <w:rPr>
          <w:rFonts w:hint="default"/>
          <w:highlight w:val="none"/>
          <w:lang w:val="en-US" w:eastAsia="zh-CN"/>
        </w:rPr>
        <w:t>《信息安全技术步态识别数据安全要求》（GB/T41773-2022）</w:t>
      </w:r>
    </w:p>
    <w:p>
      <w:pPr>
        <w:bidi w:val="0"/>
        <w:rPr>
          <w:rFonts w:hint="default"/>
          <w:highlight w:val="none"/>
          <w:lang w:val="en-US" w:eastAsia="zh-CN"/>
        </w:rPr>
      </w:pPr>
      <w:r>
        <w:rPr>
          <w:rFonts w:hint="default"/>
          <w:highlight w:val="none"/>
          <w:lang w:val="en-US" w:eastAsia="zh-CN"/>
        </w:rPr>
        <w:t>《安全防范高清视频监控系统技术要求》（GA/T1211-2014）</w:t>
      </w:r>
    </w:p>
    <w:p>
      <w:pPr>
        <w:bidi w:val="0"/>
        <w:rPr>
          <w:rFonts w:hint="default"/>
          <w:highlight w:val="none"/>
          <w:lang w:val="en-US" w:eastAsia="zh-CN"/>
        </w:rPr>
      </w:pPr>
      <w:r>
        <w:rPr>
          <w:rFonts w:hint="default"/>
          <w:highlight w:val="none"/>
          <w:lang w:val="en-US" w:eastAsia="zh-CN"/>
        </w:rPr>
        <w:t>《城市监控报警联网系统技术标准第9部分：卡口信息识别、比对、监测系统技术要求》（GA/T669.9-2008）</w:t>
      </w:r>
    </w:p>
    <w:p>
      <w:pPr>
        <w:bidi w:val="0"/>
        <w:rPr>
          <w:rFonts w:hint="default"/>
          <w:highlight w:val="none"/>
          <w:lang w:val="en-US" w:eastAsia="zh-CN"/>
        </w:rPr>
      </w:pPr>
      <w:r>
        <w:rPr>
          <w:rFonts w:hint="default"/>
          <w:highlight w:val="none"/>
          <w:lang w:val="en-US" w:eastAsia="zh-CN"/>
        </w:rPr>
        <w:t>《视频画面中目标尺寸测量方法》（GA/T1024-2013）</w:t>
      </w:r>
    </w:p>
    <w:p>
      <w:pPr>
        <w:bidi w:val="0"/>
        <w:rPr>
          <w:rFonts w:hint="default"/>
          <w:highlight w:val="none"/>
          <w:lang w:val="en-US" w:eastAsia="zh-CN"/>
        </w:rPr>
      </w:pPr>
      <w:r>
        <w:rPr>
          <w:rFonts w:hint="default"/>
          <w:highlight w:val="none"/>
          <w:lang w:val="en-US" w:eastAsia="zh-CN"/>
        </w:rPr>
        <w:t>《公安视频图像分析系统》（GA/T1399-2017）</w:t>
      </w:r>
    </w:p>
    <w:p>
      <w:pPr>
        <w:bidi w:val="0"/>
        <w:rPr>
          <w:rFonts w:hint="default"/>
          <w:highlight w:val="none"/>
          <w:lang w:val="en-US" w:eastAsia="zh-CN"/>
        </w:rPr>
      </w:pPr>
      <w:r>
        <w:rPr>
          <w:rFonts w:hint="default"/>
          <w:highlight w:val="none"/>
          <w:lang w:val="en-US" w:eastAsia="zh-CN"/>
        </w:rPr>
        <w:t>《公安视频图像信息应用系统》（GA/T1400-2017）</w:t>
      </w:r>
    </w:p>
    <w:p>
      <w:pPr>
        <w:bidi w:val="0"/>
        <w:rPr>
          <w:rFonts w:hint="default"/>
          <w:highlight w:val="none"/>
          <w:lang w:val="en-US" w:eastAsia="zh-CN"/>
        </w:rPr>
      </w:pPr>
      <w:r>
        <w:rPr>
          <w:rFonts w:hint="default"/>
          <w:highlight w:val="none"/>
          <w:lang w:val="en-US" w:eastAsia="zh-CN"/>
        </w:rPr>
        <w:t>《安防人像识别应用视频人像图像提取技术要求》（GA/T1334-2016）</w:t>
      </w:r>
    </w:p>
    <w:p>
      <w:pPr>
        <w:bidi w:val="0"/>
        <w:rPr>
          <w:rFonts w:hint="default"/>
          <w:highlight w:val="none"/>
          <w:lang w:val="en-US" w:eastAsia="zh-CN"/>
        </w:rPr>
      </w:pPr>
      <w:r>
        <w:rPr>
          <w:rFonts w:hint="default"/>
          <w:highlight w:val="none"/>
          <w:lang w:val="en-US" w:eastAsia="zh-CN"/>
        </w:rPr>
        <w:t>《视频中人像检验技术规范》（GA/T1023-2013）</w:t>
      </w:r>
    </w:p>
    <w:p>
      <w:pPr>
        <w:bidi w:val="0"/>
        <w:rPr>
          <w:rFonts w:hint="default"/>
          <w:highlight w:val="none"/>
          <w:lang w:val="en-US" w:eastAsia="zh-CN"/>
        </w:rPr>
      </w:pPr>
      <w:r>
        <w:rPr>
          <w:rFonts w:hint="default"/>
          <w:highlight w:val="none"/>
          <w:lang w:val="en-US" w:eastAsia="zh-CN"/>
        </w:rPr>
        <w:t>《机动车号牌图像自动识别技术规范》（GA/T833-2016）</w:t>
      </w:r>
    </w:p>
    <w:p>
      <w:pPr>
        <w:bidi w:val="0"/>
        <w:rPr>
          <w:rFonts w:hint="default"/>
          <w:highlight w:val="none"/>
          <w:lang w:val="en-US" w:eastAsia="zh-CN"/>
        </w:rPr>
      </w:pPr>
      <w:r>
        <w:rPr>
          <w:rFonts w:hint="default"/>
          <w:highlight w:val="none"/>
          <w:lang w:val="en-US" w:eastAsia="zh-CN"/>
        </w:rPr>
        <w:t>《视频中车辆图像检验技术规范》（GA/T1019-2013）</w:t>
      </w:r>
    </w:p>
    <w:p>
      <w:pPr>
        <w:bidi w:val="0"/>
        <w:rPr>
          <w:rFonts w:hint="default"/>
          <w:highlight w:val="none"/>
          <w:lang w:val="en-US" w:eastAsia="zh-CN"/>
        </w:rPr>
      </w:pPr>
      <w:r>
        <w:rPr>
          <w:rFonts w:hint="default"/>
          <w:highlight w:val="none"/>
          <w:lang w:val="en-US" w:eastAsia="zh-CN"/>
        </w:rPr>
        <w:t>《新一代公安信息网网络架构技术要求》（GA/DSJ400-2019）</w:t>
      </w:r>
    </w:p>
    <w:p>
      <w:pPr>
        <w:bidi w:val="0"/>
        <w:rPr>
          <w:rFonts w:hint="default"/>
          <w:highlight w:val="none"/>
          <w:lang w:val="en-US" w:eastAsia="zh-CN"/>
        </w:rPr>
      </w:pPr>
      <w:r>
        <w:rPr>
          <w:rFonts w:hint="default"/>
          <w:highlight w:val="none"/>
          <w:lang w:val="en-US" w:eastAsia="zh-CN"/>
        </w:rPr>
        <w:t>《公安大数据安全总体技术框架》（GA/DSJ-300-2019）</w:t>
      </w:r>
    </w:p>
    <w:p>
      <w:pPr>
        <w:bidi w:val="0"/>
        <w:rPr>
          <w:rFonts w:hint="default"/>
          <w:highlight w:val="none"/>
          <w:lang w:val="en-US" w:eastAsia="zh-CN"/>
        </w:rPr>
      </w:pPr>
      <w:r>
        <w:rPr>
          <w:rFonts w:hint="default"/>
          <w:highlight w:val="none"/>
          <w:lang w:val="en-US" w:eastAsia="zh-CN"/>
        </w:rPr>
        <w:t>《公安视频图像信息系统安全技术要求》（GA/T1788-2021）</w:t>
      </w:r>
    </w:p>
    <w:p>
      <w:pPr>
        <w:bidi w:val="0"/>
        <w:rPr>
          <w:rFonts w:hint="default"/>
          <w:highlight w:val="none"/>
          <w:lang w:val="en-US" w:eastAsia="zh-CN"/>
        </w:rPr>
      </w:pPr>
      <w:r>
        <w:rPr>
          <w:rFonts w:hint="default"/>
          <w:highlight w:val="none"/>
          <w:lang w:val="en-US" w:eastAsia="zh-CN"/>
        </w:rPr>
        <w:t>《广东公安人像聚类档案级联共享技术要求》</w:t>
      </w:r>
    </w:p>
    <w:p>
      <w:pPr>
        <w:bidi w:val="0"/>
        <w:rPr>
          <w:rFonts w:hint="default"/>
          <w:highlight w:val="none"/>
          <w:lang w:val="en-US" w:eastAsia="zh-CN"/>
        </w:rPr>
      </w:pPr>
      <w:r>
        <w:rPr>
          <w:rFonts w:hint="default"/>
          <w:highlight w:val="none"/>
          <w:lang w:val="en-US" w:eastAsia="zh-CN"/>
        </w:rPr>
        <w:t>《广东公安视频云视图库省市级联技术指南》</w:t>
      </w:r>
    </w:p>
    <w:p>
      <w:pPr>
        <w:bidi w:val="0"/>
        <w:rPr>
          <w:rFonts w:hint="default"/>
          <w:highlight w:val="none"/>
          <w:lang w:val="en-US" w:eastAsia="zh-CN"/>
        </w:rPr>
      </w:pPr>
      <w:r>
        <w:rPr>
          <w:rFonts w:hint="default"/>
          <w:highlight w:val="none"/>
          <w:lang w:val="en-US" w:eastAsia="zh-CN"/>
        </w:rPr>
        <w:t>《广东公安视频图像采集设备“一机一档”基础信息采集建档工作指引》</w:t>
      </w:r>
    </w:p>
    <w:p>
      <w:pPr>
        <w:bidi w:val="0"/>
        <w:rPr>
          <w:rFonts w:hint="default"/>
          <w:highlight w:val="none"/>
          <w:lang w:val="en-US" w:eastAsia="zh-CN"/>
        </w:rPr>
      </w:pPr>
      <w:r>
        <w:rPr>
          <w:rFonts w:hint="default"/>
          <w:highlight w:val="none"/>
          <w:lang w:val="en-US" w:eastAsia="zh-CN"/>
        </w:rPr>
        <w:t>《广东公安车辆卡口“一卡一档”基础信息采集建档工作指引》</w:t>
      </w:r>
    </w:p>
    <w:p>
      <w:pPr>
        <w:pStyle w:val="4"/>
        <w:bidi w:val="0"/>
        <w:rPr>
          <w:rFonts w:hint="default"/>
          <w:highlight w:val="none"/>
          <w:lang w:val="en-US" w:eastAsia="zh-CN"/>
        </w:rPr>
      </w:pPr>
      <w:r>
        <w:rPr>
          <w:rFonts w:hint="eastAsia"/>
          <w:highlight w:val="none"/>
          <w:lang w:val="en-US" w:eastAsia="zh-CN"/>
        </w:rPr>
        <w:t>项目建设目标</w:t>
      </w:r>
    </w:p>
    <w:p>
      <w:pPr>
        <w:bidi w:val="0"/>
        <w:rPr>
          <w:rFonts w:hint="eastAsia"/>
          <w:highlight w:val="none"/>
          <w:lang w:val="en-US" w:eastAsia="zh-CN"/>
        </w:rPr>
      </w:pPr>
      <w:bookmarkStart w:id="1" w:name="OLE_LINK9"/>
      <w:r>
        <w:rPr>
          <w:rFonts w:hint="eastAsia"/>
          <w:highlight w:val="none"/>
          <w:lang w:val="en-US" w:eastAsia="zh-CN"/>
        </w:rPr>
        <w:t>契合万江街道智慧城市发展战略，本项目着力构建智慧城市支撑底座，在充分结合现有成果上进一步延伸监控覆盖面，针对万江街道内道路交叉路口、案件高发区域、重点防控区等区域进行高清监控的补点扩面建设，并在辖区内重要道路、路口枢纽等交通管控要点新建一批电子警察。通过新一代信息技术，统筹规划、分步实施，构建完善符合万江街道实战需求的高清立体防控治安体系和交通智能管理体系，充分发挥视频图像资源在社会维稳、治安防控、应急处突、服务群众等方面的重要作用，推动交通管理向数字化、智能化转型，提高万江街道社会治安的安防水平和交通精细化管理能力，提高街道居民的幸福感与获得感。</w:t>
      </w:r>
      <w:bookmarkEnd w:id="1"/>
    </w:p>
    <w:p>
      <w:pPr>
        <w:pStyle w:val="4"/>
        <w:bidi w:val="0"/>
        <w:rPr>
          <w:rFonts w:hint="eastAsia"/>
          <w:highlight w:val="none"/>
          <w:lang w:val="en-US" w:eastAsia="zh-CN"/>
        </w:rPr>
      </w:pPr>
      <w:r>
        <w:rPr>
          <w:rFonts w:hint="eastAsia"/>
          <w:highlight w:val="none"/>
          <w:lang w:val="en-US" w:eastAsia="zh-CN"/>
        </w:rPr>
        <w:t>项目建设内容</w:t>
      </w:r>
    </w:p>
    <w:p>
      <w:pPr>
        <w:bidi w:val="0"/>
        <w:rPr>
          <w:rFonts w:hint="eastAsia"/>
          <w:highlight w:val="none"/>
          <w:lang w:val="en-US" w:eastAsia="zh-CN"/>
        </w:rPr>
      </w:pPr>
      <w:bookmarkStart w:id="2" w:name="OLE_LINK6"/>
      <w:r>
        <w:rPr>
          <w:rFonts w:hint="eastAsia"/>
          <w:highlight w:val="none"/>
        </w:rPr>
        <w:t>本期项目</w:t>
      </w:r>
      <w:r>
        <w:rPr>
          <w:rFonts w:hint="eastAsia"/>
          <w:highlight w:val="lightGray"/>
          <w:lang w:val="en-US" w:eastAsia="zh-CN"/>
        </w:rPr>
        <w:t>113</w:t>
      </w:r>
      <w:r>
        <w:rPr>
          <w:rFonts w:hint="eastAsia"/>
          <w:highlight w:val="none"/>
        </w:rPr>
        <w:t>套电子警察、完善满足执法需求配套、标线标识等设施，</w:t>
      </w:r>
      <w:r>
        <w:rPr>
          <w:rFonts w:hint="eastAsia"/>
          <w:highlight w:val="none"/>
          <w:lang w:val="en-US" w:eastAsia="zh-CN"/>
        </w:rPr>
        <w:t>130</w:t>
      </w:r>
      <w:r>
        <w:rPr>
          <w:rFonts w:hint="eastAsia"/>
          <w:highlight w:val="none"/>
        </w:rPr>
        <w:t>路公共安全视频及配套后端设备；本期新建</w:t>
      </w:r>
      <w:r>
        <w:rPr>
          <w:rFonts w:hint="eastAsia"/>
          <w:highlight w:val="none"/>
          <w:lang w:val="en-US" w:eastAsia="zh-CN"/>
        </w:rPr>
        <w:t>97</w:t>
      </w:r>
      <w:r>
        <w:rPr>
          <w:rFonts w:hint="eastAsia"/>
          <w:highlight w:val="none"/>
        </w:rPr>
        <w:t>个点位租赁数据传输链路；</w:t>
      </w:r>
      <w:r>
        <w:rPr>
          <w:rFonts w:hint="eastAsia"/>
          <w:highlight w:val="none"/>
          <w:lang w:val="en-US" w:eastAsia="zh-CN"/>
        </w:rPr>
        <w:t>对210路老旧视频进行升级改造；新建10套移动布控球；</w:t>
      </w:r>
      <w:r>
        <w:rPr>
          <w:rFonts w:hint="eastAsia"/>
          <w:highlight w:val="none"/>
        </w:rPr>
        <w:t>新建数据存储阵列</w:t>
      </w:r>
      <w:r>
        <w:rPr>
          <w:rFonts w:hint="eastAsia"/>
          <w:highlight w:val="none"/>
          <w:lang w:val="en-US" w:eastAsia="zh-CN"/>
        </w:rPr>
        <w:t>3</w:t>
      </w:r>
      <w:r>
        <w:rPr>
          <w:rFonts w:hint="eastAsia"/>
          <w:highlight w:val="none"/>
        </w:rPr>
        <w:t>套及</w:t>
      </w:r>
      <w:r>
        <w:rPr>
          <w:rFonts w:hint="eastAsia"/>
          <w:highlight w:val="none"/>
          <w:lang w:val="en-US" w:eastAsia="zh-CN"/>
        </w:rPr>
        <w:t>84</w:t>
      </w:r>
      <w:r>
        <w:rPr>
          <w:rFonts w:hint="eastAsia"/>
          <w:highlight w:val="none"/>
        </w:rPr>
        <w:t>块</w:t>
      </w:r>
      <w:r>
        <w:rPr>
          <w:rFonts w:hint="eastAsia"/>
          <w:highlight w:val="none"/>
          <w:lang w:val="en-US" w:eastAsia="zh-CN"/>
        </w:rPr>
        <w:t>10</w:t>
      </w:r>
      <w:r>
        <w:rPr>
          <w:rFonts w:hint="eastAsia"/>
          <w:highlight w:val="none"/>
        </w:rPr>
        <w:t>T硬盘等其配套设备。</w:t>
      </w:r>
    </w:p>
    <w:bookmarkEnd w:id="2"/>
    <w:p>
      <w:pPr>
        <w:pStyle w:val="5"/>
        <w:bidi w:val="0"/>
        <w:rPr>
          <w:rFonts w:hint="eastAsia"/>
          <w:highlight w:val="none"/>
          <w:lang w:val="en-US" w:eastAsia="zh-CN"/>
        </w:rPr>
      </w:pPr>
      <w:bookmarkStart w:id="3" w:name="OLE_LINK32"/>
      <w:bookmarkStart w:id="4" w:name="OLE_LINK31"/>
      <w:bookmarkStart w:id="5" w:name="OLE_LINK11"/>
      <w:bookmarkStart w:id="6" w:name="OLE_LINK10"/>
      <w:r>
        <w:rPr>
          <w:rFonts w:hint="eastAsia"/>
          <w:highlight w:val="none"/>
          <w:lang w:val="en-US" w:eastAsia="zh-CN"/>
        </w:rPr>
        <w:t>新村片区</w:t>
      </w:r>
      <w:bookmarkEnd w:id="3"/>
      <w:bookmarkEnd w:id="4"/>
      <w:r>
        <w:rPr>
          <w:rFonts w:hint="eastAsia"/>
          <w:highlight w:val="none"/>
          <w:lang w:val="en-US" w:eastAsia="zh-CN"/>
        </w:rPr>
        <w:t>前端点位表</w:t>
      </w:r>
      <w:bookmarkEnd w:id="5"/>
      <w:bookmarkEnd w:id="6"/>
    </w:p>
    <w:tbl>
      <w:tblPr>
        <w:tblStyle w:val="16"/>
        <w:tblW w:w="9454" w:type="dxa"/>
        <w:tblInd w:w="0" w:type="dxa"/>
        <w:tblLayout w:type="fixed"/>
        <w:tblCellMar>
          <w:top w:w="0" w:type="dxa"/>
          <w:left w:w="108" w:type="dxa"/>
          <w:bottom w:w="0" w:type="dxa"/>
          <w:right w:w="108" w:type="dxa"/>
        </w:tblCellMar>
      </w:tblPr>
      <w:tblGrid>
        <w:gridCol w:w="1080"/>
        <w:gridCol w:w="8374"/>
      </w:tblGrid>
      <w:tr>
        <w:tblPrEx>
          <w:tblCellMar>
            <w:top w:w="0" w:type="dxa"/>
            <w:left w:w="108" w:type="dxa"/>
            <w:bottom w:w="0" w:type="dxa"/>
            <w:right w:w="108" w:type="dxa"/>
          </w:tblCellMar>
        </w:tblPrEx>
        <w:trPr>
          <w:trHeight w:val="285" w:hRule="atLeast"/>
        </w:trPr>
        <w:tc>
          <w:tcPr>
            <w:tcW w:w="1080" w:type="dxa"/>
            <w:tcBorders>
              <w:top w:val="single" w:color="auto" w:sz="4" w:space="0"/>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b/>
                <w:bCs/>
                <w:color w:val="000000"/>
                <w:sz w:val="22"/>
                <w:szCs w:val="22"/>
              </w:rPr>
            </w:pPr>
            <w:r>
              <w:rPr>
                <w:rFonts w:ascii="宋体" w:hAnsi="宋体" w:eastAsia="宋体" w:cs="宋体"/>
                <w:b/>
                <w:bCs/>
                <w:color w:val="000000"/>
                <w:sz w:val="22"/>
                <w:szCs w:val="22"/>
              </w:rPr>
              <w:t>序号</w:t>
            </w:r>
          </w:p>
        </w:tc>
        <w:tc>
          <w:tcPr>
            <w:tcW w:w="8374" w:type="dxa"/>
            <w:tcBorders>
              <w:top w:val="single" w:color="auto" w:sz="4" w:space="0"/>
              <w:left w:val="nil"/>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b/>
                <w:bCs/>
                <w:color w:val="000000"/>
                <w:sz w:val="22"/>
                <w:szCs w:val="22"/>
              </w:rPr>
            </w:pPr>
            <w:r>
              <w:rPr>
                <w:rFonts w:ascii="宋体" w:hAnsi="宋体" w:eastAsia="宋体" w:cs="宋体"/>
                <w:b/>
                <w:bCs/>
                <w:color w:val="000000"/>
                <w:sz w:val="22"/>
                <w:szCs w:val="22"/>
              </w:rPr>
              <w:t>点位位置</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银龙路</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大洲工业南路</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3</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汾溪北路1</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4</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金华路——金华路环城北路路口</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5</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大汾教育路——明星学校</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6</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莞穗路——都大家居</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7</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莞穗路——康怡医院公交站</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8</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莞穗路——石美宾馆</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9</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莞穗路——莞穗路谷涌新街一路路口</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10</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莞穗路——莞穗路友谊横街路口</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11</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汾溪路——汾溪河畔公园</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12</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伴溪路——伴溪路银江路路口</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13</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万江汾溪路二中路段东侧</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14</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万江石美九州茶文化交流中心东北</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15</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万江107国道君悦酒店旁西侧</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16</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翠怡居1</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17</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翠怡居2</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18</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万江环城西路辅道信鸿澜岸路口南侧</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19</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莞穗路中国邮政</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20</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严屋高基门楼对面人行天桥1</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21</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严屋高基门楼对面人行天桥2</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22</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严屋高基门楼对面人行天桥3</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23</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严屋西园坊门楼对面人行天桥1</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24</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严屋西园坊门楼对面人行天桥2</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25</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严屋西园坊门楼对面人行天桥3</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26</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小享人行天桥、小享跨线桥1</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27</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小享人行天桥、小享跨线桥2</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28</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康怡医院人行天桥1</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29</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康怡医院人行天桥2</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30</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谷涌跨河桥1</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31</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谷涌跨河桥2</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32</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谷涌桥1</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33</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谷涌桥2</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34</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谷涌桥3</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35</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环城北路立交桥1</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36</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环城北路立交桥2</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37</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环城路立交桥1</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38</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环城路立交桥2</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39</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汾新桥1</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40</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汾新桥2</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41</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南州桥1</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42</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南州桥2</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43</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南州桥3</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44</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流涌尾大桥1</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45</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流涌尾大桥2</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46</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流涌尾大桥3</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47</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汾溪桥1</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48</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汾溪桥2</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49</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汾溪桥3</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50</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蓬庙大桥</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51</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银龙桥</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52</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万江大桥</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53</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金泰桥1</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54</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金泰桥2</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55</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江滨大桥</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56</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江村桥1</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57</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江村桥2</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58</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新村大桥1</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59</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新村大桥2</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60</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新昌大桥1</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61</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新昌大桥2</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62</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新昌大桥3</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63</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顺联人行天桥1</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64</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顺联人行天桥2</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65</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顺联人行天桥3</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66</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大汾北特大桥1</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67</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大汾北特大桥2</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68</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万江边界1</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69</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万江边界2</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70</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万江边界3</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71</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万江边界4</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72</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万江边界5</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73</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万江边界6</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74</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万江边界7</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75</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万江石美茶叶街路口</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76</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万江莫屋路口</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77</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万江沿江路油九村路口</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78</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万江万福路育才路口</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79</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万江龙景中心治安岗亭</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80</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万江拨蛟窝建材市场</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81</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万江清真寺二楼楼梯</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82</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万江清真寺左侧出入口</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83</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万江清真寺前厅</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84</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万江清真寺出入口</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85</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万江汾溪路二中路段</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86</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万江滘联路口</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87</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万江小享长江小学</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88</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万江铜锣湾百货对出</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89</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万江三中与第三小学路</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90</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万江大汾乡府路段</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91</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万江汾溪路流涌尾商业街</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92</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万江新村光辉大道</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93</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万江新村裕华纸厂路口</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94</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万江祥富花园对面</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95</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万江107国道万江高埗路口</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96</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万江万高路高埗大桥口(C771)</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97</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万江区政府</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98</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万江东江龙船楼</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99</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万江万福路柠檬树路口</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100</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万江新风路万江乡府路口</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101</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万江蓬庙桥</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102</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万江莫屋过高埗渡口</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103</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万江石美磨涧商业街3号之一对出</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104</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万江滘联工业城路口</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105</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万江第二中学</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106</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万江小享谷涌隧道口</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107</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万江小享社区对出</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108</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万江小享长江小学(C775万)</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109</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万江小享与李屋旧路交接点</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110</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万江小享涌尾石材市场</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111</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万江五环路严屋罗浮尾路段(C778万)</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112</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万江五环路严屋白天鹅纸厂</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113</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万江东鹏学校门前</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114</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万江警犬场</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115</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万江汾溪路上甲桥头</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116</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东实骏安押运正门</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117</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卡口-万江港口大道</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118</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卡口-万江桥(C770万)</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119</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卡口-万江曲海桥</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120</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卡口-万江曲海桥入万江</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121</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万江0769正门对出路口</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122</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万江坝头桥桥头</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123</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万江坝新路官桥滘路口</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124</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万江坝新路简沙洲商业街</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125</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万江坝新路螺涌与港口大道</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126</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万江坝新路新和下塘1</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127</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万江坝新路新和下塘2</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128</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万江滨江公园后门海堤处</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129</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万江大莲塘果菜市场</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130</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万江东江大道坝翔路</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131</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万江东江大道坝翔路(C763新)</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132</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万江港口大道简沙洲红绿灯</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133</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万江港口大道与坝新路交界</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134</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万江共联教育路华生商场</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135</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万江共联金龙路口</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136</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万江共联银龙路口</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137</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万江莞香楼路口</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138</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万江海事局对出路口</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139</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万江环城路段与坝新路桥下</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140</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万江环城路与旧万道路立交桥</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141</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万江简沙洲路口</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142</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万江江滨桥底</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143</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万江金鳌路0769对面</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144</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万江金联路与银龙路红绿灯处</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145</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万江金泰社区对出路面</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146</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万江金泰市场路口</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147</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万江菁菁幼儿园</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148</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万江理想0769正门对面隧道</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149</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万江理想0769正门隧道</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150</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万江莲子村滨江路T字路口</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151</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万江流涌尾南海大桥</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152</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万江南华国际酒店大门对面</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153</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万江牌楼基路口</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154</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万江汽车总站后门</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155</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万江汽车总站后门对面隧道</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156</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万江汽车总站后门隧道内</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157</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万江汽车总站正门</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158</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万江汽车总站正门对面隧道</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159</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万江曲海桥底</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160</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万江曲海社区对出路段</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161</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万江胜利村桃园居(C756新)</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162</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万江水闸桥路口</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163</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万江万道路龙华丰田</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164</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万江五环路新谷涌立交桥</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165</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万江五环路与南城交界</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166</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万江新和高速桥工业园交界</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167</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万江银龙路红绿灯路口</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168</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万江银龙路红绿灯路口(C784共)</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169</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万江大桥（出万江）</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170</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环城西路康怡医院路段（入万江）</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171</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蕉利东区五路广源便利店段（入万江）</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172</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蕉利东区五路广源便利店段（出万江）</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173</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元州街东莞市正纳轴承有限公司段（入万江）</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174</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元州街东莞市正纳轴承有限公司段（出万江）</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175</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小享路望牛墩分局新电城治安工作站段（入万江）</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176</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小享路望牛墩分局新电城治安工作站段（出万江）</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177</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蕉利大冲尾三街佳利福百货段（入万江）</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178</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蕉利大冲尾三街佳利福百货段（出万江）</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179</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沿江西路铭顺家具有限公司段（入万江）</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180</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沿江西路铭顺家具有限公司段（出万江）</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181</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新昌大桥东莞市橙美机械有限公司段（入万江）</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182</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新昌大桥东莞市橙美机械有限公司段（出万江）</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183</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东莞市中心定点屠宰场股份有限公司</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184</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汾溪路东莞市圣茵生物有机肥有限公司段（入万江）</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185</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汾溪路东莞市圣茵生物有机肥有限公司段（出万江）</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186</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东莞万江精盛膳食公司前</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187</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东莞万江大汾横九路1号</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188</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东莞万江万龙路与万高路</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189</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东莞万江新小博士幼儿园前</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190</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东莞万江小享路跨线桥下</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191</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东莞万江沿河一路</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192</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东莞万江环城西路与塘城东</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193</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万江新丰路梨川大桥路口</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194</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万江新村大新东路道</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195</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万江小享路葵树一街路口</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196</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万江市医院后门路</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197</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万江桥车道</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198</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港口大道车道1车道2</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199</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港口大道车道3</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200</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国通物流车道1车道2</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201</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国通物流车道3</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202</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万江桥车道1车道2</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203</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万江桥车道3</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204</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曲海桥车道1车道2出万江</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205</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曲海桥车道3出万江</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206</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曲海桥车道1车道2入万江</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207</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曲海桥车道3入万江</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208</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龙华丰田车道1车道2</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209</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龙华丰田对出主干道3</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210</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龙华丰田对出主干道4</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211</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龙华丰田对出辅道车道1车道2</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212</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万江东莞市人民医院正门</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213</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东莞万江成协物流对面</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214</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东莞万江金曲路与曲海桥</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215</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东莞万江莞丰美食前</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216</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东莞万江龙湾中路二巷16</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217</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东莞万江名轩茶对面</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218</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东莞万江新万道立交桥下</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219</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东莞万江新万道立交桥旁</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220</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东莞万江翰林学校旁河边</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221</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万江泰新路聚龙湾渔村路</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222</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万江港口大道欧景城路段</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223</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万江坝翔路下坝警务区路段</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224</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万江鸿福西路东江之星路段</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225</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银龙路1</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226</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银龙路2</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227</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银龙路3</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228</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滨江公馆桥底停车场</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229</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滨江公馆桥底停车场</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230</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东堤路</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231</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汾溪北路——滨江公馆旁空地</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232</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万龙路5</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233</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新城三路1</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234</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沿海一路1</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235</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沿海一路2</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236</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沿海一路3</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237</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沿河一路1</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238</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沿河一路2</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239</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汾溪路2</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240</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汾溪路3</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241</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汾溪路4</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242</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汾溪路6</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243</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悦江路1</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244</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悦江路6</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245</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水果街1</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246</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水果街3</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247</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万江新村教育路5</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248</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万江新村教育路4</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249</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万江新村教育路2</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250</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万江新村教育路1</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251</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黄龙街1</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252</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新丰路1</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253</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新丰路2</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254</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新丰路3</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255</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育才路1</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256</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万福路2</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257</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万福路3</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258</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万福路4</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259</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环城北路辅道与谷涌金华路路口（华发钢材市场辅道入口）2</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260</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友谊街</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261</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万江桥5</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262</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万江桥6</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263</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新丰路1</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264</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新丰路2</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265</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银江路</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266</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新丰路</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267</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银龙路1</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268</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汾溪路1</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269</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汾溪路2</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270</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水果街</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271</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新丰路</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272</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汾溪路——品润纸业有限公司</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273</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汾溪沿河路——感恩科技</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274</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汾溪沿河路——恒杰</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275</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汾溪沿河路——青云桥</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276</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银江路——珑远万江翠珑湾3</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277</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大新路——卢屋新村市场</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278</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大新路——美光五金店</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279</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大新路——万江第三中学西南</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280</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汾溪沿河二路——东莞市美邦塑胶科技有限公司</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281</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汾溪沿河二路——南舟美食</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282</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旧宁基1</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283</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旧宁基2</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284</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流涌尾第二工业路——巧捷五金制品厂</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285</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民营路——振亮2期工程项目部1</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286</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新城三路——信鸿·澜岸1</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287</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新村西二路——金庄液压技术有限公司</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288</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新村西二路——新宁基</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289</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新村西三路——ARO</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290</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新村西三路——东莞市上隆自动化科技有限公司</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291</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新村西四路——华智·万江新智汇科技园2</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292</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新村西四路——联纲光电科技股份有限公司</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293</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沿河路——大汾幼儿园</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294</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沿江西路——华智·万江新智汇科技园1</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295</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沿江西路——文武宫</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296</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莞穗路——先锋海鲜市场</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297</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汾溪路——广东五星太阳能</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298</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汾溪路——金田纸业</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299</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汾溪路——上甲综合市场</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300</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汾溪路——上甲综合市场</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301</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汾溪路——消防救援支队万江大队</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302</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汾溪路——信鸿·澜岸3</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303</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民营路——振亮2期工程项目部2</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304</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环城路莞穗路立交桥桥底1</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305</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一小</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306</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泮溪路1</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307</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泮溪路3</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308</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悦江路2</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309</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万福路违停</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310</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沿河路——万江第三中学西</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311</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大新路——粤威批发部</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312</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大新路——云峰五金</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313</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水果街2</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314</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教育路1</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315</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万龙路6</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316</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黄龙街2</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317</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育才路2</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318</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万福路1</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319</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新城三路——信鸿·澜岸2</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320</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环城北路辅道与谷涌金华路路口（华发钢材市场辅道入口）1</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321</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银龙路——金地艺境水岸</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322</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汾溪路——东莞市广腾泵业有限公司西</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vAlign w:val="center"/>
          </w:tcPr>
          <w:p>
            <w:pPr>
              <w:widowControl/>
              <w:autoSpaceDE/>
              <w:autoSpaceDN/>
              <w:spacing w:line="240" w:lineRule="auto"/>
              <w:ind w:firstLine="0" w:firstLineChars="0"/>
              <w:jc w:val="center"/>
              <w:rPr>
                <w:rFonts w:hint="eastAsia" w:ascii="宋体" w:hAnsi="宋体" w:eastAsia="宋体" w:cs="宋体"/>
                <w:color w:val="000000"/>
                <w:sz w:val="22"/>
                <w:szCs w:val="22"/>
              </w:rPr>
            </w:pPr>
            <w:r>
              <w:rPr>
                <w:rFonts w:ascii="宋体" w:hAnsi="宋体" w:eastAsia="宋体" w:cs="宋体"/>
                <w:color w:val="000000"/>
                <w:sz w:val="22"/>
                <w:szCs w:val="22"/>
              </w:rPr>
              <w:t>323</w:t>
            </w:r>
          </w:p>
        </w:tc>
        <w:tc>
          <w:tcPr>
            <w:tcW w:w="8374" w:type="dxa"/>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2"/>
                <w:szCs w:val="22"/>
              </w:rPr>
            </w:pPr>
            <w:r>
              <w:rPr>
                <w:rFonts w:ascii="宋体" w:hAnsi="宋体" w:eastAsia="宋体" w:cs="宋体"/>
                <w:color w:val="000000"/>
                <w:sz w:val="22"/>
                <w:szCs w:val="22"/>
              </w:rPr>
              <w:t>汾溪路——金母祈愿广场</w:t>
            </w:r>
          </w:p>
        </w:tc>
      </w:tr>
    </w:tbl>
    <w:p>
      <w:pPr>
        <w:ind w:left="0" w:leftChars="0" w:firstLine="0" w:firstLineChars="0"/>
        <w:rPr>
          <w:rFonts w:hint="eastAsia"/>
          <w:highlight w:val="none"/>
          <w:lang w:val="en-US" w:eastAsia="zh-CN"/>
        </w:rPr>
      </w:pPr>
      <w:r>
        <w:rPr>
          <w:rFonts w:hint="eastAsia"/>
          <w:highlight w:val="none"/>
          <w:lang w:val="en-US" w:eastAsia="zh-CN"/>
        </w:rPr>
        <w:t>注：本点位表仅作为招标参考使用，具体安装以最终深化设计及现场情况决定，中标人需无条件配合。</w:t>
      </w:r>
    </w:p>
    <w:p>
      <w:pPr>
        <w:pStyle w:val="5"/>
        <w:bidi w:val="0"/>
        <w:rPr>
          <w:rFonts w:hint="eastAsia"/>
          <w:highlight w:val="none"/>
          <w:lang w:val="en-US" w:eastAsia="zh-CN"/>
        </w:rPr>
      </w:pPr>
      <w:r>
        <w:rPr>
          <w:rFonts w:hint="eastAsia"/>
          <w:highlight w:val="none"/>
          <w:lang w:val="en-US" w:eastAsia="zh-CN"/>
        </w:rPr>
        <w:t>新村片区建设清单</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25"/>
        <w:gridCol w:w="1408"/>
        <w:gridCol w:w="3696"/>
        <w:gridCol w:w="1583"/>
        <w:gridCol w:w="1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ind w:firstLine="0" w:firstLineChars="0"/>
              <w:jc w:val="center"/>
              <w:rPr>
                <w:rFonts w:hint="eastAsia"/>
                <w:b/>
                <w:bCs/>
              </w:rPr>
            </w:pPr>
            <w:r>
              <w:rPr>
                <w:rFonts w:hint="eastAsia"/>
                <w:b/>
                <w:bCs/>
              </w:rPr>
              <w:t>序号</w:t>
            </w:r>
          </w:p>
        </w:tc>
        <w:tc>
          <w:tcPr>
            <w:tcW w:w="1408" w:type="dxa"/>
            <w:vAlign w:val="center"/>
          </w:tcPr>
          <w:p>
            <w:pPr>
              <w:ind w:firstLine="0" w:firstLineChars="0"/>
              <w:jc w:val="center"/>
              <w:rPr>
                <w:rFonts w:hint="eastAsia"/>
                <w:b/>
                <w:bCs/>
              </w:rPr>
            </w:pPr>
            <w:r>
              <w:rPr>
                <w:rFonts w:hint="eastAsia"/>
                <w:b/>
                <w:bCs/>
              </w:rPr>
              <w:t>名称</w:t>
            </w:r>
          </w:p>
        </w:tc>
        <w:tc>
          <w:tcPr>
            <w:tcW w:w="3696" w:type="dxa"/>
          </w:tcPr>
          <w:p>
            <w:pPr>
              <w:ind w:firstLine="0" w:firstLineChars="0"/>
              <w:jc w:val="center"/>
              <w:rPr>
                <w:rFonts w:hint="eastAsia"/>
                <w:b/>
                <w:bCs/>
              </w:rPr>
            </w:pPr>
            <w:r>
              <w:rPr>
                <w:rFonts w:hint="eastAsia"/>
                <w:b/>
                <w:bCs/>
              </w:rPr>
              <w:t>配置说明</w:t>
            </w:r>
          </w:p>
        </w:tc>
        <w:tc>
          <w:tcPr>
            <w:tcW w:w="1583" w:type="dxa"/>
            <w:vAlign w:val="center"/>
          </w:tcPr>
          <w:p>
            <w:pPr>
              <w:ind w:firstLine="0" w:firstLineChars="0"/>
              <w:jc w:val="center"/>
              <w:rPr>
                <w:rFonts w:hint="eastAsia"/>
                <w:b/>
                <w:bCs/>
              </w:rPr>
            </w:pPr>
            <w:r>
              <w:rPr>
                <w:rFonts w:hint="eastAsia"/>
                <w:b/>
                <w:bCs/>
              </w:rPr>
              <w:t>数量</w:t>
            </w:r>
          </w:p>
        </w:tc>
        <w:tc>
          <w:tcPr>
            <w:tcW w:w="1410" w:type="dxa"/>
            <w:vAlign w:val="center"/>
          </w:tcPr>
          <w:p>
            <w:pPr>
              <w:ind w:firstLine="0" w:firstLineChars="0"/>
              <w:jc w:val="center"/>
              <w:rPr>
                <w:rFonts w:hint="eastAsia"/>
                <w:b/>
                <w:bCs/>
              </w:rPr>
            </w:pPr>
            <w:r>
              <w:rPr>
                <w:rFonts w:hint="eastAsia"/>
                <w:b/>
                <w:bCs/>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2" w:type="dxa"/>
            <w:gridSpan w:val="5"/>
            <w:vAlign w:val="center"/>
          </w:tcPr>
          <w:p>
            <w:pPr>
              <w:spacing w:line="240" w:lineRule="auto"/>
              <w:ind w:firstLine="0" w:firstLineChars="0"/>
              <w:rPr>
                <w:rFonts w:hint="eastAsia"/>
                <w:b/>
                <w:bCs/>
                <w:sz w:val="21"/>
                <w:szCs w:val="21"/>
              </w:rPr>
            </w:pPr>
            <w:r>
              <w:rPr>
                <w:rFonts w:hint="eastAsia"/>
                <w:b/>
                <w:bCs/>
                <w:sz w:val="21"/>
                <w:szCs w:val="21"/>
              </w:rPr>
              <w:t>一、前端设备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1</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生态反向卡口一体化抓拍单元</w:t>
            </w:r>
          </w:p>
        </w:tc>
        <w:tc>
          <w:tcPr>
            <w:tcW w:w="3696" w:type="dxa"/>
            <w:vAlign w:val="center"/>
          </w:tcPr>
          <w:p>
            <w:pPr>
              <w:spacing w:line="240" w:lineRule="auto"/>
              <w:ind w:firstLine="0" w:firstLineChars="0"/>
              <w:rPr>
                <w:rFonts w:hint="eastAsia"/>
                <w:sz w:val="21"/>
                <w:szCs w:val="21"/>
              </w:rPr>
            </w:pPr>
            <w:r>
              <w:rPr>
                <w:sz w:val="21"/>
                <w:szCs w:val="21"/>
              </w:rPr>
              <w:t>1.传感器分辨率≥4096×2160，传感器靶面≥1.1"英寸；</w:t>
            </w:r>
            <w:r>
              <w:rPr>
                <w:sz w:val="21"/>
                <w:szCs w:val="21"/>
              </w:rPr>
              <w:br w:type="textWrapping"/>
            </w:r>
            <w:r>
              <w:rPr>
                <w:sz w:val="21"/>
                <w:szCs w:val="21"/>
              </w:rPr>
              <w:t>2.内置≥2个CPU、GPU、NPU—体化芯片；</w:t>
            </w:r>
            <w:r>
              <w:rPr>
                <w:sz w:val="21"/>
                <w:szCs w:val="21"/>
              </w:rPr>
              <w:br w:type="textWrapping"/>
            </w:r>
            <w:r>
              <w:rPr>
                <w:sz w:val="21"/>
                <w:szCs w:val="21"/>
              </w:rPr>
              <w:t>3.支持视场角≥80°视野范围内车辆特征识别，包括车牌、车身颜色、车型等；</w:t>
            </w:r>
            <w:r>
              <w:rPr>
                <w:sz w:val="21"/>
                <w:szCs w:val="21"/>
              </w:rPr>
              <w:br w:type="textWrapping"/>
            </w:r>
            <w:r>
              <w:rPr>
                <w:sz w:val="21"/>
                <w:szCs w:val="21"/>
              </w:rPr>
              <w:t>4.支持压线、违法变道、欠速、不按导向行驶、机占非、非占机、倒车、尾号限行、不按规定车道行驶、占用公交车道、逆行、黄网格违停、违法掉头、压停止线等违法行车，平均捕获率≥99%，准确率≥99%；</w:t>
            </w:r>
            <w:r>
              <w:rPr>
                <w:sz w:val="21"/>
                <w:szCs w:val="21"/>
              </w:rPr>
              <w:br w:type="textWrapping"/>
            </w:r>
            <w:r>
              <w:rPr>
                <w:sz w:val="21"/>
                <w:szCs w:val="21"/>
              </w:rPr>
              <w:t>5.支持前排人脸检测和主驾驶员、副驾驶员的性别属性识别功能，能够区分主副驾，驾驶员人脸抠图率≥99%，副驾驶人脸抠图率≥99%；可对抠取的人脸图片叠加位置/图片大小、亮度进行调节设置；</w:t>
            </w:r>
            <w:r>
              <w:rPr>
                <w:sz w:val="21"/>
                <w:szCs w:val="21"/>
              </w:rPr>
              <w:br w:type="textWrapping"/>
            </w:r>
            <w:r>
              <w:rPr>
                <w:sz w:val="21"/>
                <w:szCs w:val="21"/>
              </w:rPr>
              <w:t>6.支持AI车牌增强功能，开启后可防止车牌过曝，支持蓝牌、黄牌、白牌、黑牌、绿牌、黄绿双拼牌；支持AI车窗增强功能，开启后可去除白天车窗反光和彩条纹；</w:t>
            </w:r>
            <w:r>
              <w:rPr>
                <w:sz w:val="21"/>
                <w:szCs w:val="21"/>
              </w:rPr>
              <w:br w:type="textWrapping"/>
            </w:r>
            <w:r>
              <w:rPr>
                <w:sz w:val="21"/>
                <w:szCs w:val="21"/>
              </w:rPr>
              <w:t>7.设备内置镜头模组支架装置，可以移除鬼影；</w:t>
            </w:r>
            <w:r>
              <w:rPr>
                <w:sz w:val="21"/>
                <w:szCs w:val="21"/>
              </w:rPr>
              <w:br w:type="textWrapping"/>
            </w:r>
            <w:r>
              <w:rPr>
                <w:sz w:val="21"/>
                <w:szCs w:val="21"/>
              </w:rPr>
              <w:t>8.设备护罩支持侧面翻盖开合，且釆用双卡扣快装设计，便于维护</w:t>
            </w:r>
            <w:r>
              <w:rPr>
                <w:sz w:val="21"/>
                <w:szCs w:val="21"/>
              </w:rPr>
              <w:br w:type="textWrapping"/>
            </w:r>
            <w:r>
              <w:rPr>
                <w:sz w:val="21"/>
                <w:szCs w:val="21"/>
              </w:rPr>
              <w:t>9.遮阳罩前段凸起可防止低温雨雪天气导致视窗正前方挂冰</w:t>
            </w:r>
            <w:r>
              <w:rPr>
                <w:sz w:val="21"/>
                <w:szCs w:val="21"/>
              </w:rPr>
              <w:br w:type="textWrapping"/>
            </w:r>
            <w:r>
              <w:rPr>
                <w:sz w:val="21"/>
                <w:szCs w:val="21"/>
              </w:rPr>
              <w:t>10.设备遮阳罩具备前后伸缩功能，前后伸缩范围不小于10cm</w:t>
            </w:r>
            <w:r>
              <w:rPr>
                <w:sz w:val="21"/>
                <w:szCs w:val="21"/>
              </w:rPr>
              <w:br w:type="textWrapping"/>
            </w:r>
            <w:r>
              <w:rPr>
                <w:sz w:val="21"/>
                <w:szCs w:val="21"/>
              </w:rPr>
              <w:t>11.设备支持补光灯简易接口设计，可通过2个RJ45接口控制外置补光灯，支持调节补光灯亮度</w:t>
            </w:r>
            <w:r>
              <w:rPr>
                <w:sz w:val="21"/>
                <w:szCs w:val="21"/>
              </w:rPr>
              <w:br w:type="textWrapping"/>
            </w:r>
            <w:r>
              <w:rPr>
                <w:sz w:val="21"/>
                <w:szCs w:val="21"/>
              </w:rPr>
              <w:t>12.具有不少于以下接口：2个10M/100M/1000M的RJ45自适应网络接口</w:t>
            </w:r>
            <w:r>
              <w:rPr>
                <w:sz w:val="21"/>
                <w:szCs w:val="21"/>
              </w:rPr>
              <w:br w:type="textWrapping"/>
            </w:r>
            <w:r>
              <w:rPr>
                <w:sz w:val="21"/>
                <w:szCs w:val="21"/>
              </w:rPr>
              <w:t>13.防护等级不低于：IP67、IK10；</w:t>
            </w:r>
            <w:r>
              <w:rPr>
                <w:sz w:val="21"/>
                <w:szCs w:val="21"/>
              </w:rPr>
              <w:br w:type="textWrapping"/>
            </w:r>
            <w:r>
              <w:rPr>
                <w:sz w:val="21"/>
                <w:szCs w:val="21"/>
              </w:rPr>
              <w:t>14.设备搭载国产化操作系统。</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89</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2</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高清镜头</w:t>
            </w:r>
          </w:p>
        </w:tc>
        <w:tc>
          <w:tcPr>
            <w:tcW w:w="3696" w:type="dxa"/>
            <w:vAlign w:val="center"/>
          </w:tcPr>
          <w:p>
            <w:pPr>
              <w:spacing w:line="240" w:lineRule="auto"/>
              <w:ind w:firstLine="0" w:firstLineChars="0"/>
              <w:rPr>
                <w:rFonts w:hint="eastAsia"/>
                <w:sz w:val="21"/>
                <w:szCs w:val="21"/>
              </w:rPr>
            </w:pPr>
            <w:r>
              <w:rPr>
                <w:rFonts w:hint="eastAsia"/>
                <w:sz w:val="21"/>
                <w:szCs w:val="21"/>
              </w:rPr>
              <w:t>镜头规格：≥12mm/1"|F1.2|</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89</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3</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△移动违法取证抓拍球机（核心产品）</w:t>
            </w:r>
          </w:p>
        </w:tc>
        <w:tc>
          <w:tcPr>
            <w:tcW w:w="3696" w:type="dxa"/>
            <w:vAlign w:val="center"/>
          </w:tcPr>
          <w:p>
            <w:pPr>
              <w:numPr>
                <w:ilvl w:val="0"/>
                <w:numId w:val="2"/>
              </w:numPr>
              <w:spacing w:line="240" w:lineRule="auto"/>
              <w:ind w:firstLine="0" w:firstLineChars="0"/>
              <w:rPr>
                <w:rFonts w:hint="eastAsia"/>
                <w:sz w:val="21"/>
                <w:szCs w:val="21"/>
              </w:rPr>
            </w:pPr>
            <w:r>
              <w:rPr>
                <w:rFonts w:hint="eastAsia"/>
                <w:sz w:val="21"/>
                <w:szCs w:val="21"/>
              </w:rPr>
              <w:t>传感器分辨率≥2560×1440，传感器靶面≥1/1.8"，不低于32倍光学变倍，焦距范围不低于6mm~192mm；</w:t>
            </w:r>
            <w:r>
              <w:rPr>
                <w:rFonts w:hint="eastAsia"/>
                <w:sz w:val="21"/>
                <w:szCs w:val="21"/>
              </w:rPr>
              <w:br w:type="textWrapping"/>
            </w:r>
            <w:r>
              <w:rPr>
                <w:rFonts w:hint="eastAsia"/>
                <w:sz w:val="21"/>
                <w:szCs w:val="21"/>
              </w:rPr>
              <w:t>2.内置≥1个CPU、GPU、NPU—体化芯片；</w:t>
            </w:r>
            <w:r>
              <w:rPr>
                <w:rFonts w:hint="eastAsia"/>
                <w:sz w:val="21"/>
                <w:szCs w:val="21"/>
              </w:rPr>
              <w:br w:type="textWrapping"/>
            </w:r>
            <w:r>
              <w:rPr>
                <w:rFonts w:hint="eastAsia"/>
                <w:sz w:val="21"/>
                <w:szCs w:val="21"/>
              </w:rPr>
              <w:t>3.内置红外和白光补光灯，红外补光距离≥200m</w:t>
            </w:r>
            <w:r>
              <w:rPr>
                <w:rFonts w:hint="eastAsia"/>
                <w:sz w:val="21"/>
                <w:szCs w:val="21"/>
              </w:rPr>
              <w:br w:type="textWrapping"/>
            </w:r>
            <w:r>
              <w:rPr>
                <w:rFonts w:hint="eastAsia"/>
                <w:sz w:val="21"/>
                <w:szCs w:val="21"/>
              </w:rPr>
              <w:t>4.支持4种多算法切换运行：人脸抓拍模式、车辆抓拍模式、行为分析模式、混合并行抓拍模式;</w:t>
            </w:r>
            <w:r>
              <w:rPr>
                <w:rFonts w:hint="eastAsia"/>
                <w:sz w:val="21"/>
                <w:szCs w:val="21"/>
              </w:rPr>
              <w:br w:type="textWrapping"/>
            </w:r>
            <w:r>
              <w:rPr>
                <w:rFonts w:hint="eastAsia"/>
                <w:sz w:val="21"/>
                <w:szCs w:val="21"/>
              </w:rPr>
              <w:t>5.支持违法停车行为检测功能，停车时间可自定义，捕获率≥99%，准确率≥99%；</w:t>
            </w:r>
            <w:r>
              <w:rPr>
                <w:rFonts w:hint="eastAsia"/>
                <w:sz w:val="21"/>
                <w:szCs w:val="21"/>
              </w:rPr>
              <w:br w:type="textWrapping"/>
            </w:r>
            <w:r>
              <w:rPr>
                <w:rFonts w:hint="eastAsia"/>
                <w:sz w:val="21"/>
                <w:szCs w:val="21"/>
              </w:rPr>
              <w:t>6.具有license管理功能，可根据license启用不同的智能算法；</w:t>
            </w:r>
            <w:r>
              <w:rPr>
                <w:rFonts w:hint="eastAsia"/>
                <w:sz w:val="21"/>
                <w:szCs w:val="21"/>
              </w:rPr>
              <w:br w:type="textWrapping"/>
            </w:r>
            <w:r>
              <w:rPr>
                <w:rFonts w:hint="eastAsia"/>
                <w:sz w:val="21"/>
                <w:szCs w:val="21"/>
              </w:rPr>
              <w:t>7.设备内置陀螺仪，支持陀螺仪防抖算法，降低图像抖动；</w:t>
            </w:r>
            <w:r>
              <w:rPr>
                <w:rFonts w:hint="eastAsia"/>
                <w:sz w:val="21"/>
                <w:szCs w:val="21"/>
              </w:rPr>
              <w:br w:type="textWrapping"/>
            </w:r>
            <w:r>
              <w:rPr>
                <w:rFonts w:hint="eastAsia"/>
                <w:sz w:val="21"/>
                <w:szCs w:val="21"/>
              </w:rPr>
              <w:t>8.支持生态算法（业界标准rpm包格式+签名组成的tar包）的安装、启用、停用、卸载管理，并支持算法包安装时的完整性校验；</w:t>
            </w:r>
            <w:r>
              <w:rPr>
                <w:rFonts w:hint="eastAsia"/>
                <w:sz w:val="21"/>
                <w:szCs w:val="21"/>
              </w:rPr>
              <w:br w:type="textWrapping"/>
            </w:r>
            <w:r>
              <w:rPr>
                <w:rFonts w:hint="eastAsia"/>
                <w:sz w:val="21"/>
                <w:szCs w:val="21"/>
              </w:rPr>
              <w:t>9.防护等级不低于：IP66、IK10；</w:t>
            </w:r>
            <w:r>
              <w:rPr>
                <w:rFonts w:hint="eastAsia"/>
                <w:sz w:val="21"/>
                <w:szCs w:val="21"/>
              </w:rPr>
              <w:br w:type="textWrapping"/>
            </w:r>
            <w:r>
              <w:rPr>
                <w:rFonts w:hint="eastAsia"/>
                <w:sz w:val="21"/>
                <w:szCs w:val="21"/>
              </w:rPr>
              <w:t>10.电源功耗：最大功耗＜18W。</w:t>
            </w:r>
          </w:p>
          <w:p>
            <w:pPr>
              <w:pStyle w:val="2"/>
              <w:spacing w:line="240" w:lineRule="auto"/>
              <w:ind w:left="0" w:leftChars="0" w:firstLine="0" w:firstLineChars="0"/>
              <w:rPr>
                <w:rFonts w:hint="eastAsia"/>
                <w:sz w:val="21"/>
                <w:szCs w:val="21"/>
              </w:rPr>
            </w:pPr>
            <w:r>
              <w:rPr>
                <w:rFonts w:hint="eastAsia" w:cs="宋体"/>
                <w:sz w:val="21"/>
                <w:szCs w:val="21"/>
              </w:rPr>
              <w:t>11.支持不少于500个预置位，支持不少于16条巡航路径，支持不少于7条以上的模式路径设置。调用预置位时，样机在达到目标预置位前，监视画面可停留在原始位置。</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89</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4</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全方位视觉感知球机</w:t>
            </w:r>
          </w:p>
        </w:tc>
        <w:tc>
          <w:tcPr>
            <w:tcW w:w="3696" w:type="dxa"/>
            <w:vAlign w:val="center"/>
          </w:tcPr>
          <w:p>
            <w:pPr>
              <w:spacing w:line="240" w:lineRule="auto"/>
              <w:ind w:firstLine="0" w:firstLineChars="0"/>
              <w:rPr>
                <w:rFonts w:hint="eastAsia"/>
                <w:sz w:val="21"/>
                <w:szCs w:val="21"/>
              </w:rPr>
            </w:pPr>
            <w:r>
              <w:rPr>
                <w:sz w:val="21"/>
                <w:szCs w:val="21"/>
              </w:rPr>
              <w:t>1.内置两个传感器，分辨率均≥2560×1440，两个传感器靶面均≥1/1.8"，不小于5mmF1.0全景镜头，不小于208mm焦距、F1.8~F3.8细节镜头，不低于40倍光学变焦，16倍数字变焦镜头；</w:t>
            </w:r>
            <w:r>
              <w:rPr>
                <w:sz w:val="21"/>
                <w:szCs w:val="21"/>
              </w:rPr>
              <w:br w:type="textWrapping"/>
            </w:r>
            <w:r>
              <w:rPr>
                <w:sz w:val="21"/>
                <w:szCs w:val="21"/>
              </w:rPr>
              <w:t>2.内置双核GPU芯片；</w:t>
            </w:r>
            <w:r>
              <w:rPr>
                <w:sz w:val="21"/>
                <w:szCs w:val="21"/>
              </w:rPr>
              <w:br w:type="textWrapping"/>
            </w:r>
            <w:r>
              <w:rPr>
                <w:sz w:val="21"/>
                <w:szCs w:val="21"/>
              </w:rPr>
              <w:t>3.支持区域入侵、越界入侵、徘徊、物品移除、物品遗留、人员聚集、停车、快速移动，并联动报警。对人或车辆进入警戒区域后，设备可发出白光警示、声音警示，并启动智能跟踪功能；</w:t>
            </w:r>
            <w:r>
              <w:rPr>
                <w:sz w:val="21"/>
                <w:szCs w:val="21"/>
              </w:rPr>
              <w:br w:type="textWrapping"/>
            </w:r>
            <w:r>
              <w:rPr>
                <w:sz w:val="21"/>
                <w:szCs w:val="21"/>
              </w:rPr>
              <w:t>4.采用开放架构，支持快速集成智能算法或应用APP，智能算法或APP可以独立升级；支持智能算法模块动态加载，加载过程中，视频业务不中断；</w:t>
            </w:r>
            <w:r>
              <w:rPr>
                <w:sz w:val="21"/>
                <w:szCs w:val="21"/>
              </w:rPr>
              <w:br w:type="textWrapping"/>
            </w:r>
            <w:r>
              <w:rPr>
                <w:sz w:val="21"/>
                <w:szCs w:val="21"/>
              </w:rPr>
              <w:t>5.内置非接触式自清洁装置，干燥天气无水源也可正常工作，可有效除尘，除水，实现视窗自清洁，免维护，保证图像保持清晰。支持定时启停和手动控制；</w:t>
            </w:r>
            <w:r>
              <w:rPr>
                <w:sz w:val="21"/>
                <w:szCs w:val="21"/>
              </w:rPr>
              <w:br w:type="textWrapping"/>
            </w:r>
            <w:r>
              <w:rPr>
                <w:sz w:val="21"/>
                <w:szCs w:val="21"/>
              </w:rPr>
              <w:t>6.具有1个RJ4510M/100M自适应网络接口、4路报警输入、2路报警输出、1路音频输入、1路音频输出、1个MicroSD卡槽、1个复位键；</w:t>
            </w:r>
            <w:r>
              <w:rPr>
                <w:sz w:val="21"/>
                <w:szCs w:val="21"/>
              </w:rPr>
              <w:br w:type="textWrapping"/>
            </w:r>
            <w:r>
              <w:rPr>
                <w:sz w:val="21"/>
                <w:szCs w:val="21"/>
              </w:rPr>
              <w:t>7.供电方式：AC24V；</w:t>
            </w:r>
            <w:r>
              <w:rPr>
                <w:sz w:val="21"/>
                <w:szCs w:val="21"/>
              </w:rPr>
              <w:br w:type="textWrapping"/>
            </w:r>
            <w:r>
              <w:rPr>
                <w:sz w:val="21"/>
                <w:szCs w:val="21"/>
              </w:rPr>
              <w:t>8.防护等级不低于：IP67，IK10；</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140</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5</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移动布控球</w:t>
            </w:r>
          </w:p>
        </w:tc>
        <w:tc>
          <w:tcPr>
            <w:tcW w:w="3696" w:type="dxa"/>
            <w:vAlign w:val="center"/>
          </w:tcPr>
          <w:p>
            <w:pPr>
              <w:spacing w:line="240" w:lineRule="auto"/>
              <w:ind w:firstLine="0" w:firstLineChars="0"/>
              <w:rPr>
                <w:rFonts w:hint="eastAsia"/>
                <w:sz w:val="21"/>
                <w:szCs w:val="21"/>
              </w:rPr>
            </w:pPr>
            <w:r>
              <w:rPr>
                <w:rFonts w:hint="eastAsia"/>
                <w:sz w:val="21"/>
                <w:szCs w:val="21"/>
              </w:rPr>
              <w:t>支持双摄：40倍光学变倍机芯，最大分辨率2560*1440，图像清晰、细腻，低照度，彩色0.0001Lux；全景镜头8M，分辨率2160×3840；</w:t>
            </w:r>
            <w:r>
              <w:rPr>
                <w:rFonts w:hint="eastAsia"/>
                <w:sz w:val="21"/>
                <w:szCs w:val="21"/>
              </w:rPr>
              <w:br w:type="textWrapping"/>
            </w:r>
            <w:r>
              <w:rPr>
                <w:rFonts w:hint="eastAsia"/>
                <w:sz w:val="21"/>
                <w:szCs w:val="21"/>
              </w:rPr>
              <w:t>支持自动彩转黑功能，实现昼夜监控</w:t>
            </w:r>
            <w:r>
              <w:rPr>
                <w:rFonts w:hint="eastAsia"/>
                <w:sz w:val="21"/>
                <w:szCs w:val="21"/>
              </w:rPr>
              <w:br w:type="textWrapping"/>
            </w:r>
            <w:r>
              <w:rPr>
                <w:rFonts w:hint="eastAsia"/>
                <w:sz w:val="21"/>
                <w:szCs w:val="21"/>
              </w:rPr>
              <w:t>支持人脸比对，可存储30W张人脸名单（需配TF卡）</w:t>
            </w:r>
            <w:r>
              <w:rPr>
                <w:rFonts w:hint="eastAsia"/>
                <w:sz w:val="21"/>
                <w:szCs w:val="21"/>
              </w:rPr>
              <w:br w:type="textWrapping"/>
            </w:r>
            <w:r>
              <w:rPr>
                <w:rFonts w:hint="eastAsia"/>
                <w:sz w:val="21"/>
                <w:szCs w:val="21"/>
              </w:rPr>
              <w:t>支持车辆检测及抓拍</w:t>
            </w:r>
            <w:r>
              <w:rPr>
                <w:rFonts w:hint="eastAsia"/>
                <w:sz w:val="21"/>
                <w:szCs w:val="21"/>
              </w:rPr>
              <w:br w:type="textWrapping"/>
            </w:r>
            <w:r>
              <w:rPr>
                <w:rFonts w:hint="eastAsia"/>
                <w:sz w:val="21"/>
                <w:szCs w:val="21"/>
              </w:rPr>
              <w:t>支持抽烟、佩戴安全帽、玩手机、未穿工作服检测</w:t>
            </w:r>
            <w:r>
              <w:rPr>
                <w:rFonts w:hint="eastAsia"/>
                <w:sz w:val="21"/>
                <w:szCs w:val="21"/>
              </w:rPr>
              <w:br w:type="textWrapping"/>
            </w:r>
            <w:r>
              <w:rPr>
                <w:rFonts w:hint="eastAsia"/>
                <w:sz w:val="21"/>
                <w:szCs w:val="21"/>
              </w:rPr>
              <w:t>支持3D-DNR</w:t>
            </w:r>
            <w:r>
              <w:rPr>
                <w:rFonts w:hint="eastAsia"/>
                <w:sz w:val="21"/>
                <w:szCs w:val="21"/>
              </w:rPr>
              <w:br w:type="textWrapping"/>
            </w:r>
            <w:r>
              <w:rPr>
                <w:rFonts w:hint="eastAsia"/>
                <w:sz w:val="21"/>
                <w:szCs w:val="21"/>
              </w:rPr>
              <w:t>支持双TF卡存储</w:t>
            </w:r>
            <w:r>
              <w:rPr>
                <w:rFonts w:hint="eastAsia"/>
                <w:sz w:val="21"/>
                <w:szCs w:val="21"/>
              </w:rPr>
              <w:br w:type="textWrapping"/>
            </w:r>
            <w:r>
              <w:rPr>
                <w:rFonts w:hint="eastAsia"/>
                <w:sz w:val="21"/>
                <w:szCs w:val="21"/>
              </w:rPr>
              <w:t>支持5G模块（天线内置），可额外扩展1个4G模块</w:t>
            </w:r>
            <w:r>
              <w:rPr>
                <w:rFonts w:hint="eastAsia"/>
                <w:sz w:val="21"/>
                <w:szCs w:val="21"/>
              </w:rPr>
              <w:br w:type="textWrapping"/>
            </w:r>
            <w:r>
              <w:rPr>
                <w:rFonts w:hint="eastAsia"/>
                <w:sz w:val="21"/>
                <w:szCs w:val="21"/>
              </w:rPr>
              <w:t>配置可拆卸电池，单电池可支持8-9小时连续工作</w:t>
            </w:r>
            <w:r>
              <w:rPr>
                <w:rFonts w:hint="eastAsia"/>
                <w:sz w:val="21"/>
                <w:szCs w:val="21"/>
              </w:rPr>
              <w:br w:type="textWrapping"/>
            </w:r>
            <w:r>
              <w:rPr>
                <w:rFonts w:hint="eastAsia"/>
                <w:sz w:val="21"/>
                <w:szCs w:val="21"/>
              </w:rPr>
              <w:t>支持双MIC、双扬声器，可选配支持LINEIN\LINEOUT</w:t>
            </w:r>
            <w:r>
              <w:rPr>
                <w:rFonts w:hint="eastAsia"/>
                <w:sz w:val="21"/>
                <w:szCs w:val="21"/>
              </w:rPr>
              <w:br w:type="textWrapping"/>
            </w:r>
            <w:r>
              <w:rPr>
                <w:rFonts w:hint="eastAsia"/>
                <w:sz w:val="21"/>
                <w:szCs w:val="21"/>
              </w:rPr>
              <w:t>支持自定义语音导入，可关联智能分析报警</w:t>
            </w:r>
            <w:r>
              <w:rPr>
                <w:rFonts w:hint="eastAsia"/>
                <w:sz w:val="21"/>
                <w:szCs w:val="21"/>
              </w:rPr>
              <w:br w:type="textWrapping"/>
            </w:r>
            <w:r>
              <w:rPr>
                <w:rFonts w:hint="eastAsia"/>
                <w:sz w:val="21"/>
                <w:szCs w:val="21"/>
              </w:rPr>
              <w:t>自带不小于2.4寸LCD显示屏，可支持视频预览，云台控制等，可显示当前电池电量、定位状态、3G/4G/5G状态、录像状态、存储容量、蓝牙状态、平台连接状态、Wi-Fi状态、智能算法模式等</w:t>
            </w:r>
            <w:r>
              <w:rPr>
                <w:rFonts w:hint="eastAsia"/>
                <w:sz w:val="21"/>
                <w:szCs w:val="21"/>
              </w:rPr>
              <w:br w:type="textWrapping"/>
            </w:r>
            <w:r>
              <w:rPr>
                <w:rFonts w:hint="eastAsia"/>
                <w:sz w:val="21"/>
                <w:szCs w:val="21"/>
              </w:rPr>
              <w:t>底部配置高吸力磁铁，安装便捷</w:t>
            </w:r>
            <w:r>
              <w:rPr>
                <w:rFonts w:hint="eastAsia"/>
                <w:sz w:val="21"/>
                <w:szCs w:val="21"/>
              </w:rPr>
              <w:br w:type="textWrapping"/>
            </w:r>
            <w:r>
              <w:rPr>
                <w:rFonts w:hint="eastAsia"/>
                <w:sz w:val="21"/>
                <w:szCs w:val="21"/>
              </w:rPr>
              <w:t>传感器类型：变焦机芯：1/1.8"ProgressiveScanCMOS</w:t>
            </w:r>
            <w:r>
              <w:rPr>
                <w:rFonts w:hint="eastAsia"/>
                <w:sz w:val="21"/>
                <w:szCs w:val="21"/>
              </w:rPr>
              <w:br w:type="textWrapping"/>
            </w:r>
            <w:r>
              <w:rPr>
                <w:rFonts w:hint="eastAsia"/>
                <w:sz w:val="21"/>
                <w:szCs w:val="21"/>
              </w:rPr>
              <w:t>全景相机8M：1/1.8"ProgressiveScanCMOS</w:t>
            </w:r>
            <w:r>
              <w:rPr>
                <w:rFonts w:hint="eastAsia"/>
                <w:sz w:val="21"/>
                <w:szCs w:val="21"/>
              </w:rPr>
              <w:br w:type="textWrapping"/>
            </w:r>
            <w:r>
              <w:rPr>
                <w:rFonts w:hint="eastAsia"/>
                <w:sz w:val="21"/>
                <w:szCs w:val="21"/>
              </w:rPr>
              <w:t>彩色最低照度：变焦机芯：0.0001Lux@(F1.6，AGCON)</w:t>
            </w:r>
            <w:r>
              <w:rPr>
                <w:rFonts w:hint="eastAsia"/>
                <w:sz w:val="21"/>
                <w:szCs w:val="21"/>
              </w:rPr>
              <w:br w:type="textWrapping"/>
            </w:r>
            <w:r>
              <w:rPr>
                <w:rFonts w:hint="eastAsia"/>
                <w:sz w:val="21"/>
                <w:szCs w:val="21"/>
              </w:rPr>
              <w:t>黑白最低照度：变焦机芯：0.00005Lux@(F1.6，AGCON)</w:t>
            </w:r>
            <w:r>
              <w:rPr>
                <w:rFonts w:hint="eastAsia"/>
                <w:sz w:val="21"/>
                <w:szCs w:val="21"/>
              </w:rPr>
              <w:br w:type="textWrapping"/>
            </w:r>
            <w:r>
              <w:rPr>
                <w:rFonts w:hint="eastAsia"/>
                <w:sz w:val="21"/>
                <w:szCs w:val="21"/>
              </w:rPr>
              <w:t>屏幕尺寸：不小于2.4英寸</w:t>
            </w:r>
            <w:r>
              <w:rPr>
                <w:rFonts w:hint="eastAsia"/>
                <w:sz w:val="21"/>
                <w:szCs w:val="21"/>
              </w:rPr>
              <w:br w:type="textWrapping"/>
            </w:r>
            <w:r>
              <w:rPr>
                <w:rFonts w:hint="eastAsia"/>
                <w:sz w:val="21"/>
                <w:szCs w:val="21"/>
              </w:rPr>
              <w:t>分辨率：240*320</w:t>
            </w:r>
            <w:r>
              <w:rPr>
                <w:rFonts w:hint="eastAsia"/>
                <w:sz w:val="21"/>
                <w:szCs w:val="21"/>
              </w:rPr>
              <w:br w:type="textWrapping"/>
            </w:r>
            <w:r>
              <w:rPr>
                <w:rFonts w:hint="eastAsia"/>
                <w:sz w:val="21"/>
                <w:szCs w:val="21"/>
              </w:rPr>
              <w:t>材质：TFT</w:t>
            </w:r>
            <w:r>
              <w:rPr>
                <w:rFonts w:hint="eastAsia"/>
                <w:sz w:val="21"/>
                <w:szCs w:val="21"/>
              </w:rPr>
              <w:br w:type="textWrapping"/>
            </w:r>
            <w:r>
              <w:rPr>
                <w:rFonts w:hint="eastAsia"/>
                <w:sz w:val="21"/>
                <w:szCs w:val="21"/>
              </w:rPr>
              <w:t>触摸屏：电容屏</w:t>
            </w:r>
            <w:r>
              <w:rPr>
                <w:rFonts w:hint="eastAsia"/>
                <w:sz w:val="21"/>
                <w:szCs w:val="21"/>
              </w:rPr>
              <w:br w:type="textWrapping"/>
            </w:r>
            <w:r>
              <w:rPr>
                <w:rFonts w:hint="eastAsia"/>
                <w:sz w:val="21"/>
                <w:szCs w:val="21"/>
              </w:rPr>
              <w:t>镜头焦距：5.8-232mm</w:t>
            </w:r>
            <w:r>
              <w:rPr>
                <w:rFonts w:hint="eastAsia"/>
                <w:sz w:val="21"/>
                <w:szCs w:val="21"/>
              </w:rPr>
              <w:br w:type="textWrapping"/>
            </w:r>
            <w:r>
              <w:rPr>
                <w:rFonts w:hint="eastAsia"/>
                <w:sz w:val="21"/>
                <w:szCs w:val="21"/>
              </w:rPr>
              <w:t>镜头光圈：F1.3-F4.6</w:t>
            </w:r>
            <w:r>
              <w:rPr>
                <w:rFonts w:hint="eastAsia"/>
                <w:sz w:val="21"/>
                <w:szCs w:val="21"/>
              </w:rPr>
              <w:br w:type="textWrapping"/>
            </w:r>
            <w:r>
              <w:rPr>
                <w:rFonts w:hint="eastAsia"/>
                <w:sz w:val="21"/>
                <w:szCs w:val="21"/>
              </w:rPr>
              <w:t>光学变倍：40倍</w:t>
            </w:r>
            <w:r>
              <w:rPr>
                <w:rFonts w:hint="eastAsia"/>
                <w:sz w:val="21"/>
                <w:szCs w:val="21"/>
              </w:rPr>
              <w:br w:type="textWrapping"/>
            </w:r>
            <w:r>
              <w:rPr>
                <w:rFonts w:hint="eastAsia"/>
                <w:sz w:val="21"/>
                <w:szCs w:val="21"/>
              </w:rPr>
              <w:t>水平视场角：59-2度(广角-望远)</w:t>
            </w:r>
            <w:r>
              <w:rPr>
                <w:rFonts w:hint="eastAsia"/>
                <w:sz w:val="21"/>
                <w:szCs w:val="21"/>
              </w:rPr>
              <w:br w:type="textWrapping"/>
            </w:r>
            <w:r>
              <w:rPr>
                <w:rFonts w:hint="eastAsia"/>
                <w:sz w:val="21"/>
                <w:szCs w:val="21"/>
              </w:rPr>
              <w:t>子码流压缩码率：2Mbps</w:t>
            </w:r>
            <w:r>
              <w:rPr>
                <w:rFonts w:hint="eastAsia"/>
                <w:sz w:val="21"/>
                <w:szCs w:val="21"/>
              </w:rPr>
              <w:br w:type="textWrapping"/>
            </w:r>
            <w:r>
              <w:rPr>
                <w:rFonts w:hint="eastAsia"/>
                <w:sz w:val="21"/>
                <w:szCs w:val="21"/>
              </w:rPr>
              <w:t>视频压缩标准：H.264;H.265;MJPEG</w:t>
            </w:r>
            <w:r>
              <w:rPr>
                <w:rFonts w:hint="eastAsia"/>
                <w:sz w:val="21"/>
                <w:szCs w:val="21"/>
              </w:rPr>
              <w:br w:type="textWrapping"/>
            </w:r>
            <w:r>
              <w:rPr>
                <w:rFonts w:hint="eastAsia"/>
                <w:sz w:val="21"/>
                <w:szCs w:val="21"/>
              </w:rPr>
              <w:t>码率控制：定码率;变码率</w:t>
            </w:r>
            <w:r>
              <w:rPr>
                <w:rFonts w:hint="eastAsia"/>
                <w:sz w:val="21"/>
                <w:szCs w:val="21"/>
              </w:rPr>
              <w:br w:type="textWrapping"/>
            </w:r>
            <w:r>
              <w:rPr>
                <w:rFonts w:hint="eastAsia"/>
                <w:sz w:val="21"/>
                <w:szCs w:val="21"/>
              </w:rPr>
              <w:t>录像格式：MP4</w:t>
            </w:r>
            <w:r>
              <w:rPr>
                <w:rFonts w:hint="eastAsia"/>
                <w:sz w:val="21"/>
                <w:szCs w:val="21"/>
              </w:rPr>
              <w:br w:type="textWrapping"/>
            </w:r>
            <w:r>
              <w:rPr>
                <w:rFonts w:hint="eastAsia"/>
                <w:sz w:val="21"/>
                <w:szCs w:val="21"/>
              </w:rPr>
              <w:t>录像分辨率：变焦机芯：2560×1440</w:t>
            </w:r>
            <w:r>
              <w:rPr>
                <w:rFonts w:hint="eastAsia"/>
                <w:sz w:val="21"/>
                <w:szCs w:val="21"/>
              </w:rPr>
              <w:br w:type="textWrapping"/>
            </w:r>
            <w:r>
              <w:rPr>
                <w:rFonts w:hint="eastAsia"/>
                <w:sz w:val="21"/>
                <w:szCs w:val="21"/>
              </w:rPr>
              <w:t>全景相机8M：3840×2160</w:t>
            </w:r>
            <w:r>
              <w:rPr>
                <w:rFonts w:hint="eastAsia"/>
                <w:sz w:val="21"/>
                <w:szCs w:val="21"/>
              </w:rPr>
              <w:br w:type="textWrapping"/>
            </w:r>
            <w:r>
              <w:rPr>
                <w:rFonts w:hint="eastAsia"/>
                <w:sz w:val="21"/>
                <w:szCs w:val="21"/>
              </w:rPr>
              <w:t>图片分辨率：1920*1080;2560*1440</w:t>
            </w:r>
            <w:r>
              <w:rPr>
                <w:rFonts w:hint="eastAsia"/>
                <w:sz w:val="21"/>
                <w:szCs w:val="21"/>
              </w:rPr>
              <w:br w:type="textWrapping"/>
            </w:r>
            <w:r>
              <w:rPr>
                <w:rFonts w:hint="eastAsia"/>
                <w:sz w:val="21"/>
                <w:szCs w:val="21"/>
              </w:rPr>
              <w:t>图片格式：JPEG</w:t>
            </w:r>
            <w:r>
              <w:rPr>
                <w:rFonts w:hint="eastAsia"/>
                <w:sz w:val="21"/>
                <w:szCs w:val="21"/>
              </w:rPr>
              <w:br w:type="textWrapping"/>
            </w:r>
            <w:r>
              <w:rPr>
                <w:rFonts w:hint="eastAsia"/>
                <w:sz w:val="21"/>
                <w:szCs w:val="21"/>
              </w:rPr>
              <w:t>音频压缩标准：G.722.1;G.711alaw;G.711ulaw</w:t>
            </w:r>
            <w:r>
              <w:rPr>
                <w:rFonts w:hint="eastAsia"/>
                <w:sz w:val="21"/>
                <w:szCs w:val="21"/>
              </w:rPr>
              <w:br w:type="textWrapping"/>
            </w:r>
            <w:r>
              <w:rPr>
                <w:rFonts w:hint="eastAsia"/>
                <w:sz w:val="21"/>
                <w:szCs w:val="21"/>
              </w:rPr>
              <w:t>人脸比对：支持</w:t>
            </w:r>
            <w:r>
              <w:rPr>
                <w:rFonts w:hint="eastAsia"/>
                <w:sz w:val="21"/>
                <w:szCs w:val="21"/>
              </w:rPr>
              <w:br w:type="textWrapping"/>
            </w:r>
            <w:r>
              <w:rPr>
                <w:rFonts w:hint="eastAsia"/>
                <w:sz w:val="21"/>
                <w:szCs w:val="21"/>
              </w:rPr>
              <w:t>车辆抓拍：支持</w:t>
            </w:r>
            <w:r>
              <w:rPr>
                <w:rFonts w:hint="eastAsia"/>
                <w:sz w:val="21"/>
                <w:szCs w:val="21"/>
              </w:rPr>
              <w:br w:type="textWrapping"/>
            </w:r>
            <w:r>
              <w:rPr>
                <w:rFonts w:hint="eastAsia"/>
                <w:sz w:val="21"/>
                <w:szCs w:val="21"/>
              </w:rPr>
              <w:t>车牌识别：支持</w:t>
            </w:r>
            <w:r>
              <w:rPr>
                <w:rFonts w:hint="eastAsia"/>
                <w:sz w:val="21"/>
                <w:szCs w:val="21"/>
              </w:rPr>
              <w:br w:type="textWrapping"/>
            </w:r>
            <w:r>
              <w:rPr>
                <w:rFonts w:hint="eastAsia"/>
                <w:sz w:val="21"/>
                <w:szCs w:val="21"/>
              </w:rPr>
              <w:t>车辆特征识别：支持车牌、车身颜色、车型、车辆品牌、车辆子品牌识别</w:t>
            </w:r>
            <w:r>
              <w:rPr>
                <w:rFonts w:hint="eastAsia"/>
                <w:sz w:val="21"/>
                <w:szCs w:val="21"/>
              </w:rPr>
              <w:br w:type="textWrapping"/>
            </w:r>
            <w:r>
              <w:rPr>
                <w:rFonts w:hint="eastAsia"/>
                <w:sz w:val="21"/>
                <w:szCs w:val="21"/>
              </w:rPr>
              <w:t>车辆黑名单：支持车辆黑名单</w:t>
            </w:r>
            <w:r>
              <w:rPr>
                <w:rFonts w:hint="eastAsia"/>
                <w:sz w:val="21"/>
                <w:szCs w:val="21"/>
              </w:rPr>
              <w:br w:type="textWrapping"/>
            </w:r>
            <w:r>
              <w:rPr>
                <w:rFonts w:hint="eastAsia"/>
                <w:sz w:val="21"/>
                <w:szCs w:val="21"/>
              </w:rPr>
              <w:t>安全帽佩戴检测：支持未佩戴安全帽检测</w:t>
            </w:r>
            <w:r>
              <w:rPr>
                <w:rFonts w:hint="eastAsia"/>
                <w:sz w:val="21"/>
                <w:szCs w:val="21"/>
              </w:rPr>
              <w:br w:type="textWrapping"/>
            </w:r>
            <w:r>
              <w:rPr>
                <w:rFonts w:hint="eastAsia"/>
                <w:sz w:val="21"/>
                <w:szCs w:val="21"/>
              </w:rPr>
              <w:t>拨号：5G全网通：双卡单待，支持移动、联通、电信、广电</w:t>
            </w:r>
            <w:r>
              <w:rPr>
                <w:rFonts w:hint="eastAsia"/>
                <w:sz w:val="21"/>
                <w:szCs w:val="21"/>
              </w:rPr>
              <w:br w:type="textWrapping"/>
            </w:r>
            <w:r>
              <w:rPr>
                <w:rFonts w:hint="eastAsia"/>
                <w:sz w:val="21"/>
                <w:szCs w:val="21"/>
              </w:rPr>
              <w:t>定位：单北斗</w:t>
            </w:r>
            <w:r>
              <w:rPr>
                <w:rFonts w:hint="eastAsia"/>
                <w:sz w:val="21"/>
                <w:szCs w:val="21"/>
              </w:rPr>
              <w:br w:type="textWrapping"/>
            </w:r>
            <w:r>
              <w:rPr>
                <w:rFonts w:hint="eastAsia"/>
                <w:sz w:val="21"/>
                <w:szCs w:val="21"/>
              </w:rPr>
              <w:t>蓝牙：4.0</w:t>
            </w:r>
            <w:r>
              <w:rPr>
                <w:rFonts w:hint="eastAsia"/>
                <w:sz w:val="21"/>
                <w:szCs w:val="21"/>
              </w:rPr>
              <w:br w:type="textWrapping"/>
            </w:r>
            <w:r>
              <w:rPr>
                <w:rFonts w:hint="eastAsia"/>
                <w:sz w:val="21"/>
                <w:szCs w:val="21"/>
              </w:rPr>
              <w:t>语音对讲：支持</w:t>
            </w:r>
            <w:r>
              <w:rPr>
                <w:rFonts w:hint="eastAsia"/>
                <w:sz w:val="21"/>
                <w:szCs w:val="21"/>
              </w:rPr>
              <w:br w:type="textWrapping"/>
            </w:r>
            <w:r>
              <w:rPr>
                <w:rFonts w:hint="eastAsia"/>
                <w:sz w:val="21"/>
                <w:szCs w:val="21"/>
              </w:rPr>
              <w:t>指示灯：充电指示灯,工作指示灯</w:t>
            </w:r>
            <w:r>
              <w:rPr>
                <w:rFonts w:hint="eastAsia"/>
                <w:sz w:val="21"/>
                <w:szCs w:val="21"/>
              </w:rPr>
              <w:br w:type="textWrapping"/>
            </w:r>
            <w:r>
              <w:rPr>
                <w:rFonts w:hint="eastAsia"/>
                <w:sz w:val="21"/>
                <w:szCs w:val="21"/>
              </w:rPr>
              <w:t>系统功耗：10W~30W</w:t>
            </w:r>
            <w:r>
              <w:rPr>
                <w:rFonts w:hint="eastAsia"/>
                <w:sz w:val="21"/>
                <w:szCs w:val="21"/>
              </w:rPr>
              <w:br w:type="textWrapping"/>
            </w:r>
            <w:r>
              <w:rPr>
                <w:rFonts w:hint="eastAsia"/>
                <w:sz w:val="21"/>
                <w:szCs w:val="21"/>
              </w:rPr>
              <w:t>产品重量：带电池4.35kg~4.5kg</w:t>
            </w:r>
            <w:r>
              <w:rPr>
                <w:rFonts w:hint="eastAsia"/>
                <w:sz w:val="21"/>
                <w:szCs w:val="21"/>
              </w:rPr>
              <w:br w:type="textWrapping"/>
            </w:r>
            <w:r>
              <w:rPr>
                <w:rFonts w:hint="eastAsia"/>
                <w:sz w:val="21"/>
                <w:szCs w:val="21"/>
              </w:rPr>
              <w:t>产品尺寸：高262mm，直径175mm</w:t>
            </w:r>
            <w:r>
              <w:rPr>
                <w:rFonts w:hint="eastAsia"/>
                <w:sz w:val="21"/>
                <w:szCs w:val="21"/>
              </w:rPr>
              <w:br w:type="textWrapping"/>
            </w:r>
            <w:r>
              <w:rPr>
                <w:rFonts w:hint="eastAsia"/>
                <w:sz w:val="21"/>
                <w:szCs w:val="21"/>
              </w:rPr>
              <w:t>防护等级：IP66</w:t>
            </w:r>
            <w:r>
              <w:rPr>
                <w:rFonts w:hint="eastAsia"/>
                <w:sz w:val="21"/>
                <w:szCs w:val="21"/>
              </w:rPr>
              <w:br w:type="textWrapping"/>
            </w:r>
            <w:r>
              <w:rPr>
                <w:rFonts w:hint="eastAsia"/>
                <w:sz w:val="21"/>
                <w:szCs w:val="21"/>
              </w:rPr>
              <w:t>供电方式：电池供电;外接电源</w:t>
            </w:r>
            <w:r>
              <w:rPr>
                <w:rFonts w:hint="eastAsia"/>
                <w:sz w:val="21"/>
                <w:szCs w:val="21"/>
              </w:rPr>
              <w:br w:type="textWrapping"/>
            </w:r>
            <w:r>
              <w:rPr>
                <w:rFonts w:hint="eastAsia"/>
                <w:sz w:val="21"/>
                <w:szCs w:val="21"/>
              </w:rPr>
              <w:t>工作温度：-10℃~55℃</w:t>
            </w:r>
            <w:r>
              <w:rPr>
                <w:rFonts w:hint="eastAsia"/>
                <w:sz w:val="21"/>
                <w:szCs w:val="21"/>
              </w:rPr>
              <w:br w:type="textWrapping"/>
            </w:r>
            <w:r>
              <w:rPr>
                <w:rFonts w:hint="eastAsia"/>
                <w:sz w:val="21"/>
                <w:szCs w:val="21"/>
              </w:rPr>
              <w:t>工作湿度：湿度小于95%</w:t>
            </w:r>
            <w:r>
              <w:rPr>
                <w:rFonts w:hint="eastAsia"/>
                <w:sz w:val="21"/>
                <w:szCs w:val="21"/>
              </w:rPr>
              <w:br w:type="textWrapping"/>
            </w:r>
            <w:r>
              <w:rPr>
                <w:rFonts w:hint="eastAsia"/>
                <w:sz w:val="21"/>
                <w:szCs w:val="21"/>
              </w:rPr>
              <w:t>材质：镁合金</w:t>
            </w:r>
            <w:r>
              <w:rPr>
                <w:rFonts w:hint="eastAsia"/>
                <w:sz w:val="21"/>
                <w:szCs w:val="21"/>
              </w:rPr>
              <w:br w:type="textWrapping"/>
            </w:r>
            <w:r>
              <w:rPr>
                <w:rFonts w:hint="eastAsia"/>
                <w:sz w:val="21"/>
                <w:szCs w:val="21"/>
              </w:rPr>
              <w:t>水平旋转角度：360°</w:t>
            </w:r>
            <w:r>
              <w:rPr>
                <w:rFonts w:hint="eastAsia"/>
                <w:sz w:val="21"/>
                <w:szCs w:val="21"/>
              </w:rPr>
              <w:br w:type="textWrapping"/>
            </w:r>
            <w:r>
              <w:rPr>
                <w:rFonts w:hint="eastAsia"/>
                <w:sz w:val="21"/>
                <w:szCs w:val="21"/>
              </w:rPr>
              <w:t>垂直旋转角度：-20°~90°</w:t>
            </w:r>
            <w:r>
              <w:rPr>
                <w:rFonts w:hint="eastAsia"/>
                <w:sz w:val="21"/>
                <w:szCs w:val="21"/>
              </w:rPr>
              <w:br w:type="textWrapping"/>
            </w:r>
            <w:r>
              <w:rPr>
                <w:rFonts w:hint="eastAsia"/>
                <w:sz w:val="21"/>
                <w:szCs w:val="21"/>
              </w:rPr>
              <w:t>预置点：256个</w:t>
            </w:r>
            <w:r>
              <w:rPr>
                <w:rFonts w:hint="eastAsia"/>
                <w:sz w:val="21"/>
                <w:szCs w:val="21"/>
              </w:rPr>
              <w:br w:type="textWrapping"/>
            </w:r>
            <w:r>
              <w:rPr>
                <w:rFonts w:hint="eastAsia"/>
                <w:sz w:val="21"/>
                <w:szCs w:val="21"/>
              </w:rPr>
              <w:t>巡航扫描：8条</w:t>
            </w:r>
            <w:r>
              <w:rPr>
                <w:rFonts w:hint="eastAsia"/>
                <w:sz w:val="21"/>
                <w:szCs w:val="21"/>
              </w:rPr>
              <w:br w:type="textWrapping"/>
            </w:r>
            <w:r>
              <w:rPr>
                <w:rFonts w:hint="eastAsia"/>
                <w:sz w:val="21"/>
                <w:szCs w:val="21"/>
              </w:rPr>
              <w:t>花样扫描：4条</w:t>
            </w:r>
            <w:r>
              <w:rPr>
                <w:rFonts w:hint="eastAsia"/>
                <w:sz w:val="21"/>
                <w:szCs w:val="21"/>
              </w:rPr>
              <w:br w:type="textWrapping"/>
            </w:r>
            <w:r>
              <w:rPr>
                <w:rFonts w:hint="eastAsia"/>
                <w:sz w:val="21"/>
                <w:szCs w:val="21"/>
              </w:rPr>
              <w:t>断电记忆：支持</w:t>
            </w:r>
            <w:r>
              <w:rPr>
                <w:rFonts w:hint="eastAsia"/>
                <w:sz w:val="21"/>
                <w:szCs w:val="21"/>
              </w:rPr>
              <w:br w:type="textWrapping"/>
            </w:r>
            <w:r>
              <w:rPr>
                <w:rFonts w:hint="eastAsia"/>
                <w:sz w:val="21"/>
                <w:szCs w:val="21"/>
              </w:rPr>
              <w:t>红外：支持</w:t>
            </w:r>
            <w:r>
              <w:rPr>
                <w:rFonts w:hint="eastAsia"/>
                <w:sz w:val="21"/>
                <w:szCs w:val="21"/>
              </w:rPr>
              <w:br w:type="textWrapping"/>
            </w:r>
            <w:r>
              <w:rPr>
                <w:rFonts w:hint="eastAsia"/>
                <w:sz w:val="21"/>
                <w:szCs w:val="21"/>
              </w:rPr>
              <w:t>红外补光距离：100m看清人体轮廓</w:t>
            </w:r>
            <w:r>
              <w:rPr>
                <w:rFonts w:hint="eastAsia"/>
                <w:sz w:val="21"/>
                <w:szCs w:val="21"/>
              </w:rPr>
              <w:br w:type="textWrapping"/>
            </w:r>
            <w:r>
              <w:rPr>
                <w:rFonts w:hint="eastAsia"/>
                <w:sz w:val="21"/>
                <w:szCs w:val="21"/>
              </w:rPr>
              <w:t>扩展存储个数：2</w:t>
            </w:r>
            <w:r>
              <w:rPr>
                <w:rFonts w:hint="eastAsia"/>
                <w:sz w:val="21"/>
                <w:szCs w:val="21"/>
              </w:rPr>
              <w:br w:type="textWrapping"/>
            </w:r>
            <w:r>
              <w:rPr>
                <w:rFonts w:hint="eastAsia"/>
                <w:sz w:val="21"/>
                <w:szCs w:val="21"/>
              </w:rPr>
              <w:t>扩展存储介质：TF</w:t>
            </w:r>
            <w:r>
              <w:rPr>
                <w:rFonts w:hint="eastAsia"/>
                <w:sz w:val="21"/>
                <w:szCs w:val="21"/>
              </w:rPr>
              <w:br w:type="textWrapping"/>
            </w:r>
            <w:r>
              <w:rPr>
                <w:rFonts w:hint="eastAsia"/>
                <w:sz w:val="21"/>
                <w:szCs w:val="21"/>
              </w:rPr>
              <w:t>扩展存储容量：默认不含TF卡，最大支持1TB存储卡</w:t>
            </w:r>
            <w:r>
              <w:rPr>
                <w:rFonts w:hint="eastAsia"/>
                <w:sz w:val="21"/>
                <w:szCs w:val="21"/>
              </w:rPr>
              <w:br w:type="textWrapping"/>
            </w:r>
            <w:r>
              <w:rPr>
                <w:rFonts w:hint="eastAsia"/>
                <w:sz w:val="21"/>
                <w:szCs w:val="21"/>
              </w:rPr>
              <w:t>充电接口：6芯航空头</w:t>
            </w:r>
            <w:r>
              <w:rPr>
                <w:rFonts w:hint="eastAsia"/>
                <w:sz w:val="21"/>
                <w:szCs w:val="21"/>
              </w:rPr>
              <w:br w:type="textWrapping"/>
            </w:r>
            <w:r>
              <w:rPr>
                <w:rFonts w:hint="eastAsia"/>
                <w:sz w:val="21"/>
                <w:szCs w:val="21"/>
              </w:rPr>
              <w:t>外部接口：电源输出接口;RJ45;RS-232;RS-485;line-in;line-out;Alarm-in;Alarm-out</w:t>
            </w:r>
            <w:r>
              <w:rPr>
                <w:rFonts w:hint="eastAsia"/>
                <w:sz w:val="21"/>
                <w:szCs w:val="21"/>
              </w:rPr>
              <w:br w:type="textWrapping"/>
            </w:r>
            <w:r>
              <w:rPr>
                <w:rFonts w:hint="eastAsia"/>
                <w:sz w:val="21"/>
                <w:szCs w:val="21"/>
              </w:rPr>
              <w:t>扬声器：支持</w:t>
            </w:r>
            <w:r>
              <w:rPr>
                <w:rFonts w:hint="eastAsia"/>
                <w:sz w:val="21"/>
                <w:szCs w:val="21"/>
              </w:rPr>
              <w:br w:type="textWrapping"/>
            </w:r>
            <w:r>
              <w:rPr>
                <w:rFonts w:hint="eastAsia"/>
                <w:sz w:val="21"/>
                <w:szCs w:val="21"/>
              </w:rPr>
              <w:t>MIC：支持</w:t>
            </w:r>
            <w:r>
              <w:rPr>
                <w:rFonts w:hint="eastAsia"/>
                <w:sz w:val="21"/>
                <w:szCs w:val="21"/>
              </w:rPr>
              <w:br w:type="textWrapping"/>
            </w:r>
            <w:r>
              <w:rPr>
                <w:rFonts w:hint="eastAsia"/>
                <w:sz w:val="21"/>
                <w:szCs w:val="21"/>
              </w:rPr>
              <w:t>存储卡卡槽：2</w:t>
            </w:r>
            <w:r>
              <w:rPr>
                <w:rFonts w:hint="eastAsia"/>
                <w:sz w:val="21"/>
                <w:szCs w:val="21"/>
              </w:rPr>
              <w:br w:type="textWrapping"/>
            </w:r>
            <w:r>
              <w:rPr>
                <w:rFonts w:hint="eastAsia"/>
                <w:sz w:val="21"/>
                <w:szCs w:val="21"/>
              </w:rPr>
              <w:t>电源输出接口：5V</w:t>
            </w:r>
            <w:r>
              <w:rPr>
                <w:rFonts w:hint="eastAsia"/>
                <w:sz w:val="21"/>
                <w:szCs w:val="21"/>
              </w:rPr>
              <w:br w:type="textWrapping"/>
            </w:r>
            <w:r>
              <w:rPr>
                <w:rFonts w:hint="eastAsia"/>
                <w:sz w:val="21"/>
                <w:szCs w:val="21"/>
              </w:rPr>
              <w:t>电池可拆卸：支持</w:t>
            </w:r>
            <w:r>
              <w:rPr>
                <w:rFonts w:hint="eastAsia"/>
                <w:sz w:val="21"/>
                <w:szCs w:val="21"/>
              </w:rPr>
              <w:br w:type="textWrapping"/>
            </w:r>
            <w:r>
              <w:rPr>
                <w:rFonts w:hint="eastAsia"/>
                <w:sz w:val="21"/>
                <w:szCs w:val="21"/>
              </w:rPr>
              <w:t>电池容量：13400mAh</w:t>
            </w:r>
            <w:r>
              <w:rPr>
                <w:rFonts w:hint="eastAsia"/>
                <w:sz w:val="21"/>
                <w:szCs w:val="21"/>
              </w:rPr>
              <w:br w:type="textWrapping"/>
            </w:r>
            <w:r>
              <w:rPr>
                <w:rFonts w:hint="eastAsia"/>
                <w:sz w:val="21"/>
                <w:szCs w:val="21"/>
              </w:rPr>
              <w:t>待机时间：8-9小时</w:t>
            </w:r>
            <w:r>
              <w:rPr>
                <w:rFonts w:hint="eastAsia"/>
                <w:sz w:val="21"/>
                <w:szCs w:val="21"/>
              </w:rPr>
              <w:br w:type="textWrapping"/>
            </w:r>
            <w:r>
              <w:rPr>
                <w:rFonts w:hint="eastAsia"/>
                <w:sz w:val="21"/>
                <w:szCs w:val="21"/>
              </w:rPr>
              <w:t>关机充电时间：＜4小时</w:t>
            </w:r>
            <w:r>
              <w:rPr>
                <w:rFonts w:hint="eastAsia"/>
                <w:sz w:val="21"/>
                <w:szCs w:val="21"/>
              </w:rPr>
              <w:br w:type="textWrapping"/>
            </w:r>
            <w:r>
              <w:rPr>
                <w:rFonts w:hint="eastAsia"/>
                <w:sz w:val="21"/>
                <w:szCs w:val="21"/>
              </w:rPr>
              <w:t>电池类型：锂离子电池</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10</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6</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双舱感知人像抓拍摄像机</w:t>
            </w:r>
          </w:p>
        </w:tc>
        <w:tc>
          <w:tcPr>
            <w:tcW w:w="3696" w:type="dxa"/>
            <w:vAlign w:val="center"/>
          </w:tcPr>
          <w:p>
            <w:pPr>
              <w:spacing w:line="240" w:lineRule="auto"/>
              <w:ind w:firstLine="0" w:firstLineChars="0"/>
              <w:rPr>
                <w:rFonts w:hint="eastAsia"/>
                <w:sz w:val="21"/>
                <w:szCs w:val="21"/>
              </w:rPr>
            </w:pPr>
            <w:r>
              <w:rPr>
                <w:sz w:val="21"/>
                <w:szCs w:val="21"/>
              </w:rPr>
              <w:t>1.内置1个CPU、GPU、NPU—体化芯片；</w:t>
            </w:r>
            <w:r>
              <w:rPr>
                <w:sz w:val="21"/>
                <w:szCs w:val="21"/>
              </w:rPr>
              <w:br w:type="textWrapping"/>
            </w:r>
            <w:r>
              <w:rPr>
                <w:sz w:val="21"/>
                <w:szCs w:val="21"/>
              </w:rPr>
              <w:t>2.传感器靶面均≥1/1.8"</w:t>
            </w:r>
            <w:r>
              <w:rPr>
                <w:sz w:val="21"/>
                <w:szCs w:val="21"/>
              </w:rPr>
              <w:br w:type="textWrapping"/>
            </w:r>
            <w:r>
              <w:rPr>
                <w:sz w:val="21"/>
                <w:szCs w:val="21"/>
              </w:rPr>
              <w:t>3.内置传感器全景、细节两路分辨率均≥2688×1520；</w:t>
            </w:r>
            <w:r>
              <w:rPr>
                <w:sz w:val="21"/>
                <w:szCs w:val="21"/>
              </w:rPr>
              <w:br w:type="textWrapping"/>
            </w:r>
            <w:r>
              <w:rPr>
                <w:sz w:val="21"/>
                <w:szCs w:val="21"/>
              </w:rPr>
              <w:t>4.全景路镜头焦距：4mm，细节路镜头8mm-32mm；</w:t>
            </w:r>
            <w:r>
              <w:rPr>
                <w:sz w:val="21"/>
                <w:szCs w:val="21"/>
              </w:rPr>
              <w:br w:type="textWrapping"/>
            </w:r>
            <w:r>
              <w:rPr>
                <w:sz w:val="21"/>
                <w:szCs w:val="21"/>
              </w:rPr>
              <w:t>5.具有语音对讲功能，具有音频自动增益，回声消除，去混响，啸叫抑制，降噪，二次降噪，抗削波设置选项；</w:t>
            </w:r>
            <w:r>
              <w:rPr>
                <w:sz w:val="21"/>
                <w:szCs w:val="21"/>
              </w:rPr>
              <w:br w:type="textWrapping"/>
            </w:r>
            <w:r>
              <w:rPr>
                <w:sz w:val="21"/>
                <w:szCs w:val="21"/>
              </w:rPr>
              <w:t>6.在同一个视频画面中，最多可同时检测200个运动人体目标，可检测、跟踪、抓拍≥120个运动人体目标，支持人体检测、跟踪、抓拍，支持正面、背面双向抓拍，抓拍率≥99%，支持最佳人体（通过像素点最多、遮挡比例最小等条件判断）全貌抓拍筛选去重，重复率≤1%</w:t>
            </w:r>
            <w:r>
              <w:rPr>
                <w:sz w:val="21"/>
                <w:szCs w:val="21"/>
              </w:rPr>
              <w:br w:type="textWrapping"/>
            </w:r>
            <w:r>
              <w:rPr>
                <w:sz w:val="21"/>
                <w:szCs w:val="21"/>
              </w:rPr>
              <w:t>7.在同一个视频画面中，最多可同时检测200个运动人脸目标，可检测、跟踪、抓拍≥120个运动人脸目标，支持对运动人脸进行检测、跟踪、抓拍、评分、筛选，输出最优的人脸抓图，最佳人脸抓拍模式支持单张或多张目标快照输出，人脸抓拍率≥99%支持对人脸最佳抓拍图片（通过像素点最多、遮挡比例最小等条件判断）筛选去重，重复率≤1%</w:t>
            </w:r>
            <w:r>
              <w:rPr>
                <w:sz w:val="21"/>
                <w:szCs w:val="21"/>
              </w:rPr>
              <w:br w:type="textWrapping"/>
            </w:r>
            <w:r>
              <w:rPr>
                <w:sz w:val="21"/>
                <w:szCs w:val="21"/>
              </w:rPr>
              <w:t>8.支持多角度人脸检测功能，支持检出水平转动角不超过±90°，俯仰角不超过±60°，倾斜角不超过±45°姿态角度的人脸抓拍</w:t>
            </w:r>
            <w:r>
              <w:rPr>
                <w:sz w:val="21"/>
                <w:szCs w:val="21"/>
              </w:rPr>
              <w:br w:type="textWrapping"/>
            </w:r>
            <w:r>
              <w:rPr>
                <w:sz w:val="21"/>
                <w:szCs w:val="21"/>
              </w:rPr>
              <w:t>9.支持机动车、非机动车、行人等目标检测功能，其中非机动车抓拍可对自行车、电瓶车、三轮车进行抓拍，支持摩托车抓拍功能。可最多检测出100个同时出现在视频图像中的机动车、非机动车及行人等目标</w:t>
            </w:r>
            <w:r>
              <w:rPr>
                <w:sz w:val="21"/>
                <w:szCs w:val="21"/>
              </w:rPr>
              <w:br w:type="textWrapping"/>
            </w:r>
            <w:r>
              <w:rPr>
                <w:sz w:val="21"/>
                <w:szCs w:val="21"/>
              </w:rPr>
              <w:t>10.支持以下非机动车类型识别功能：</w:t>
            </w:r>
            <w:r>
              <w:rPr>
                <w:sz w:val="21"/>
                <w:szCs w:val="21"/>
              </w:rPr>
              <w:br w:type="textWrapping"/>
            </w:r>
            <w:r>
              <w:rPr>
                <w:sz w:val="21"/>
                <w:szCs w:val="21"/>
              </w:rPr>
              <w:t>1、共享单车类型，包括</w:t>
            </w:r>
            <w:r>
              <w:rPr>
                <w:rFonts w:hint="eastAsia"/>
                <w:sz w:val="21"/>
                <w:szCs w:val="21"/>
              </w:rPr>
              <w:t>市面上常见商家的共享单车</w:t>
            </w:r>
            <w:r>
              <w:rPr>
                <w:sz w:val="21"/>
                <w:szCs w:val="21"/>
              </w:rPr>
              <w:t>；</w:t>
            </w:r>
            <w:r>
              <w:rPr>
                <w:sz w:val="21"/>
                <w:szCs w:val="21"/>
              </w:rPr>
              <w:br w:type="textWrapping"/>
            </w:r>
            <w:r>
              <w:rPr>
                <w:sz w:val="21"/>
                <w:szCs w:val="21"/>
              </w:rPr>
              <w:t>2、外卖车类型，包括</w:t>
            </w:r>
            <w:r>
              <w:rPr>
                <w:rFonts w:hint="eastAsia"/>
                <w:sz w:val="21"/>
                <w:szCs w:val="21"/>
              </w:rPr>
              <w:t>但不限于美团、饿了么、京东到家，以及普通电动自行车等</w:t>
            </w:r>
            <w:r>
              <w:rPr>
                <w:sz w:val="21"/>
                <w:szCs w:val="21"/>
              </w:rPr>
              <w:t>；</w:t>
            </w:r>
            <w:r>
              <w:rPr>
                <w:sz w:val="21"/>
                <w:szCs w:val="21"/>
              </w:rPr>
              <w:br w:type="textWrapping"/>
            </w:r>
            <w:r>
              <w:rPr>
                <w:sz w:val="21"/>
                <w:szCs w:val="21"/>
              </w:rPr>
              <w:t>3、快递车类型，</w:t>
            </w:r>
            <w:r>
              <w:rPr>
                <w:rFonts w:hint="eastAsia"/>
                <w:sz w:val="21"/>
                <w:szCs w:val="21"/>
              </w:rPr>
              <w:t>包括但不限于京东、申通、顺丰、邮政、圆通、韵达、中通，以及普通三轮车</w:t>
            </w:r>
            <w:r>
              <w:rPr>
                <w:sz w:val="21"/>
                <w:szCs w:val="21"/>
              </w:rPr>
              <w:t>等。</w:t>
            </w:r>
            <w:r>
              <w:rPr>
                <w:sz w:val="21"/>
                <w:szCs w:val="21"/>
              </w:rPr>
              <w:br w:type="textWrapping"/>
            </w:r>
            <w:r>
              <w:rPr>
                <w:sz w:val="21"/>
                <w:szCs w:val="21"/>
              </w:rPr>
              <w:t>11.环境温度为25°时，在正常工作条件、异常工作条件和单一故障条件下，设备可触及的外表面和零部件的接触温度应符合GB16796-2022中表6规定的要求</w:t>
            </w:r>
            <w:r>
              <w:rPr>
                <w:sz w:val="21"/>
                <w:szCs w:val="21"/>
              </w:rPr>
              <w:br w:type="textWrapping"/>
            </w:r>
            <w:r>
              <w:rPr>
                <w:sz w:val="21"/>
                <w:szCs w:val="21"/>
              </w:rPr>
              <w:t>12.全景、细节两路视频通道均具有图像防抖设置选项</w:t>
            </w:r>
            <w:r>
              <w:rPr>
                <w:sz w:val="21"/>
                <w:szCs w:val="21"/>
              </w:rPr>
              <w:br w:type="textWrapping"/>
            </w:r>
            <w:r>
              <w:rPr>
                <w:sz w:val="21"/>
                <w:szCs w:val="21"/>
              </w:rPr>
              <w:t>13.全景、细节两路视频通道均支持智能识别人脸位置，并进行曝光</w:t>
            </w:r>
            <w:r>
              <w:rPr>
                <w:sz w:val="21"/>
                <w:szCs w:val="21"/>
              </w:rPr>
              <w:br w:type="textWrapping"/>
            </w:r>
            <w:r>
              <w:rPr>
                <w:sz w:val="21"/>
                <w:szCs w:val="21"/>
              </w:rPr>
              <w:t>14开启全结构化功能后，支持人脸抓拍图和车辆抓拍图曝光时间和增益单独可控，在保证人脸抓拍效果的同时，保证车牌不过曝；</w:t>
            </w:r>
            <w:r>
              <w:rPr>
                <w:sz w:val="21"/>
                <w:szCs w:val="21"/>
              </w:rPr>
              <w:br w:type="textWrapping"/>
            </w:r>
            <w:r>
              <w:rPr>
                <w:sz w:val="21"/>
                <w:szCs w:val="21"/>
              </w:rPr>
              <w:t>15.具备有1个RJ45自适应网络接口、1路音频输入接口、1路音频输出接口、2路报警输入、1路报警输出、1路RS485接口、1个MicroSD卡槽、1个复位键、内置双路MIC、内置扬声器；</w:t>
            </w:r>
            <w:r>
              <w:rPr>
                <w:sz w:val="21"/>
                <w:szCs w:val="21"/>
              </w:rPr>
              <w:br w:type="textWrapping"/>
            </w:r>
            <w:r>
              <w:rPr>
                <w:sz w:val="21"/>
                <w:szCs w:val="21"/>
              </w:rPr>
              <w:t>16.供电方式：DC12V、POE；</w:t>
            </w:r>
            <w:r>
              <w:rPr>
                <w:sz w:val="21"/>
                <w:szCs w:val="21"/>
              </w:rPr>
              <w:br w:type="textWrapping"/>
            </w:r>
            <w:r>
              <w:rPr>
                <w:sz w:val="21"/>
                <w:szCs w:val="21"/>
              </w:rPr>
              <w:t>17.防护等级：IP67、IK10；</w:t>
            </w:r>
            <w:r>
              <w:rPr>
                <w:sz w:val="21"/>
                <w:szCs w:val="21"/>
              </w:rPr>
              <w:br w:type="textWrapping"/>
            </w:r>
            <w:r>
              <w:rPr>
                <w:sz w:val="21"/>
                <w:szCs w:val="21"/>
              </w:rPr>
              <w:t>18.设备搭载国产化操作系统。</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12</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7</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智能高清摄像机</w:t>
            </w:r>
          </w:p>
        </w:tc>
        <w:tc>
          <w:tcPr>
            <w:tcW w:w="3696" w:type="dxa"/>
            <w:vAlign w:val="center"/>
          </w:tcPr>
          <w:p>
            <w:pPr>
              <w:widowControl/>
              <w:spacing w:line="240" w:lineRule="auto"/>
              <w:ind w:firstLine="0" w:firstLineChars="0"/>
              <w:rPr>
                <w:rFonts w:hint="eastAsia" w:cs="宋体"/>
                <w:sz w:val="21"/>
                <w:szCs w:val="21"/>
              </w:rPr>
            </w:pPr>
            <w:r>
              <w:rPr>
                <w:rFonts w:hint="eastAsia" w:cs="宋体"/>
                <w:sz w:val="21"/>
                <w:szCs w:val="21"/>
              </w:rPr>
              <w:t>1.分辨率≥3840×2160；传感器靶面≥1/1.8"，镜头焦距≥2.8-12mm；</w:t>
            </w:r>
          </w:p>
          <w:p>
            <w:pPr>
              <w:widowControl/>
              <w:spacing w:line="240" w:lineRule="auto"/>
              <w:ind w:firstLine="0" w:firstLineChars="0"/>
              <w:rPr>
                <w:rFonts w:hint="eastAsia" w:cs="宋体"/>
                <w:sz w:val="21"/>
                <w:szCs w:val="21"/>
              </w:rPr>
            </w:pPr>
            <w:r>
              <w:rPr>
                <w:rFonts w:hint="eastAsia" w:cs="宋体"/>
                <w:sz w:val="21"/>
                <w:szCs w:val="21"/>
              </w:rPr>
              <w:t>2.内置≥1个CPU、GPU、NPU—体化芯片；</w:t>
            </w:r>
          </w:p>
          <w:p>
            <w:pPr>
              <w:widowControl/>
              <w:spacing w:line="240" w:lineRule="auto"/>
              <w:ind w:firstLine="0" w:firstLineChars="0"/>
              <w:rPr>
                <w:rFonts w:hint="eastAsia" w:cs="宋体"/>
                <w:sz w:val="21"/>
                <w:szCs w:val="21"/>
              </w:rPr>
            </w:pPr>
            <w:r>
              <w:rPr>
                <w:rFonts w:hint="eastAsia" w:cs="宋体"/>
                <w:sz w:val="21"/>
                <w:szCs w:val="21"/>
              </w:rPr>
              <w:t>3.内置红外和柔光补光，红外补光距离≥50米，柔光≥30米；</w:t>
            </w:r>
          </w:p>
          <w:p>
            <w:pPr>
              <w:widowControl/>
              <w:spacing w:line="240" w:lineRule="auto"/>
              <w:ind w:firstLine="0" w:firstLineChars="0"/>
              <w:rPr>
                <w:rFonts w:hint="eastAsia" w:cs="宋体"/>
                <w:sz w:val="21"/>
                <w:szCs w:val="21"/>
              </w:rPr>
            </w:pPr>
            <w:r>
              <w:rPr>
                <w:rFonts w:hint="eastAsia" w:cs="宋体"/>
                <w:sz w:val="21"/>
                <w:szCs w:val="21"/>
              </w:rPr>
              <w:t>4.支持下面5种多算法切换运行：1）目标智能2）车辆智能3）行为分析智能4）态势分析智能5）普通事件分析</w:t>
            </w:r>
          </w:p>
          <w:p>
            <w:pPr>
              <w:widowControl/>
              <w:spacing w:line="240" w:lineRule="auto"/>
              <w:ind w:firstLine="0" w:firstLineChars="0"/>
              <w:rPr>
                <w:rFonts w:hint="eastAsia" w:cs="宋体"/>
                <w:sz w:val="21"/>
                <w:szCs w:val="21"/>
              </w:rPr>
            </w:pPr>
            <w:r>
              <w:rPr>
                <w:rFonts w:hint="eastAsia" w:cs="宋体"/>
                <w:sz w:val="21"/>
                <w:szCs w:val="21"/>
              </w:rPr>
              <w:t>5.支持多角度人脸检测功能，支持检出水平转动角不超过±90°，俯仰角不超过±60°，倾斜角不超过±45°姿态角度的人脸抓拍；支持对运动人脸进行检测、跟踪、抓拍、评分、筛选，输出最优的人脸抓拍图，最佳人脸抓拍模式支持单张或多张目标快照输出，人脸抓拍率≥99%，支持对最佳人脸抓拍图片筛选去重，重复率≤1%；</w:t>
            </w:r>
          </w:p>
          <w:p>
            <w:pPr>
              <w:widowControl/>
              <w:spacing w:line="240" w:lineRule="auto"/>
              <w:ind w:firstLine="0" w:firstLineChars="0"/>
              <w:rPr>
                <w:rFonts w:hint="eastAsia" w:cs="宋体"/>
                <w:sz w:val="21"/>
                <w:szCs w:val="21"/>
              </w:rPr>
            </w:pPr>
            <w:r>
              <w:rPr>
                <w:rFonts w:hint="eastAsia" w:cs="宋体"/>
                <w:sz w:val="21"/>
                <w:szCs w:val="21"/>
              </w:rPr>
              <w:t>6.支持对经过监控画面中的行人进行（自上而下，自下而上）的人流量统计，支持双向通行的人数统计，准确率≥99%，支持报表统计，支持日报表、周报表、月报表、年报表；</w:t>
            </w:r>
          </w:p>
          <w:p>
            <w:pPr>
              <w:widowControl/>
              <w:spacing w:line="240" w:lineRule="auto"/>
              <w:ind w:firstLine="0" w:firstLineChars="0"/>
              <w:rPr>
                <w:rFonts w:hint="eastAsia" w:cs="宋体"/>
                <w:sz w:val="21"/>
                <w:szCs w:val="21"/>
              </w:rPr>
            </w:pPr>
            <w:r>
              <w:rPr>
                <w:rFonts w:hint="eastAsia" w:cs="宋体"/>
                <w:sz w:val="21"/>
                <w:szCs w:val="21"/>
              </w:rPr>
              <w:t>7.具有智能分析功能（如：人员聚集、过线统计、区域入侵检测、越线检测、视频遮挡、场景变更、虚焦检测、徘徊检测、遗留检测、物品移走检测、移动侦测、区域进入/离开、停车侦测）支持将智能分析结果传递至客户端。平均捕获率≥99%，平均准确率≥99%；</w:t>
            </w:r>
          </w:p>
          <w:p>
            <w:pPr>
              <w:widowControl/>
              <w:spacing w:line="240" w:lineRule="auto"/>
              <w:ind w:firstLine="0" w:firstLineChars="0"/>
              <w:rPr>
                <w:rFonts w:hint="eastAsia" w:cs="宋体"/>
                <w:sz w:val="21"/>
                <w:szCs w:val="21"/>
              </w:rPr>
            </w:pPr>
            <w:r>
              <w:rPr>
                <w:rFonts w:hint="eastAsia" w:cs="宋体"/>
                <w:sz w:val="21"/>
                <w:szCs w:val="21"/>
              </w:rPr>
              <w:t>8.支持机动车、非机动车、行人等目标检测功能，其中非机动车抓拍可对自行车、电瓶车、三轮车进行抓拍，支持摩托车抓拍功能。支持对非机动车的骑行人进行属性识别，机动车和非机动车及行人捕获率不低于99%</w:t>
            </w:r>
          </w:p>
          <w:p>
            <w:pPr>
              <w:widowControl/>
              <w:spacing w:line="240" w:lineRule="auto"/>
              <w:ind w:firstLine="0" w:firstLineChars="0"/>
              <w:rPr>
                <w:rFonts w:hint="eastAsia" w:cs="宋体"/>
                <w:sz w:val="21"/>
                <w:szCs w:val="21"/>
              </w:rPr>
            </w:pPr>
            <w:r>
              <w:rPr>
                <w:rFonts w:hint="eastAsia" w:cs="宋体"/>
                <w:sz w:val="21"/>
                <w:szCs w:val="21"/>
              </w:rPr>
              <w:t>9.具有不少于如下接口：1个RJ45为10M/100M/1000M自适应网络接口、1路音频输入、1路音频输出、2路告警输入、1路告警输出、内置双路MIC、内置扬声器；</w:t>
            </w:r>
          </w:p>
          <w:p>
            <w:pPr>
              <w:widowControl/>
              <w:spacing w:line="240" w:lineRule="auto"/>
              <w:ind w:firstLine="0" w:firstLineChars="0"/>
              <w:rPr>
                <w:rFonts w:hint="eastAsia" w:cs="宋体"/>
                <w:sz w:val="21"/>
                <w:szCs w:val="21"/>
              </w:rPr>
            </w:pPr>
            <w:r>
              <w:rPr>
                <w:rFonts w:hint="eastAsia" w:cs="宋体"/>
                <w:sz w:val="21"/>
                <w:szCs w:val="21"/>
              </w:rPr>
              <w:t>10.应能在DC12V±30%范围内正常工作，支持POE供电；防护等级：IP67；</w:t>
            </w:r>
          </w:p>
          <w:p>
            <w:pPr>
              <w:widowControl/>
              <w:spacing w:line="240" w:lineRule="auto"/>
              <w:ind w:firstLine="0" w:firstLineChars="0"/>
              <w:rPr>
                <w:rFonts w:hint="eastAsia" w:cs="宋体"/>
                <w:sz w:val="21"/>
                <w:szCs w:val="21"/>
              </w:rPr>
            </w:pPr>
            <w:r>
              <w:rPr>
                <w:rFonts w:hint="eastAsia" w:cs="宋体"/>
                <w:sz w:val="21"/>
                <w:szCs w:val="21"/>
              </w:rPr>
              <w:t>11.设备搭载国产化操作系统。</w:t>
            </w:r>
          </w:p>
          <w:p>
            <w:pPr>
              <w:spacing w:line="240" w:lineRule="auto"/>
              <w:ind w:firstLine="0" w:firstLineChars="0"/>
              <w:rPr>
                <w:rFonts w:hint="eastAsia"/>
                <w:sz w:val="21"/>
                <w:szCs w:val="21"/>
              </w:rPr>
            </w:pPr>
            <w:r>
              <w:rPr>
                <w:rFonts w:hint="eastAsia" w:cs="宋体"/>
                <w:sz w:val="21"/>
                <w:szCs w:val="21"/>
              </w:rPr>
              <w:t>12、支持自动识别背光、运动速度、雾（雨）天、正常等场景，并能在&lt;1S的时间内快速自适应调整响应的图像参数。</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116</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8</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智慧管控终端</w:t>
            </w:r>
          </w:p>
        </w:tc>
        <w:tc>
          <w:tcPr>
            <w:tcW w:w="3696" w:type="dxa"/>
            <w:vAlign w:val="center"/>
          </w:tcPr>
          <w:p>
            <w:pPr>
              <w:numPr>
                <w:ilvl w:val="0"/>
                <w:numId w:val="3"/>
              </w:numPr>
              <w:spacing w:line="240" w:lineRule="auto"/>
              <w:ind w:firstLine="0" w:firstLineChars="0"/>
              <w:rPr>
                <w:rFonts w:hint="eastAsia"/>
                <w:sz w:val="21"/>
                <w:szCs w:val="21"/>
              </w:rPr>
            </w:pPr>
            <w:r>
              <w:rPr>
                <w:rFonts w:hint="eastAsia"/>
                <w:sz w:val="21"/>
                <w:szCs w:val="21"/>
              </w:rPr>
              <w:t>存储容量：1块4TB存储硬盘，单机存储容量最大支持24TB；</w:t>
            </w:r>
            <w:r>
              <w:rPr>
                <w:rFonts w:hint="eastAsia"/>
                <w:sz w:val="21"/>
                <w:szCs w:val="21"/>
              </w:rPr>
              <w:br w:type="textWrapping"/>
            </w:r>
            <w:r>
              <w:rPr>
                <w:rFonts w:hint="eastAsia"/>
                <w:sz w:val="21"/>
                <w:szCs w:val="21"/>
              </w:rPr>
              <w:t>2.通道路：最大支持4路；</w:t>
            </w:r>
            <w:r>
              <w:rPr>
                <w:rFonts w:hint="eastAsia"/>
                <w:sz w:val="21"/>
                <w:szCs w:val="21"/>
              </w:rPr>
              <w:br w:type="textWrapping"/>
            </w:r>
            <w:r>
              <w:rPr>
                <w:rFonts w:hint="eastAsia"/>
                <w:sz w:val="21"/>
                <w:szCs w:val="21"/>
              </w:rPr>
              <w:t>3.接入视频格式：H.264、H.265；</w:t>
            </w:r>
            <w:r>
              <w:rPr>
                <w:rFonts w:hint="eastAsia"/>
                <w:sz w:val="21"/>
                <w:szCs w:val="21"/>
              </w:rPr>
              <w:br w:type="textWrapping"/>
            </w:r>
            <w:r>
              <w:rPr>
                <w:rFonts w:hint="eastAsia"/>
                <w:sz w:val="21"/>
                <w:szCs w:val="21"/>
              </w:rPr>
              <w:t>4.接入图片格式：JPEG；</w:t>
            </w:r>
            <w:r>
              <w:rPr>
                <w:rFonts w:hint="eastAsia"/>
                <w:sz w:val="21"/>
                <w:szCs w:val="21"/>
              </w:rPr>
              <w:br w:type="textWrapping"/>
            </w:r>
            <w:r>
              <w:rPr>
                <w:rFonts w:hint="eastAsia"/>
                <w:sz w:val="21"/>
                <w:szCs w:val="21"/>
              </w:rPr>
              <w:t>5.SATA接口：4个内部SATA，支持1/2/3/4/6TB，一个外置eSATA；</w:t>
            </w:r>
            <w:r>
              <w:rPr>
                <w:rFonts w:hint="eastAsia"/>
                <w:sz w:val="21"/>
                <w:szCs w:val="21"/>
              </w:rPr>
              <w:br w:type="textWrapping"/>
            </w:r>
            <w:r>
              <w:rPr>
                <w:rFonts w:hint="eastAsia"/>
                <w:sz w:val="21"/>
                <w:szCs w:val="21"/>
              </w:rPr>
              <w:t>6.视频输入：支持4路1080P/30fpsH264/H265解码；</w:t>
            </w:r>
            <w:r>
              <w:rPr>
                <w:rFonts w:hint="eastAsia"/>
                <w:sz w:val="21"/>
                <w:szCs w:val="21"/>
              </w:rPr>
              <w:br w:type="textWrapping"/>
            </w:r>
            <w:r>
              <w:rPr>
                <w:rFonts w:hint="eastAsia"/>
                <w:sz w:val="21"/>
                <w:szCs w:val="21"/>
              </w:rPr>
              <w:t>7.视频输出：1路CVBS，1路VGA，1路HDMI；</w:t>
            </w:r>
            <w:r>
              <w:rPr>
                <w:rFonts w:hint="eastAsia"/>
                <w:sz w:val="21"/>
                <w:szCs w:val="21"/>
              </w:rPr>
              <w:br w:type="textWrapping"/>
            </w:r>
            <w:r>
              <w:rPr>
                <w:rFonts w:hint="eastAsia"/>
                <w:sz w:val="21"/>
                <w:szCs w:val="21"/>
              </w:rPr>
              <w:t>8.网络接口：4个百兆网口；</w:t>
            </w:r>
            <w:r>
              <w:rPr>
                <w:rFonts w:hint="eastAsia"/>
                <w:sz w:val="21"/>
                <w:szCs w:val="21"/>
              </w:rPr>
              <w:br w:type="textWrapping"/>
            </w:r>
            <w:r>
              <w:rPr>
                <w:rFonts w:hint="eastAsia"/>
                <w:sz w:val="21"/>
                <w:szCs w:val="21"/>
              </w:rPr>
              <w:t>9.NTP校时：支持NTP网络校时；</w:t>
            </w:r>
            <w:r>
              <w:rPr>
                <w:rFonts w:hint="eastAsia"/>
                <w:sz w:val="21"/>
                <w:szCs w:val="21"/>
              </w:rPr>
              <w:br w:type="textWrapping"/>
            </w:r>
            <w:r>
              <w:rPr>
                <w:rFonts w:hint="eastAsia"/>
                <w:sz w:val="21"/>
                <w:szCs w:val="21"/>
              </w:rPr>
              <w:t>10.交互控制：支持web界面远程控制，本机界面操作；</w:t>
            </w:r>
            <w:r>
              <w:rPr>
                <w:rFonts w:hint="eastAsia"/>
                <w:sz w:val="21"/>
                <w:szCs w:val="21"/>
              </w:rPr>
              <w:br w:type="textWrapping"/>
            </w:r>
            <w:r>
              <w:rPr>
                <w:rFonts w:hint="eastAsia"/>
                <w:sz w:val="21"/>
                <w:szCs w:val="21"/>
              </w:rPr>
              <w:t>11.支持协议：ONVIF、GB28181、TCP/IP、UDP、RTSP、HTTP、GA/T1400；</w:t>
            </w:r>
            <w:r>
              <w:rPr>
                <w:rFonts w:hint="eastAsia"/>
                <w:sz w:val="21"/>
                <w:szCs w:val="21"/>
              </w:rPr>
              <w:br w:type="textWrapping"/>
            </w:r>
            <w:r>
              <w:rPr>
                <w:rFonts w:hint="eastAsia"/>
                <w:sz w:val="21"/>
                <w:szCs w:val="21"/>
              </w:rPr>
              <w:t>12.算法识别：支持车牌、车标、车型、车身颜色等；</w:t>
            </w:r>
            <w:r>
              <w:rPr>
                <w:rFonts w:hint="eastAsia"/>
                <w:sz w:val="21"/>
                <w:szCs w:val="21"/>
              </w:rPr>
              <w:br w:type="textWrapping"/>
            </w:r>
            <w:r>
              <w:rPr>
                <w:rFonts w:hint="eastAsia"/>
                <w:sz w:val="21"/>
                <w:szCs w:val="21"/>
              </w:rPr>
              <w:t>13.防水等级：IP41；</w:t>
            </w:r>
            <w:r>
              <w:rPr>
                <w:rFonts w:hint="eastAsia"/>
                <w:sz w:val="21"/>
                <w:szCs w:val="21"/>
              </w:rPr>
              <w:br w:type="textWrapping"/>
            </w:r>
            <w:r>
              <w:rPr>
                <w:rFonts w:hint="eastAsia"/>
                <w:sz w:val="21"/>
                <w:szCs w:val="21"/>
              </w:rPr>
              <w:t>14.散热：满足硬件功耗散热；</w:t>
            </w:r>
            <w:r>
              <w:rPr>
                <w:rFonts w:hint="eastAsia"/>
                <w:sz w:val="21"/>
                <w:szCs w:val="21"/>
              </w:rPr>
              <w:br w:type="textWrapping"/>
            </w:r>
            <w:r>
              <w:rPr>
                <w:rFonts w:hint="eastAsia"/>
                <w:sz w:val="21"/>
                <w:szCs w:val="21"/>
              </w:rPr>
              <w:t>15.电压：DC12V±10%；</w:t>
            </w:r>
            <w:r>
              <w:rPr>
                <w:rFonts w:hint="eastAsia"/>
                <w:sz w:val="21"/>
                <w:szCs w:val="21"/>
              </w:rPr>
              <w:br w:type="textWrapping"/>
            </w:r>
            <w:r>
              <w:rPr>
                <w:rFonts w:hint="eastAsia"/>
                <w:sz w:val="21"/>
                <w:szCs w:val="21"/>
              </w:rPr>
              <w:t>16.温度：-40℃~70℃。</w:t>
            </w:r>
          </w:p>
          <w:p>
            <w:pPr>
              <w:widowControl/>
              <w:spacing w:line="240" w:lineRule="auto"/>
              <w:ind w:firstLine="0" w:firstLineChars="0"/>
              <w:rPr>
                <w:rFonts w:hint="eastAsia" w:cs="宋体"/>
                <w:sz w:val="21"/>
                <w:szCs w:val="21"/>
              </w:rPr>
            </w:pPr>
            <w:r>
              <w:rPr>
                <w:rFonts w:hint="eastAsia" w:cs="宋体"/>
                <w:sz w:val="21"/>
                <w:szCs w:val="21"/>
              </w:rPr>
              <w:t>17.支持包括但不限于按照抓拍时间查询和存储时间查询两种或以上方式查询图片；</w:t>
            </w:r>
          </w:p>
          <w:p>
            <w:pPr>
              <w:pStyle w:val="2"/>
              <w:spacing w:line="240" w:lineRule="auto"/>
              <w:ind w:left="0" w:leftChars="0" w:firstLine="0" w:firstLineChars="0"/>
              <w:rPr>
                <w:rFonts w:hint="eastAsia"/>
                <w:sz w:val="21"/>
                <w:szCs w:val="21"/>
              </w:rPr>
            </w:pPr>
            <w:r>
              <w:rPr>
                <w:rFonts w:hint="eastAsia" w:cs="宋体"/>
                <w:color w:val="0000FF"/>
                <w:sz w:val="21"/>
                <w:szCs w:val="21"/>
              </w:rPr>
              <w:t>18.支持关联合成卡口重用，当抓拍到车辆在卡口有多种违法行为时，可以将多种违法图进行合成</w:t>
            </w:r>
            <w:r>
              <w:rPr>
                <w:rFonts w:hint="eastAsia" w:cs="宋体"/>
                <w:sz w:val="21"/>
                <w:szCs w:val="21"/>
              </w:rPr>
              <w:t>。</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48</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9</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智慧管控终端</w:t>
            </w:r>
          </w:p>
        </w:tc>
        <w:tc>
          <w:tcPr>
            <w:tcW w:w="3696" w:type="dxa"/>
            <w:vAlign w:val="center"/>
          </w:tcPr>
          <w:p>
            <w:pPr>
              <w:spacing w:line="240" w:lineRule="auto"/>
              <w:ind w:firstLine="0" w:firstLineChars="0"/>
              <w:rPr>
                <w:rFonts w:hint="eastAsia"/>
                <w:sz w:val="21"/>
                <w:szCs w:val="21"/>
              </w:rPr>
            </w:pPr>
            <w:r>
              <w:rPr>
                <w:rFonts w:hint="eastAsia"/>
                <w:sz w:val="21"/>
                <w:szCs w:val="21"/>
              </w:rPr>
              <w:t>1.存储容量：1块4TB存储硬盘，单机存储容量最大支持24TB；</w:t>
            </w:r>
            <w:r>
              <w:rPr>
                <w:rFonts w:hint="eastAsia"/>
                <w:sz w:val="21"/>
                <w:szCs w:val="21"/>
              </w:rPr>
              <w:br w:type="textWrapping"/>
            </w:r>
            <w:r>
              <w:rPr>
                <w:rFonts w:hint="eastAsia"/>
                <w:sz w:val="21"/>
                <w:szCs w:val="21"/>
              </w:rPr>
              <w:t>2.通道路：最大支持16路；</w:t>
            </w:r>
            <w:r>
              <w:rPr>
                <w:rFonts w:hint="eastAsia"/>
                <w:sz w:val="21"/>
                <w:szCs w:val="21"/>
              </w:rPr>
              <w:br w:type="textWrapping"/>
            </w:r>
            <w:r>
              <w:rPr>
                <w:rFonts w:hint="eastAsia"/>
                <w:sz w:val="21"/>
                <w:szCs w:val="21"/>
              </w:rPr>
              <w:t>3.接入视频格式：H.264、H.265；</w:t>
            </w:r>
            <w:r>
              <w:rPr>
                <w:rFonts w:hint="eastAsia"/>
                <w:sz w:val="21"/>
                <w:szCs w:val="21"/>
              </w:rPr>
              <w:br w:type="textWrapping"/>
            </w:r>
            <w:r>
              <w:rPr>
                <w:rFonts w:hint="eastAsia"/>
                <w:sz w:val="21"/>
                <w:szCs w:val="21"/>
              </w:rPr>
              <w:t>4.接入图片格式：JPEG；</w:t>
            </w:r>
            <w:r>
              <w:rPr>
                <w:rFonts w:hint="eastAsia"/>
                <w:sz w:val="21"/>
                <w:szCs w:val="21"/>
              </w:rPr>
              <w:br w:type="textWrapping"/>
            </w:r>
            <w:r>
              <w:rPr>
                <w:rFonts w:hint="eastAsia"/>
                <w:sz w:val="21"/>
                <w:szCs w:val="21"/>
              </w:rPr>
              <w:t>5.SATA接口：4个内部SATA，支持1/2/3/4/6TB，一个外置eSATA；</w:t>
            </w:r>
            <w:r>
              <w:rPr>
                <w:rFonts w:hint="eastAsia"/>
                <w:sz w:val="21"/>
                <w:szCs w:val="21"/>
              </w:rPr>
              <w:br w:type="textWrapping"/>
            </w:r>
            <w:r>
              <w:rPr>
                <w:rFonts w:hint="eastAsia"/>
                <w:sz w:val="21"/>
                <w:szCs w:val="21"/>
              </w:rPr>
              <w:t>6.视频输入：支持16路1080P/30fpsH264/H265解码；</w:t>
            </w:r>
            <w:r>
              <w:rPr>
                <w:rFonts w:hint="eastAsia"/>
                <w:sz w:val="21"/>
                <w:szCs w:val="21"/>
              </w:rPr>
              <w:br w:type="textWrapping"/>
            </w:r>
            <w:r>
              <w:rPr>
                <w:rFonts w:hint="eastAsia"/>
                <w:sz w:val="21"/>
                <w:szCs w:val="21"/>
              </w:rPr>
              <w:t>7.视频输出：1路CVBS，1路VGA，1路HDMI；</w:t>
            </w:r>
            <w:r>
              <w:rPr>
                <w:rFonts w:hint="eastAsia"/>
                <w:sz w:val="21"/>
                <w:szCs w:val="21"/>
              </w:rPr>
              <w:br w:type="textWrapping"/>
            </w:r>
            <w:r>
              <w:rPr>
                <w:rFonts w:hint="eastAsia"/>
                <w:sz w:val="21"/>
                <w:szCs w:val="21"/>
              </w:rPr>
              <w:t>8.网络接口：16个百兆网口；</w:t>
            </w:r>
            <w:r>
              <w:rPr>
                <w:rFonts w:hint="eastAsia"/>
                <w:sz w:val="21"/>
                <w:szCs w:val="21"/>
              </w:rPr>
              <w:br w:type="textWrapping"/>
            </w:r>
            <w:r>
              <w:rPr>
                <w:rFonts w:hint="eastAsia"/>
                <w:sz w:val="21"/>
                <w:szCs w:val="21"/>
              </w:rPr>
              <w:t>9.NTP校时：支持NTP网络校时；</w:t>
            </w:r>
            <w:r>
              <w:rPr>
                <w:rFonts w:hint="eastAsia"/>
                <w:sz w:val="21"/>
                <w:szCs w:val="21"/>
              </w:rPr>
              <w:br w:type="textWrapping"/>
            </w:r>
            <w:r>
              <w:rPr>
                <w:rFonts w:hint="eastAsia"/>
                <w:sz w:val="21"/>
                <w:szCs w:val="21"/>
              </w:rPr>
              <w:t>10.交互控制：支持web界面远程控制，本机界面操作；</w:t>
            </w:r>
            <w:r>
              <w:rPr>
                <w:rFonts w:hint="eastAsia"/>
                <w:sz w:val="21"/>
                <w:szCs w:val="21"/>
              </w:rPr>
              <w:br w:type="textWrapping"/>
            </w:r>
            <w:r>
              <w:rPr>
                <w:rFonts w:hint="eastAsia"/>
                <w:sz w:val="21"/>
                <w:szCs w:val="21"/>
              </w:rPr>
              <w:t>11.支持协议：ONVIF、GB28181、TCP/IP、UDP、RTSP、HTTP、GA/T1400；</w:t>
            </w:r>
            <w:r>
              <w:rPr>
                <w:rFonts w:hint="eastAsia"/>
                <w:sz w:val="21"/>
                <w:szCs w:val="21"/>
              </w:rPr>
              <w:br w:type="textWrapping"/>
            </w:r>
            <w:r>
              <w:rPr>
                <w:rFonts w:hint="eastAsia"/>
                <w:sz w:val="21"/>
                <w:szCs w:val="21"/>
              </w:rPr>
              <w:t>12.算法识别：支持车牌、车标、车型、车身颜色等；</w:t>
            </w:r>
            <w:r>
              <w:rPr>
                <w:rFonts w:hint="eastAsia"/>
                <w:sz w:val="21"/>
                <w:szCs w:val="21"/>
              </w:rPr>
              <w:br w:type="textWrapping"/>
            </w:r>
            <w:r>
              <w:rPr>
                <w:rFonts w:hint="eastAsia"/>
                <w:sz w:val="21"/>
                <w:szCs w:val="21"/>
              </w:rPr>
              <w:t>13.防水等级：IP41；</w:t>
            </w:r>
            <w:r>
              <w:rPr>
                <w:rFonts w:hint="eastAsia"/>
                <w:sz w:val="21"/>
                <w:szCs w:val="21"/>
              </w:rPr>
              <w:br w:type="textWrapping"/>
            </w:r>
            <w:r>
              <w:rPr>
                <w:rFonts w:hint="eastAsia"/>
                <w:sz w:val="21"/>
                <w:szCs w:val="21"/>
              </w:rPr>
              <w:t>14.散热：满足硬件功耗散热；</w:t>
            </w:r>
            <w:r>
              <w:rPr>
                <w:rFonts w:hint="eastAsia"/>
                <w:sz w:val="21"/>
                <w:szCs w:val="21"/>
              </w:rPr>
              <w:br w:type="textWrapping"/>
            </w:r>
            <w:r>
              <w:rPr>
                <w:rFonts w:hint="eastAsia"/>
                <w:sz w:val="21"/>
                <w:szCs w:val="21"/>
              </w:rPr>
              <w:t>15.电压：DC12V±10%；</w:t>
            </w:r>
            <w:r>
              <w:rPr>
                <w:rFonts w:hint="eastAsia"/>
                <w:sz w:val="21"/>
                <w:szCs w:val="21"/>
              </w:rPr>
              <w:br w:type="textWrapping"/>
            </w:r>
            <w:r>
              <w:rPr>
                <w:rFonts w:hint="eastAsia"/>
                <w:sz w:val="21"/>
                <w:szCs w:val="21"/>
              </w:rPr>
              <w:t>16.温度：-40℃~70℃。</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2</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10</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智能车辆感知一体机</w:t>
            </w:r>
          </w:p>
        </w:tc>
        <w:tc>
          <w:tcPr>
            <w:tcW w:w="3696" w:type="dxa"/>
            <w:vAlign w:val="center"/>
          </w:tcPr>
          <w:p>
            <w:pPr>
              <w:spacing w:line="240" w:lineRule="auto"/>
              <w:ind w:firstLine="0" w:firstLineChars="0"/>
              <w:rPr>
                <w:rFonts w:hint="eastAsia"/>
                <w:sz w:val="21"/>
                <w:szCs w:val="21"/>
              </w:rPr>
            </w:pPr>
            <w:r>
              <w:rPr>
                <w:rFonts w:hint="eastAsia"/>
                <w:sz w:val="21"/>
                <w:szCs w:val="21"/>
              </w:rPr>
              <w:t>1.组成：由主控单元、射频天线单元、视频感知单元、射频控制与处理单元、视频控制与处理单元等组成；2.气候环境适应性：工作温度-40℃~+75℃、相对湿度20％~93％(40℃)；3.设备状态管理：具备运行状态监控、参数配置、程序升级、日志记录等功能；4.电源：85VAC~264VAC，频率:50±2Hz；5.防护等级:IP65等级。6.工作频段：920MHz～925MHz，定频、跳频可配置；7.空中接口协议：符合GB/T29768-2013规定要求；8.通信接口：主控单元具备通信接口，通信接口符合GB/T35786-2017中的5.1.6的要求；9.射频接口：射频接口连接器符合GB/T11313.16的要求；10.射频输出功率可调(+15至30dBm)；11.射频静态读距离：≥25m；12.接收灵敏度：≤-65dBm；13.身份信息识读：能同时识读机动车的车辆身份标识符以及电动自行车的车辆身份标识符和号牌号码；14.射频触发：识别设备通过射频识别读到车辆身份标识符时，能触发抓拍车辆图像；15.多目标识读：能准确识读同一时段内的至少10辆电动自行车的车辆身份标识符；16.采用1英寸900万像素高帧率彩色全局曝光CMOS高清智能摄像机，最大分辨率可达4096×2160，帧率25帧；</w:t>
            </w:r>
          </w:p>
          <w:p>
            <w:pPr>
              <w:spacing w:line="240" w:lineRule="auto"/>
              <w:ind w:firstLine="0" w:firstLineChars="0"/>
              <w:rPr>
                <w:rFonts w:hint="eastAsia"/>
                <w:sz w:val="21"/>
                <w:szCs w:val="21"/>
              </w:rPr>
            </w:pPr>
            <w:r>
              <w:rPr>
                <w:rFonts w:hint="eastAsia"/>
                <w:sz w:val="21"/>
                <w:szCs w:val="21"/>
              </w:rPr>
              <w:t>17.输出图片格式：JPEG；</w:t>
            </w:r>
          </w:p>
          <w:p>
            <w:pPr>
              <w:spacing w:line="240" w:lineRule="auto"/>
              <w:ind w:firstLine="0" w:firstLineChars="0"/>
              <w:rPr>
                <w:rFonts w:hint="eastAsia"/>
                <w:sz w:val="21"/>
                <w:szCs w:val="21"/>
              </w:rPr>
            </w:pPr>
            <w:r>
              <w:rPr>
                <w:rFonts w:hint="eastAsia"/>
                <w:sz w:val="21"/>
                <w:szCs w:val="21"/>
              </w:rPr>
              <w:t>18.支持非机动车车牌识别和违法行为抓拍，主要包括非占机、闯红灯、逆行、载人、未戴头盔、加装伞棚、闯禁行等违法行为的智能识别；</w:t>
            </w:r>
          </w:p>
          <w:p>
            <w:pPr>
              <w:spacing w:line="240" w:lineRule="auto"/>
              <w:ind w:firstLine="0" w:firstLineChars="0"/>
              <w:rPr>
                <w:rFonts w:hint="eastAsia"/>
                <w:sz w:val="21"/>
                <w:szCs w:val="21"/>
              </w:rPr>
            </w:pPr>
            <w:r>
              <w:rPr>
                <w:rFonts w:hint="eastAsia"/>
                <w:sz w:val="21"/>
                <w:szCs w:val="21"/>
              </w:rPr>
              <w:t>19.电动自行车轨迹跟踪：支持在其视频识别范围内对电动自行车通行轨迹进行跟踪的同时识读身份信息；</w:t>
            </w:r>
          </w:p>
          <w:p>
            <w:pPr>
              <w:spacing w:line="240" w:lineRule="auto"/>
              <w:ind w:firstLine="0" w:firstLineChars="0"/>
              <w:rPr>
                <w:rFonts w:hint="eastAsia"/>
                <w:sz w:val="21"/>
                <w:szCs w:val="21"/>
              </w:rPr>
            </w:pPr>
            <w:r>
              <w:rPr>
                <w:rFonts w:hint="eastAsia"/>
                <w:sz w:val="21"/>
                <w:szCs w:val="21"/>
              </w:rPr>
              <w:t>20.支持对涂改号牌、遮挡号牌、假牌违法等数据过滤；</w:t>
            </w:r>
          </w:p>
          <w:p>
            <w:pPr>
              <w:spacing w:line="240" w:lineRule="auto"/>
              <w:ind w:firstLine="0" w:firstLineChars="0"/>
              <w:rPr>
                <w:rFonts w:hint="eastAsia"/>
                <w:sz w:val="21"/>
                <w:szCs w:val="21"/>
              </w:rPr>
            </w:pPr>
            <w:r>
              <w:rPr>
                <w:rFonts w:hint="eastAsia"/>
                <w:sz w:val="21"/>
                <w:szCs w:val="21"/>
              </w:rPr>
              <w:t>21.脱机工作：在网络通信中断情况下，能采用循环覆盖的方式存储信息，通信恢复后能将识别设备中存储的信息及时上传；</w:t>
            </w:r>
          </w:p>
          <w:p>
            <w:pPr>
              <w:spacing w:line="240" w:lineRule="auto"/>
              <w:ind w:firstLine="0" w:firstLineChars="0"/>
              <w:rPr>
                <w:rFonts w:hint="eastAsia"/>
                <w:sz w:val="21"/>
                <w:szCs w:val="21"/>
              </w:rPr>
            </w:pPr>
            <w:r>
              <w:rPr>
                <w:rFonts w:hint="eastAsia"/>
                <w:sz w:val="21"/>
                <w:szCs w:val="21"/>
              </w:rPr>
              <w:t>22.内含公安部授权安全模块，采用SM7加密技术实现双向认证和加、解密功能；</w:t>
            </w:r>
          </w:p>
          <w:p>
            <w:pPr>
              <w:spacing w:line="240" w:lineRule="auto"/>
              <w:ind w:firstLine="0" w:firstLineChars="0"/>
              <w:rPr>
                <w:rFonts w:hint="eastAsia"/>
                <w:sz w:val="21"/>
                <w:szCs w:val="21"/>
              </w:rPr>
            </w:pPr>
            <w:r>
              <w:rPr>
                <w:rFonts w:hint="eastAsia"/>
                <w:sz w:val="21"/>
                <w:szCs w:val="21"/>
              </w:rPr>
              <w:t>23.符合GB35114-2017的要求。</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5</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11</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生态光学补光灯</w:t>
            </w:r>
          </w:p>
        </w:tc>
        <w:tc>
          <w:tcPr>
            <w:tcW w:w="3696" w:type="dxa"/>
            <w:vAlign w:val="center"/>
          </w:tcPr>
          <w:p>
            <w:pPr>
              <w:spacing w:line="240" w:lineRule="auto"/>
              <w:ind w:firstLine="0" w:firstLineChars="0"/>
              <w:rPr>
                <w:rFonts w:hint="eastAsia"/>
                <w:sz w:val="21"/>
                <w:szCs w:val="21"/>
              </w:rPr>
            </w:pPr>
            <w:r>
              <w:rPr>
                <w:rFonts w:hint="eastAsia"/>
                <w:sz w:val="21"/>
                <w:szCs w:val="21"/>
              </w:rPr>
              <w:t>光源颗数：12*PCSLED</w:t>
            </w:r>
            <w:r>
              <w:rPr>
                <w:rFonts w:hint="eastAsia"/>
                <w:sz w:val="21"/>
                <w:szCs w:val="21"/>
              </w:rPr>
              <w:br w:type="textWrapping"/>
            </w:r>
            <w:r>
              <w:rPr>
                <w:rFonts w:hint="eastAsia"/>
                <w:sz w:val="21"/>
                <w:szCs w:val="21"/>
              </w:rPr>
              <w:t>输入电压：AC100~240V</w:t>
            </w:r>
            <w:r>
              <w:rPr>
                <w:rFonts w:hint="eastAsia"/>
                <w:sz w:val="21"/>
                <w:szCs w:val="21"/>
              </w:rPr>
              <w:br w:type="textWrapping"/>
            </w:r>
            <w:r>
              <w:rPr>
                <w:rFonts w:hint="eastAsia"/>
                <w:sz w:val="21"/>
                <w:szCs w:val="21"/>
              </w:rPr>
              <w:t>额定功率：35W</w:t>
            </w:r>
            <w:r>
              <w:rPr>
                <w:rFonts w:hint="eastAsia"/>
                <w:sz w:val="21"/>
                <w:szCs w:val="21"/>
              </w:rPr>
              <w:br w:type="textWrapping"/>
            </w:r>
            <w:r>
              <w:rPr>
                <w:rFonts w:hint="eastAsia"/>
                <w:sz w:val="21"/>
                <w:szCs w:val="21"/>
              </w:rPr>
              <w:t>系统光效：100lm/W</w:t>
            </w:r>
            <w:r>
              <w:rPr>
                <w:rFonts w:hint="eastAsia"/>
                <w:sz w:val="21"/>
                <w:szCs w:val="21"/>
              </w:rPr>
              <w:br w:type="textWrapping"/>
            </w:r>
            <w:r>
              <w:rPr>
                <w:rFonts w:hint="eastAsia"/>
                <w:sz w:val="21"/>
                <w:szCs w:val="21"/>
              </w:rPr>
              <w:t>光通量：3600lm</w:t>
            </w:r>
            <w:r>
              <w:rPr>
                <w:rFonts w:hint="eastAsia"/>
                <w:sz w:val="21"/>
                <w:szCs w:val="21"/>
              </w:rPr>
              <w:br w:type="textWrapping"/>
            </w:r>
            <w:r>
              <w:rPr>
                <w:rFonts w:hint="eastAsia"/>
                <w:sz w:val="21"/>
                <w:szCs w:val="21"/>
              </w:rPr>
              <w:t>色温：3000K</w:t>
            </w:r>
            <w:r>
              <w:rPr>
                <w:rFonts w:hint="eastAsia"/>
                <w:sz w:val="21"/>
                <w:szCs w:val="21"/>
              </w:rPr>
              <w:br w:type="textWrapping"/>
            </w:r>
            <w:r>
              <w:rPr>
                <w:rFonts w:hint="eastAsia"/>
                <w:sz w:val="21"/>
                <w:szCs w:val="21"/>
              </w:rPr>
              <w:t>显色指数：Ra≥70</w:t>
            </w:r>
            <w:r>
              <w:rPr>
                <w:rFonts w:hint="eastAsia"/>
                <w:sz w:val="21"/>
                <w:szCs w:val="21"/>
              </w:rPr>
              <w:br w:type="textWrapping"/>
            </w:r>
            <w:r>
              <w:rPr>
                <w:rFonts w:hint="eastAsia"/>
                <w:sz w:val="21"/>
                <w:szCs w:val="21"/>
              </w:rPr>
              <w:t>调光方式：RS485</w:t>
            </w:r>
            <w:r>
              <w:rPr>
                <w:rFonts w:hint="eastAsia"/>
                <w:sz w:val="21"/>
                <w:szCs w:val="21"/>
              </w:rPr>
              <w:br w:type="textWrapping"/>
            </w:r>
            <w:r>
              <w:rPr>
                <w:rFonts w:hint="eastAsia"/>
                <w:sz w:val="21"/>
                <w:szCs w:val="21"/>
              </w:rPr>
              <w:t>工作环境温度：-40℃~+55℃</w:t>
            </w:r>
            <w:r>
              <w:rPr>
                <w:rFonts w:hint="eastAsia"/>
                <w:sz w:val="21"/>
                <w:szCs w:val="21"/>
              </w:rPr>
              <w:br w:type="textWrapping"/>
            </w:r>
            <w:r>
              <w:rPr>
                <w:rFonts w:hint="eastAsia"/>
                <w:sz w:val="21"/>
                <w:szCs w:val="21"/>
              </w:rPr>
              <w:t>工作环境湿度：10~95%RH</w:t>
            </w:r>
            <w:r>
              <w:rPr>
                <w:rFonts w:hint="eastAsia"/>
                <w:sz w:val="21"/>
                <w:szCs w:val="21"/>
              </w:rPr>
              <w:br w:type="textWrapping"/>
            </w:r>
            <w:r>
              <w:rPr>
                <w:rFonts w:hint="eastAsia"/>
                <w:sz w:val="21"/>
                <w:szCs w:val="21"/>
              </w:rPr>
              <w:t>外壳颜色：银灰色</w:t>
            </w:r>
            <w:r>
              <w:rPr>
                <w:rFonts w:hint="eastAsia"/>
                <w:sz w:val="21"/>
                <w:szCs w:val="21"/>
              </w:rPr>
              <w:br w:type="textWrapping"/>
            </w:r>
            <w:r>
              <w:rPr>
                <w:rFonts w:hint="eastAsia"/>
                <w:sz w:val="21"/>
                <w:szCs w:val="21"/>
              </w:rPr>
              <w:t>主体材料：铝合金框架+陶瓷散热体</w:t>
            </w:r>
            <w:r>
              <w:rPr>
                <w:rFonts w:hint="eastAsia"/>
                <w:sz w:val="21"/>
                <w:szCs w:val="21"/>
              </w:rPr>
              <w:br w:type="textWrapping"/>
            </w:r>
            <w:r>
              <w:rPr>
                <w:rFonts w:hint="eastAsia"/>
                <w:sz w:val="21"/>
                <w:szCs w:val="21"/>
              </w:rPr>
              <w:t>防护等级：IP66</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127</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12</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生态频闪补光灯</w:t>
            </w:r>
          </w:p>
        </w:tc>
        <w:tc>
          <w:tcPr>
            <w:tcW w:w="3696" w:type="dxa"/>
            <w:vAlign w:val="center"/>
          </w:tcPr>
          <w:p>
            <w:pPr>
              <w:spacing w:line="240" w:lineRule="auto"/>
              <w:ind w:firstLine="0" w:firstLineChars="0"/>
              <w:rPr>
                <w:rFonts w:hint="eastAsia"/>
                <w:sz w:val="21"/>
                <w:szCs w:val="21"/>
              </w:rPr>
            </w:pPr>
            <w:r>
              <w:rPr>
                <w:rFonts w:hint="eastAsia"/>
                <w:sz w:val="21"/>
                <w:szCs w:val="21"/>
              </w:rPr>
              <w:t>光源类型：16颗优质大功率LED发光角度10°覆盖范围：单车道环境补光灯最佳补光范围16米～25米触发方式：4V~6V电平量触发基准轴的峰值光照度≤300lx，平均光照度≤50lx持续点亮，基准轴的光照度≤50lx色温≤4000K设备光辐射安全性能符合GB/T37958-2019规定的1类危险要求触发信号：频率15~250HZ，占空比1%~39%，响应时间小于20US工作温度：温度-30℃~70℃电源：220VAC±10%工作湿度：湿度5%~95%@40℃，无凝结功耗：35WMAX防护等级：IP66须符合GA/T1202-2022《交通技术监控成像补光装置通用技术条件》</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5</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13</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多合1生态智能补光灯</w:t>
            </w:r>
          </w:p>
        </w:tc>
        <w:tc>
          <w:tcPr>
            <w:tcW w:w="3696" w:type="dxa"/>
            <w:vAlign w:val="center"/>
          </w:tcPr>
          <w:p>
            <w:pPr>
              <w:spacing w:line="240" w:lineRule="auto"/>
              <w:ind w:firstLine="420"/>
              <w:rPr>
                <w:rFonts w:hint="eastAsia"/>
                <w:sz w:val="21"/>
                <w:szCs w:val="21"/>
              </w:rPr>
            </w:pPr>
            <w:r>
              <w:rPr>
                <w:rFonts w:hint="eastAsia"/>
                <w:sz w:val="21"/>
                <w:szCs w:val="21"/>
              </w:rPr>
              <w:t>光照度：可见光基准轴上光照度：补光区域内光斑应均匀、无暗区、无明显抖动；补光区域边缘的光照度应大于或等于基准轴上光照度的50%；在基准轴上、下7.5°范围外，光照度应小于或等于5lx。红外补光基准轴上光照度：距离红外型补光装置20m处，基准轴上辐照度应大于或等于3000uW/cm；补光区域内的辐照度应大于或等于基准轴上辐照度的50%。</w:t>
            </w:r>
            <w:r>
              <w:rPr>
                <w:rFonts w:hint="eastAsia"/>
                <w:sz w:val="21"/>
                <w:szCs w:val="21"/>
              </w:rPr>
              <w:br w:type="textWrapping"/>
            </w:r>
            <w:r>
              <w:rPr>
                <w:rFonts w:hint="eastAsia"/>
                <w:sz w:val="21"/>
                <w:szCs w:val="21"/>
              </w:rPr>
              <w:t>光源类型：可见光或红外，可见光光型不少于24颗LED</w:t>
            </w:r>
            <w:r>
              <w:rPr>
                <w:rFonts w:hint="eastAsia"/>
                <w:sz w:val="21"/>
                <w:szCs w:val="21"/>
              </w:rPr>
              <w:br w:type="textWrapping"/>
            </w:r>
            <w:r>
              <w:rPr>
                <w:rFonts w:hint="eastAsia"/>
                <w:sz w:val="21"/>
                <w:szCs w:val="21"/>
              </w:rPr>
              <w:t>满足《GA/T1202-2022交通技术监控成像补光装置通用技术条件》</w:t>
            </w:r>
            <w:r>
              <w:rPr>
                <w:rFonts w:hint="eastAsia"/>
                <w:sz w:val="21"/>
                <w:szCs w:val="21"/>
              </w:rPr>
              <w:br w:type="textWrapping"/>
            </w:r>
            <w:r>
              <w:rPr>
                <w:rFonts w:hint="eastAsia"/>
                <w:sz w:val="21"/>
                <w:szCs w:val="21"/>
              </w:rPr>
              <w:t>补光方式：频闪型、脉冲型和持续点亮型</w:t>
            </w:r>
            <w:r>
              <w:rPr>
                <w:rFonts w:hint="eastAsia"/>
                <w:sz w:val="21"/>
                <w:szCs w:val="21"/>
              </w:rPr>
              <w:br w:type="textWrapping"/>
            </w:r>
            <w:r>
              <w:rPr>
                <w:rFonts w:hint="eastAsia"/>
                <w:sz w:val="21"/>
                <w:szCs w:val="21"/>
              </w:rPr>
              <w:t>色温：气体爆闪色温应小于7000K,LED光源色温应处于2800K~5500K范围内，红外型补光装置光源的波段应在680nm~2500nm范围内。</w:t>
            </w:r>
            <w:r>
              <w:rPr>
                <w:rFonts w:hint="eastAsia"/>
                <w:sz w:val="21"/>
                <w:szCs w:val="21"/>
              </w:rPr>
              <w:br w:type="textWrapping"/>
            </w:r>
            <w:r>
              <w:rPr>
                <w:rFonts w:hint="eastAsia"/>
                <w:sz w:val="21"/>
                <w:szCs w:val="21"/>
              </w:rPr>
              <w:t>峰值闪光持续时间：≤1/3ms</w:t>
            </w:r>
            <w:r>
              <w:rPr>
                <w:rFonts w:hint="eastAsia"/>
                <w:sz w:val="21"/>
                <w:szCs w:val="21"/>
              </w:rPr>
              <w:br w:type="textWrapping"/>
            </w:r>
            <w:r>
              <w:rPr>
                <w:rFonts w:hint="eastAsia"/>
                <w:sz w:val="21"/>
                <w:szCs w:val="21"/>
              </w:rPr>
              <w:t>回电时间：≤60ms</w:t>
            </w:r>
            <w:r>
              <w:rPr>
                <w:rFonts w:hint="eastAsia"/>
                <w:sz w:val="21"/>
                <w:szCs w:val="21"/>
              </w:rPr>
              <w:br w:type="textWrapping"/>
            </w:r>
            <w:r>
              <w:rPr>
                <w:rFonts w:hint="eastAsia"/>
                <w:sz w:val="21"/>
                <w:szCs w:val="21"/>
              </w:rPr>
              <w:t>最佳补光距离：应处于15～30米范围</w:t>
            </w:r>
            <w:r>
              <w:rPr>
                <w:rFonts w:hint="eastAsia"/>
                <w:sz w:val="21"/>
                <w:szCs w:val="21"/>
              </w:rPr>
              <w:br w:type="textWrapping"/>
            </w:r>
            <w:r>
              <w:rPr>
                <w:rFonts w:hint="eastAsia"/>
                <w:sz w:val="21"/>
                <w:szCs w:val="21"/>
              </w:rPr>
              <w:t>工作寿命：≥1000万次</w:t>
            </w:r>
            <w:r>
              <w:rPr>
                <w:rFonts w:hint="eastAsia"/>
                <w:sz w:val="21"/>
                <w:szCs w:val="21"/>
              </w:rPr>
              <w:br w:type="textWrapping"/>
            </w:r>
            <w:r>
              <w:rPr>
                <w:rFonts w:hint="eastAsia"/>
                <w:sz w:val="21"/>
                <w:szCs w:val="21"/>
              </w:rPr>
              <w:t>RS485串口功能：支持RS485参数调节和软件升级功能</w:t>
            </w:r>
            <w:r>
              <w:rPr>
                <w:rFonts w:hint="eastAsia"/>
                <w:sz w:val="21"/>
                <w:szCs w:val="21"/>
              </w:rPr>
              <w:br w:type="textWrapping"/>
            </w:r>
            <w:r>
              <w:rPr>
                <w:rFonts w:hint="eastAsia"/>
                <w:sz w:val="21"/>
                <w:szCs w:val="21"/>
              </w:rPr>
              <w:t>误触发保护功能：支持误触发保护功能</w:t>
            </w:r>
            <w:r>
              <w:rPr>
                <w:rFonts w:hint="eastAsia"/>
                <w:sz w:val="21"/>
                <w:szCs w:val="21"/>
              </w:rPr>
              <w:br w:type="textWrapping"/>
            </w:r>
            <w:r>
              <w:rPr>
                <w:rFonts w:hint="eastAsia"/>
                <w:sz w:val="21"/>
                <w:szCs w:val="21"/>
              </w:rPr>
              <w:t>闪光计次功能：支持闪光计次功能</w:t>
            </w:r>
            <w:r>
              <w:rPr>
                <w:rFonts w:hint="eastAsia"/>
                <w:sz w:val="21"/>
                <w:szCs w:val="21"/>
              </w:rPr>
              <w:br w:type="textWrapping"/>
            </w:r>
            <w:r>
              <w:rPr>
                <w:rFonts w:hint="eastAsia"/>
                <w:sz w:val="21"/>
                <w:szCs w:val="21"/>
              </w:rPr>
              <w:t>防护等级：不低于IP65</w:t>
            </w:r>
            <w:r>
              <w:rPr>
                <w:rFonts w:hint="eastAsia"/>
                <w:sz w:val="21"/>
                <w:szCs w:val="21"/>
              </w:rPr>
              <w:br w:type="textWrapping"/>
            </w:r>
            <w:r>
              <w:rPr>
                <w:rFonts w:hint="eastAsia"/>
                <w:sz w:val="21"/>
                <w:szCs w:val="21"/>
              </w:rPr>
              <w:t>工作环境温度：-40℃～70℃</w:t>
            </w:r>
            <w:r>
              <w:rPr>
                <w:rFonts w:hint="eastAsia"/>
                <w:sz w:val="21"/>
                <w:szCs w:val="21"/>
              </w:rPr>
              <w:br w:type="textWrapping"/>
            </w:r>
            <w:r>
              <w:rPr>
                <w:rFonts w:hint="eastAsia"/>
                <w:sz w:val="21"/>
                <w:szCs w:val="21"/>
              </w:rPr>
              <w:t>工作电压：AC220V±20%、50HZ</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155</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2" w:type="dxa"/>
            <w:gridSpan w:val="5"/>
            <w:vAlign w:val="center"/>
          </w:tcPr>
          <w:p>
            <w:pPr>
              <w:spacing w:line="240" w:lineRule="auto"/>
              <w:ind w:firstLine="0" w:firstLineChars="0"/>
              <w:rPr>
                <w:rFonts w:hint="eastAsia"/>
                <w:sz w:val="21"/>
                <w:szCs w:val="21"/>
              </w:rPr>
            </w:pPr>
            <w:r>
              <w:rPr>
                <w:rFonts w:hint="eastAsia"/>
                <w:b/>
                <w:bCs/>
                <w:sz w:val="21"/>
                <w:szCs w:val="21"/>
              </w:rPr>
              <w:t>二、配套设施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1</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壁装横臂</w:t>
            </w:r>
          </w:p>
        </w:tc>
        <w:tc>
          <w:tcPr>
            <w:tcW w:w="3696" w:type="dxa"/>
            <w:vAlign w:val="center"/>
          </w:tcPr>
          <w:p>
            <w:pPr>
              <w:spacing w:line="240" w:lineRule="auto"/>
              <w:ind w:firstLine="0" w:firstLineChars="0"/>
              <w:rPr>
                <w:rFonts w:hint="eastAsia"/>
                <w:sz w:val="21"/>
                <w:szCs w:val="21"/>
              </w:rPr>
            </w:pPr>
            <w:r>
              <w:rPr>
                <w:rFonts w:hint="eastAsia"/>
                <w:sz w:val="21"/>
                <w:szCs w:val="21"/>
              </w:rPr>
              <w:t>0.5米-3米，具体根据现场来定，主横臂Φ80mm*Φ80mm*3mm*XXXXmm（具体长度以现场具体测量而定），连接法兰，150*150*10mm，全套热浸镀锌表面加喷白色烤漆。</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120</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2</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标线</w:t>
            </w:r>
          </w:p>
        </w:tc>
        <w:tc>
          <w:tcPr>
            <w:tcW w:w="3696" w:type="dxa"/>
            <w:vAlign w:val="center"/>
          </w:tcPr>
          <w:p>
            <w:pPr>
              <w:spacing w:line="240" w:lineRule="auto"/>
              <w:ind w:firstLine="0" w:firstLineChars="0"/>
              <w:rPr>
                <w:rFonts w:hint="eastAsia"/>
                <w:sz w:val="21"/>
                <w:szCs w:val="21"/>
              </w:rPr>
            </w:pPr>
            <w:r>
              <w:rPr>
                <w:rFonts w:hint="eastAsia"/>
                <w:sz w:val="21"/>
                <w:szCs w:val="21"/>
              </w:rPr>
              <w:t>标线</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14240</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m</w:t>
            </w:r>
            <w:r>
              <w:rPr>
                <w:rFonts w:hint="eastAsia"/>
                <w:sz w:val="21"/>
                <w:szCs w:val="21"/>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3</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补光设备绝缘导线</w:t>
            </w:r>
          </w:p>
        </w:tc>
        <w:tc>
          <w:tcPr>
            <w:tcW w:w="3696" w:type="dxa"/>
            <w:vAlign w:val="center"/>
          </w:tcPr>
          <w:p>
            <w:pPr>
              <w:spacing w:line="240" w:lineRule="auto"/>
              <w:ind w:firstLine="0" w:firstLineChars="0"/>
              <w:rPr>
                <w:rFonts w:hint="eastAsia"/>
                <w:sz w:val="21"/>
                <w:szCs w:val="21"/>
              </w:rPr>
            </w:pPr>
            <w:r>
              <w:rPr>
                <w:rFonts w:hint="eastAsia"/>
                <w:sz w:val="21"/>
                <w:szCs w:val="21"/>
              </w:rPr>
              <w:t>1.名称:绝缘导线；2.型号:RVVP2*1.0mm²；3.从监控设备到设备箱。</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4350</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4</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穿线手井</w:t>
            </w:r>
          </w:p>
        </w:tc>
        <w:tc>
          <w:tcPr>
            <w:tcW w:w="3696" w:type="dxa"/>
            <w:vAlign w:val="center"/>
          </w:tcPr>
          <w:p>
            <w:pPr>
              <w:spacing w:line="240" w:lineRule="auto"/>
              <w:ind w:firstLine="0" w:firstLineChars="0"/>
              <w:rPr>
                <w:rFonts w:hint="eastAsia"/>
                <w:sz w:val="21"/>
                <w:szCs w:val="21"/>
              </w:rPr>
            </w:pPr>
            <w:r>
              <w:rPr>
                <w:rFonts w:hint="eastAsia"/>
                <w:sz w:val="21"/>
                <w:szCs w:val="21"/>
              </w:rPr>
              <w:t>1.名称:接线工作井</w:t>
            </w:r>
            <w:r>
              <w:rPr>
                <w:rFonts w:hint="eastAsia"/>
                <w:sz w:val="21"/>
                <w:szCs w:val="21"/>
              </w:rPr>
              <w:br w:type="textWrapping"/>
            </w:r>
            <w:r>
              <w:rPr>
                <w:rFonts w:hint="eastAsia"/>
                <w:sz w:val="21"/>
                <w:szCs w:val="21"/>
              </w:rPr>
              <w:t>2.砌筑材料品种、规格、强度等级:井深采用M7.5砌筑，标准砖240</w:t>
            </w:r>
            <w:r>
              <w:rPr>
                <w:rFonts w:hint="eastAsia"/>
                <w:sz w:val="21"/>
                <w:szCs w:val="21"/>
                <w:lang w:val="en-US" w:eastAsia="zh-CN"/>
              </w:rPr>
              <w:t>mm</w:t>
            </w:r>
            <w:r>
              <w:rPr>
                <w:rFonts w:hint="eastAsia"/>
                <w:sz w:val="21"/>
                <w:szCs w:val="21"/>
              </w:rPr>
              <w:t>*115</w:t>
            </w:r>
            <w:r>
              <w:rPr>
                <w:rFonts w:hint="eastAsia"/>
                <w:sz w:val="21"/>
                <w:szCs w:val="21"/>
                <w:lang w:val="en-US" w:eastAsia="zh-CN"/>
              </w:rPr>
              <w:t>mm</w:t>
            </w:r>
            <w:r>
              <w:rPr>
                <w:rFonts w:hint="eastAsia"/>
                <w:sz w:val="21"/>
                <w:szCs w:val="21"/>
              </w:rPr>
              <w:t>*53</w:t>
            </w:r>
            <w:r>
              <w:rPr>
                <w:rFonts w:hint="eastAsia"/>
                <w:sz w:val="21"/>
                <w:szCs w:val="21"/>
                <w:lang w:val="en-US" w:eastAsia="zh-CN"/>
              </w:rPr>
              <w:t>mm</w:t>
            </w:r>
            <w:r>
              <w:rPr>
                <w:rFonts w:hint="eastAsia"/>
                <w:sz w:val="21"/>
                <w:szCs w:val="21"/>
              </w:rPr>
              <w:t>、240mm厚</w:t>
            </w:r>
            <w:r>
              <w:rPr>
                <w:rFonts w:hint="eastAsia"/>
                <w:sz w:val="21"/>
                <w:szCs w:val="21"/>
              </w:rPr>
              <w:br w:type="textWrapping"/>
            </w:r>
            <w:r>
              <w:rPr>
                <w:rFonts w:hint="eastAsia"/>
                <w:sz w:val="21"/>
                <w:szCs w:val="21"/>
              </w:rPr>
              <w:t>3.勾缝、抹面要求:井内1:2.5水泥砂浆抹灰</w:t>
            </w:r>
            <w:r>
              <w:rPr>
                <w:rFonts w:hint="eastAsia"/>
                <w:sz w:val="21"/>
                <w:szCs w:val="21"/>
              </w:rPr>
              <w:br w:type="textWrapping"/>
            </w:r>
            <w:r>
              <w:rPr>
                <w:rFonts w:hint="eastAsia"/>
                <w:sz w:val="21"/>
                <w:szCs w:val="21"/>
              </w:rPr>
              <w:t>4.井盖、井圈材质及规格:C25钢筋混凝土500mm*500mm</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88</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5</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电表</w:t>
            </w:r>
          </w:p>
        </w:tc>
        <w:tc>
          <w:tcPr>
            <w:tcW w:w="3696" w:type="dxa"/>
            <w:vAlign w:val="center"/>
          </w:tcPr>
          <w:p>
            <w:pPr>
              <w:spacing w:line="240" w:lineRule="auto"/>
              <w:ind w:firstLine="0" w:firstLineChars="0"/>
              <w:rPr>
                <w:rFonts w:hint="eastAsia"/>
                <w:sz w:val="21"/>
                <w:szCs w:val="21"/>
              </w:rPr>
            </w:pPr>
            <w:r>
              <w:rPr>
                <w:rFonts w:hint="eastAsia"/>
                <w:sz w:val="21"/>
                <w:szCs w:val="21"/>
              </w:rPr>
              <w:t>16A</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114</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6</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电表箱</w:t>
            </w:r>
          </w:p>
        </w:tc>
        <w:tc>
          <w:tcPr>
            <w:tcW w:w="3696" w:type="dxa"/>
            <w:vAlign w:val="center"/>
          </w:tcPr>
          <w:p>
            <w:pPr>
              <w:spacing w:line="240" w:lineRule="auto"/>
              <w:ind w:firstLine="0" w:firstLineChars="0"/>
              <w:rPr>
                <w:rFonts w:hint="eastAsia"/>
                <w:sz w:val="21"/>
                <w:szCs w:val="21"/>
              </w:rPr>
            </w:pPr>
            <w:r>
              <w:rPr>
                <w:rFonts w:hint="eastAsia"/>
                <w:sz w:val="21"/>
                <w:szCs w:val="21"/>
              </w:rPr>
              <w:t>防水耐高温电表箱160mm*330mm</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114</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7</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电警管理平台软件授权</w:t>
            </w:r>
          </w:p>
        </w:tc>
        <w:tc>
          <w:tcPr>
            <w:tcW w:w="3696" w:type="dxa"/>
            <w:vAlign w:val="center"/>
          </w:tcPr>
          <w:p>
            <w:pPr>
              <w:spacing w:line="240" w:lineRule="auto"/>
              <w:ind w:firstLine="0" w:firstLineChars="0"/>
              <w:rPr>
                <w:rFonts w:hint="eastAsia"/>
                <w:sz w:val="21"/>
                <w:szCs w:val="21"/>
              </w:rPr>
            </w:pPr>
            <w:r>
              <w:rPr>
                <w:rFonts w:hint="eastAsia"/>
                <w:sz w:val="21"/>
                <w:szCs w:val="21"/>
              </w:rPr>
              <w:t>1、实现前端违法取证抓拍设备的接入管理；</w:t>
            </w:r>
          </w:p>
          <w:p>
            <w:pPr>
              <w:spacing w:line="240" w:lineRule="auto"/>
              <w:ind w:firstLine="0" w:firstLineChars="0"/>
              <w:rPr>
                <w:rFonts w:hint="eastAsia"/>
                <w:sz w:val="21"/>
                <w:szCs w:val="21"/>
              </w:rPr>
            </w:pPr>
            <w:r>
              <w:rPr>
                <w:rFonts w:hint="eastAsia"/>
                <w:sz w:val="21"/>
                <w:szCs w:val="21"/>
              </w:rPr>
              <w:t>2、实现前端违法取证抓拍数据自动写入；</w:t>
            </w:r>
          </w:p>
          <w:p>
            <w:pPr>
              <w:spacing w:line="240" w:lineRule="auto"/>
              <w:ind w:firstLine="0" w:firstLineChars="0"/>
              <w:rPr>
                <w:rFonts w:hint="eastAsia"/>
                <w:sz w:val="21"/>
                <w:szCs w:val="21"/>
              </w:rPr>
            </w:pPr>
            <w:r>
              <w:rPr>
                <w:rFonts w:hint="eastAsia"/>
                <w:sz w:val="21"/>
                <w:szCs w:val="21"/>
              </w:rPr>
              <w:t>3、支持违法取证抓拍数据的查询；</w:t>
            </w:r>
          </w:p>
          <w:p>
            <w:pPr>
              <w:spacing w:line="240" w:lineRule="auto"/>
              <w:ind w:firstLine="0" w:firstLineChars="0"/>
              <w:rPr>
                <w:rFonts w:hint="eastAsia"/>
                <w:sz w:val="21"/>
                <w:szCs w:val="21"/>
              </w:rPr>
            </w:pPr>
            <w:r>
              <w:rPr>
                <w:rFonts w:hint="eastAsia"/>
                <w:sz w:val="21"/>
                <w:szCs w:val="21"/>
              </w:rPr>
              <w:t>4、实现违法取证抓拍数据自动推送。</w:t>
            </w:r>
          </w:p>
          <w:p>
            <w:pPr>
              <w:spacing w:line="240" w:lineRule="auto"/>
              <w:ind w:firstLine="0" w:firstLineChars="0"/>
              <w:rPr>
                <w:rFonts w:hint="eastAsia"/>
                <w:sz w:val="21"/>
                <w:szCs w:val="21"/>
              </w:rPr>
            </w:pPr>
            <w:r>
              <w:rPr>
                <w:rFonts w:hint="eastAsia"/>
                <w:sz w:val="21"/>
                <w:szCs w:val="21"/>
              </w:rPr>
              <w:t>5、运维平台接入授权</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89</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8</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交通违法抓拍警示牌</w:t>
            </w:r>
          </w:p>
        </w:tc>
        <w:tc>
          <w:tcPr>
            <w:tcW w:w="3696" w:type="dxa"/>
            <w:vAlign w:val="center"/>
          </w:tcPr>
          <w:p>
            <w:pPr>
              <w:spacing w:line="240" w:lineRule="auto"/>
              <w:ind w:firstLine="0" w:firstLineChars="0"/>
              <w:rPr>
                <w:rFonts w:hint="eastAsia"/>
                <w:sz w:val="21"/>
                <w:szCs w:val="21"/>
              </w:rPr>
            </w:pPr>
            <w:r>
              <w:rPr>
                <w:rFonts w:hint="eastAsia"/>
                <w:sz w:val="21"/>
                <w:szCs w:val="21"/>
              </w:rPr>
              <w:t>1.材质、规格尺寸:1810mm*1460mm，3.0mm厚铝板；2.板面反光膜等级:菱形EGP超工程级；3.板面反光膜等级:二级反光膜；</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285</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9</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电气配管</w:t>
            </w:r>
          </w:p>
        </w:tc>
        <w:tc>
          <w:tcPr>
            <w:tcW w:w="3696" w:type="dxa"/>
            <w:vAlign w:val="center"/>
          </w:tcPr>
          <w:p>
            <w:pPr>
              <w:spacing w:line="240" w:lineRule="auto"/>
              <w:ind w:firstLine="0" w:firstLineChars="0"/>
              <w:rPr>
                <w:rFonts w:hint="eastAsia"/>
                <w:sz w:val="21"/>
                <w:szCs w:val="21"/>
              </w:rPr>
            </w:pPr>
            <w:r>
              <w:rPr>
                <w:rFonts w:hint="eastAsia"/>
                <w:sz w:val="21"/>
                <w:szCs w:val="21"/>
              </w:rPr>
              <w:t>1.名称:刚性难燃管PVC32；2.配置形式:埋地。</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23850</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10</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杆件雷电防护地网</w:t>
            </w:r>
          </w:p>
        </w:tc>
        <w:tc>
          <w:tcPr>
            <w:tcW w:w="3696" w:type="dxa"/>
            <w:vAlign w:val="center"/>
          </w:tcPr>
          <w:p>
            <w:pPr>
              <w:spacing w:line="240" w:lineRule="auto"/>
              <w:ind w:firstLine="0" w:firstLineChars="0"/>
              <w:rPr>
                <w:rFonts w:hint="eastAsia"/>
                <w:sz w:val="21"/>
                <w:szCs w:val="21"/>
              </w:rPr>
            </w:pPr>
            <w:r>
              <w:rPr>
                <w:rFonts w:hint="eastAsia"/>
                <w:sz w:val="21"/>
                <w:szCs w:val="21"/>
              </w:rPr>
              <w:t>四根Ф50毫米的钢管或50mm×50mm×5mm*2000mm的角钢长2米打地、铜地线排，接地线等，根据现场定制焊接接地含接地极(板)制作、安装角钢接地极。</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88</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11</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感知设备绝缘导线</w:t>
            </w:r>
          </w:p>
        </w:tc>
        <w:tc>
          <w:tcPr>
            <w:tcW w:w="3696" w:type="dxa"/>
            <w:vAlign w:val="center"/>
          </w:tcPr>
          <w:p>
            <w:pPr>
              <w:spacing w:line="240" w:lineRule="auto"/>
              <w:ind w:firstLine="0" w:firstLineChars="0"/>
              <w:rPr>
                <w:rFonts w:hint="eastAsia"/>
                <w:sz w:val="21"/>
                <w:szCs w:val="21"/>
              </w:rPr>
            </w:pPr>
            <w:r>
              <w:rPr>
                <w:rFonts w:hint="eastAsia"/>
                <w:sz w:val="21"/>
                <w:szCs w:val="21"/>
              </w:rPr>
              <w:t>1.名称:绝缘导线；</w:t>
            </w:r>
          </w:p>
          <w:p>
            <w:pPr>
              <w:spacing w:line="240" w:lineRule="auto"/>
              <w:ind w:firstLine="0" w:firstLineChars="0"/>
              <w:rPr>
                <w:rFonts w:hint="eastAsia"/>
                <w:sz w:val="21"/>
                <w:szCs w:val="21"/>
              </w:rPr>
            </w:pPr>
            <w:r>
              <w:rPr>
                <w:rFonts w:hint="eastAsia"/>
                <w:sz w:val="21"/>
                <w:szCs w:val="21"/>
              </w:rPr>
              <w:t>2.型号:RVV3*1.5mm²；</w:t>
            </w:r>
          </w:p>
          <w:p>
            <w:pPr>
              <w:spacing w:line="240" w:lineRule="auto"/>
              <w:ind w:firstLine="0" w:firstLineChars="0"/>
              <w:rPr>
                <w:rFonts w:hint="eastAsia"/>
                <w:sz w:val="21"/>
                <w:szCs w:val="21"/>
              </w:rPr>
            </w:pPr>
            <w:r>
              <w:rPr>
                <w:rFonts w:hint="eastAsia"/>
                <w:sz w:val="21"/>
                <w:szCs w:val="21"/>
              </w:rPr>
              <w:t>3.从监控设备到设备箱。</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5275</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12</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高能锂电模块</w:t>
            </w:r>
          </w:p>
        </w:tc>
        <w:tc>
          <w:tcPr>
            <w:tcW w:w="3696" w:type="dxa"/>
            <w:vAlign w:val="center"/>
          </w:tcPr>
          <w:p>
            <w:pPr>
              <w:spacing w:line="240" w:lineRule="auto"/>
              <w:ind w:firstLine="0" w:firstLineChars="0"/>
              <w:rPr>
                <w:rFonts w:hint="eastAsia"/>
                <w:sz w:val="21"/>
                <w:szCs w:val="21"/>
              </w:rPr>
            </w:pPr>
            <w:r>
              <w:rPr>
                <w:rFonts w:hint="eastAsia"/>
                <w:sz w:val="21"/>
                <w:szCs w:val="21"/>
              </w:rPr>
              <w:t>标称电压：12.8V电池：12.8V56Ah充电电流：5A放电电流：5A放电截止电压：10V充电输入电压：14.6V排放温度：-40°C~60°C充电温度：0°C~50°C尺寸（长*宽*高）：（395*235.5*100）±2mm通讯接口：RS485防护等级：IP65</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178</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13</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高清视频监控3.5米支撑杆</w:t>
            </w:r>
          </w:p>
        </w:tc>
        <w:tc>
          <w:tcPr>
            <w:tcW w:w="3696" w:type="dxa"/>
            <w:vAlign w:val="center"/>
          </w:tcPr>
          <w:p>
            <w:pPr>
              <w:spacing w:line="240" w:lineRule="auto"/>
              <w:ind w:firstLine="0" w:firstLineChars="0"/>
              <w:rPr>
                <w:rFonts w:hint="eastAsia"/>
                <w:sz w:val="21"/>
                <w:szCs w:val="21"/>
              </w:rPr>
            </w:pPr>
            <w:r>
              <w:rPr>
                <w:rFonts w:hint="eastAsia"/>
                <w:sz w:val="21"/>
                <w:szCs w:val="21"/>
              </w:rPr>
              <w:t>1.杆为八角杆，对角口径；</w:t>
            </w:r>
          </w:p>
          <w:p>
            <w:pPr>
              <w:spacing w:line="240" w:lineRule="auto"/>
              <w:ind w:firstLine="0" w:firstLineChars="0"/>
              <w:rPr>
                <w:rFonts w:hint="eastAsia"/>
                <w:sz w:val="21"/>
                <w:szCs w:val="21"/>
              </w:rPr>
            </w:pPr>
            <w:r>
              <w:rPr>
                <w:rFonts w:hint="eastAsia"/>
                <w:sz w:val="21"/>
                <w:szCs w:val="21"/>
              </w:rPr>
              <w:t>2.立杆：Φ120mm×180mm×4mm×3500mm；</w:t>
            </w:r>
          </w:p>
          <w:p>
            <w:pPr>
              <w:spacing w:line="240" w:lineRule="auto"/>
              <w:ind w:firstLine="0" w:firstLineChars="0"/>
              <w:rPr>
                <w:rFonts w:hint="eastAsia"/>
                <w:sz w:val="21"/>
                <w:szCs w:val="21"/>
              </w:rPr>
            </w:pPr>
            <w:r>
              <w:rPr>
                <w:rFonts w:hint="eastAsia"/>
                <w:sz w:val="21"/>
                <w:szCs w:val="21"/>
              </w:rPr>
              <w:t>3.横杆：Φ76*3mm×2000mm（具体长度以现场具体测量而定）；</w:t>
            </w:r>
          </w:p>
          <w:p>
            <w:pPr>
              <w:spacing w:line="240" w:lineRule="auto"/>
              <w:ind w:firstLine="0" w:firstLineChars="0"/>
              <w:rPr>
                <w:rFonts w:hint="eastAsia"/>
                <w:sz w:val="21"/>
                <w:szCs w:val="21"/>
              </w:rPr>
            </w:pPr>
            <w:r>
              <w:rPr>
                <w:rFonts w:hint="eastAsia"/>
                <w:sz w:val="21"/>
                <w:szCs w:val="21"/>
              </w:rPr>
              <w:t>4.底法兰为：Φ300*12mm；</w:t>
            </w:r>
          </w:p>
          <w:p>
            <w:pPr>
              <w:spacing w:line="240" w:lineRule="auto"/>
              <w:ind w:firstLine="0" w:firstLineChars="0"/>
              <w:rPr>
                <w:rFonts w:hint="eastAsia"/>
                <w:sz w:val="21"/>
                <w:szCs w:val="21"/>
              </w:rPr>
            </w:pPr>
            <w:r>
              <w:rPr>
                <w:rFonts w:hint="eastAsia"/>
                <w:sz w:val="21"/>
                <w:szCs w:val="21"/>
              </w:rPr>
              <w:t>5.连接法兰：180*180*10mm整杆热镀锌双螺母，加厚垫片，含抱箍。</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8</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14</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高清视频监控3.5米支撑杆地脚笼</w:t>
            </w:r>
          </w:p>
        </w:tc>
        <w:tc>
          <w:tcPr>
            <w:tcW w:w="3696" w:type="dxa"/>
            <w:vAlign w:val="center"/>
          </w:tcPr>
          <w:p>
            <w:pPr>
              <w:spacing w:line="240" w:lineRule="auto"/>
              <w:ind w:firstLine="0" w:firstLineChars="0"/>
              <w:rPr>
                <w:rFonts w:hint="eastAsia"/>
                <w:sz w:val="21"/>
                <w:szCs w:val="21"/>
              </w:rPr>
            </w:pPr>
            <w:r>
              <w:rPr>
                <w:rFonts w:hint="eastAsia"/>
                <w:sz w:val="21"/>
                <w:szCs w:val="21"/>
              </w:rPr>
              <w:t>1.名称：预埋铁地脚笼；</w:t>
            </w:r>
          </w:p>
          <w:p>
            <w:pPr>
              <w:spacing w:line="240" w:lineRule="auto"/>
              <w:ind w:firstLine="0" w:firstLineChars="0"/>
              <w:rPr>
                <w:rFonts w:hint="eastAsia"/>
                <w:sz w:val="21"/>
                <w:szCs w:val="21"/>
              </w:rPr>
            </w:pPr>
            <w:r>
              <w:rPr>
                <w:rFonts w:hint="eastAsia"/>
                <w:sz w:val="21"/>
                <w:szCs w:val="21"/>
              </w:rPr>
              <w:t>2.规格：地笼：4-M18-H700定位板4.0，（含两层定位板），含螺母垫片。</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8</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15</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高清视频监控3.5米支撑杆基础</w:t>
            </w:r>
          </w:p>
        </w:tc>
        <w:tc>
          <w:tcPr>
            <w:tcW w:w="3696" w:type="dxa"/>
            <w:vAlign w:val="center"/>
          </w:tcPr>
          <w:p>
            <w:pPr>
              <w:numPr>
                <w:ilvl w:val="0"/>
                <w:numId w:val="4"/>
              </w:numPr>
              <w:spacing w:line="240" w:lineRule="auto"/>
              <w:ind w:firstLine="0" w:firstLineChars="0"/>
              <w:rPr>
                <w:rFonts w:hint="eastAsia"/>
                <w:sz w:val="21"/>
                <w:szCs w:val="21"/>
              </w:rPr>
            </w:pPr>
            <w:r>
              <w:rPr>
                <w:rFonts w:hint="eastAsia"/>
                <w:sz w:val="21"/>
                <w:szCs w:val="21"/>
              </w:rPr>
              <w:t>填方来源、运距:人工装卸及运走开挖出土石方运距10KM；</w:t>
            </w:r>
          </w:p>
          <w:p>
            <w:pPr>
              <w:numPr>
                <w:ilvl w:val="0"/>
                <w:numId w:val="4"/>
              </w:numPr>
              <w:spacing w:line="240" w:lineRule="auto"/>
              <w:ind w:firstLine="0" w:firstLineChars="0"/>
              <w:rPr>
                <w:rFonts w:hint="eastAsia"/>
                <w:sz w:val="21"/>
                <w:szCs w:val="21"/>
              </w:rPr>
            </w:pPr>
            <w:r>
              <w:rPr>
                <w:rFonts w:hint="eastAsia"/>
                <w:sz w:val="21"/>
                <w:szCs w:val="21"/>
              </w:rPr>
              <w:t>立杆基础，开挖规格长1.0*宽1.0*深1.0米，立杆基础的使用C25砼浇注制作及养护；</w:t>
            </w:r>
          </w:p>
          <w:p>
            <w:pPr>
              <w:spacing w:line="240" w:lineRule="auto"/>
              <w:ind w:firstLine="0" w:firstLineChars="0"/>
              <w:rPr>
                <w:rFonts w:hint="eastAsia"/>
                <w:sz w:val="21"/>
                <w:szCs w:val="21"/>
              </w:rPr>
            </w:pPr>
            <w:r>
              <w:rPr>
                <w:rFonts w:hint="eastAsia"/>
                <w:sz w:val="21"/>
                <w:szCs w:val="21"/>
              </w:rPr>
              <w:t>3.基础笼安装，PE32管2条引出；</w:t>
            </w:r>
          </w:p>
          <w:p>
            <w:pPr>
              <w:spacing w:line="240" w:lineRule="auto"/>
              <w:ind w:firstLine="0" w:firstLineChars="0"/>
              <w:rPr>
                <w:rFonts w:hint="eastAsia"/>
                <w:sz w:val="21"/>
                <w:szCs w:val="21"/>
              </w:rPr>
            </w:pPr>
            <w:r>
              <w:rPr>
                <w:rFonts w:hint="eastAsia"/>
                <w:sz w:val="21"/>
                <w:szCs w:val="21"/>
              </w:rPr>
              <w:t>4.立杆完成后恢复路面。</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8</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16</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高清视频监控6米支撑杆</w:t>
            </w:r>
          </w:p>
        </w:tc>
        <w:tc>
          <w:tcPr>
            <w:tcW w:w="3696" w:type="dxa"/>
            <w:vAlign w:val="center"/>
          </w:tcPr>
          <w:p>
            <w:pPr>
              <w:spacing w:line="240" w:lineRule="auto"/>
              <w:ind w:firstLine="0" w:firstLineChars="0"/>
              <w:rPr>
                <w:rFonts w:hint="eastAsia"/>
                <w:sz w:val="21"/>
                <w:szCs w:val="21"/>
              </w:rPr>
            </w:pPr>
            <w:r>
              <w:rPr>
                <w:rFonts w:hint="eastAsia"/>
                <w:sz w:val="21"/>
                <w:szCs w:val="21"/>
              </w:rPr>
              <w:t>1.名称:L型6米杆；</w:t>
            </w:r>
          </w:p>
          <w:p>
            <w:pPr>
              <w:spacing w:line="240" w:lineRule="auto"/>
              <w:ind w:firstLine="0" w:firstLineChars="0"/>
              <w:rPr>
                <w:rFonts w:hint="eastAsia"/>
                <w:sz w:val="21"/>
                <w:szCs w:val="21"/>
              </w:rPr>
            </w:pPr>
            <w:r>
              <w:rPr>
                <w:rFonts w:hint="eastAsia"/>
                <w:sz w:val="21"/>
                <w:szCs w:val="21"/>
              </w:rPr>
              <w:t>2.规格:杆为八角杆，对角口径；</w:t>
            </w:r>
          </w:p>
          <w:p>
            <w:pPr>
              <w:spacing w:line="240" w:lineRule="auto"/>
              <w:ind w:firstLine="0" w:firstLineChars="0"/>
              <w:rPr>
                <w:rFonts w:hint="eastAsia"/>
                <w:sz w:val="21"/>
                <w:szCs w:val="21"/>
              </w:rPr>
            </w:pPr>
            <w:r>
              <w:rPr>
                <w:rFonts w:hint="eastAsia"/>
                <w:sz w:val="21"/>
                <w:szCs w:val="21"/>
              </w:rPr>
              <w:t>3.立杆:Φ150mm*230mm*5mm*6000mm；</w:t>
            </w:r>
          </w:p>
          <w:p>
            <w:pPr>
              <w:spacing w:line="240" w:lineRule="auto"/>
              <w:ind w:firstLine="0" w:firstLineChars="0"/>
              <w:rPr>
                <w:rFonts w:hint="eastAsia"/>
                <w:sz w:val="21"/>
                <w:szCs w:val="21"/>
              </w:rPr>
            </w:pPr>
            <w:r>
              <w:rPr>
                <w:rFonts w:hint="eastAsia"/>
                <w:sz w:val="21"/>
                <w:szCs w:val="21"/>
              </w:rPr>
              <w:t>4.横杆:100mm*150mm*4mm*5000mm（具体长度以现场具体测量而定）；</w:t>
            </w:r>
          </w:p>
          <w:p>
            <w:pPr>
              <w:spacing w:line="240" w:lineRule="auto"/>
              <w:ind w:firstLine="0" w:firstLineChars="0"/>
              <w:rPr>
                <w:rFonts w:hint="eastAsia"/>
                <w:sz w:val="21"/>
                <w:szCs w:val="21"/>
              </w:rPr>
            </w:pPr>
            <w:r>
              <w:rPr>
                <w:rFonts w:hint="eastAsia"/>
                <w:sz w:val="21"/>
                <w:szCs w:val="21"/>
              </w:rPr>
              <w:t>5.底法兰为:Ø420*16mm；</w:t>
            </w:r>
          </w:p>
          <w:p>
            <w:pPr>
              <w:spacing w:line="240" w:lineRule="auto"/>
              <w:ind w:firstLine="0" w:firstLineChars="0"/>
              <w:rPr>
                <w:rFonts w:hint="eastAsia"/>
                <w:sz w:val="21"/>
                <w:szCs w:val="21"/>
              </w:rPr>
            </w:pPr>
            <w:r>
              <w:rPr>
                <w:rFonts w:hint="eastAsia"/>
                <w:sz w:val="21"/>
                <w:szCs w:val="21"/>
              </w:rPr>
              <w:t>6.连接法兰:350mm*350mm*16mm整杆热镀锌双螺母，加厚垫片，含抱箍；</w:t>
            </w:r>
          </w:p>
          <w:p>
            <w:pPr>
              <w:spacing w:line="240" w:lineRule="auto"/>
              <w:ind w:firstLine="0" w:firstLineChars="0"/>
              <w:rPr>
                <w:rFonts w:hint="eastAsia"/>
                <w:sz w:val="21"/>
                <w:szCs w:val="21"/>
              </w:rPr>
            </w:pPr>
            <w:r>
              <w:rPr>
                <w:rFonts w:hint="eastAsia"/>
                <w:sz w:val="21"/>
                <w:szCs w:val="21"/>
              </w:rPr>
              <w:t>7.油漆品种:热镀锌，环氧富锌底漆两遍，银色调和漆两遍。</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43</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17</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高清视频监控6米支撑杆地脚笼</w:t>
            </w:r>
          </w:p>
        </w:tc>
        <w:tc>
          <w:tcPr>
            <w:tcW w:w="3696" w:type="dxa"/>
            <w:vAlign w:val="center"/>
          </w:tcPr>
          <w:p>
            <w:pPr>
              <w:spacing w:line="240" w:lineRule="auto"/>
              <w:ind w:firstLine="0" w:firstLineChars="0"/>
              <w:rPr>
                <w:rFonts w:hint="eastAsia"/>
                <w:sz w:val="21"/>
                <w:szCs w:val="21"/>
              </w:rPr>
            </w:pPr>
            <w:r>
              <w:rPr>
                <w:rFonts w:hint="eastAsia"/>
                <w:sz w:val="21"/>
                <w:szCs w:val="21"/>
              </w:rPr>
              <w:t>1.名称：预埋铁地脚笼；</w:t>
            </w:r>
          </w:p>
          <w:p>
            <w:pPr>
              <w:spacing w:line="240" w:lineRule="auto"/>
              <w:ind w:firstLine="0" w:firstLineChars="0"/>
              <w:rPr>
                <w:rFonts w:hint="eastAsia"/>
                <w:sz w:val="21"/>
                <w:szCs w:val="21"/>
              </w:rPr>
            </w:pPr>
            <w:r>
              <w:rPr>
                <w:rFonts w:hint="eastAsia"/>
                <w:sz w:val="21"/>
                <w:szCs w:val="21"/>
              </w:rPr>
              <w:t>2.规格：地笼：8-M24-H1300定位板4.0，（含两层定位板），含螺母垫片。</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43</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18</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高清视频监控6米支撑杆基础</w:t>
            </w:r>
          </w:p>
        </w:tc>
        <w:tc>
          <w:tcPr>
            <w:tcW w:w="3696" w:type="dxa"/>
            <w:vAlign w:val="center"/>
          </w:tcPr>
          <w:p>
            <w:pPr>
              <w:spacing w:line="240" w:lineRule="auto"/>
              <w:ind w:firstLine="0" w:firstLineChars="0"/>
              <w:rPr>
                <w:rFonts w:hint="eastAsia"/>
                <w:sz w:val="21"/>
                <w:szCs w:val="21"/>
              </w:rPr>
            </w:pPr>
            <w:r>
              <w:rPr>
                <w:rFonts w:hint="eastAsia"/>
                <w:sz w:val="21"/>
                <w:szCs w:val="21"/>
              </w:rPr>
              <w:t>1.填方来源、运距:人工装卸及运走开挖出土石方运距10KM；</w:t>
            </w:r>
          </w:p>
          <w:p>
            <w:pPr>
              <w:spacing w:line="240" w:lineRule="auto"/>
              <w:ind w:firstLine="0" w:firstLineChars="0"/>
              <w:rPr>
                <w:rFonts w:hint="eastAsia"/>
                <w:sz w:val="21"/>
                <w:szCs w:val="21"/>
              </w:rPr>
            </w:pPr>
            <w:r>
              <w:rPr>
                <w:rFonts w:hint="eastAsia"/>
                <w:sz w:val="21"/>
                <w:szCs w:val="21"/>
              </w:rPr>
              <w:t>2.立杆基础，开挖规格长1.2*宽1.2*深1.5米，立杆基础的使用C25砼浇注制作及养护；</w:t>
            </w:r>
          </w:p>
          <w:p>
            <w:pPr>
              <w:spacing w:line="240" w:lineRule="auto"/>
              <w:ind w:firstLine="0" w:firstLineChars="0"/>
              <w:rPr>
                <w:rFonts w:hint="eastAsia"/>
                <w:sz w:val="21"/>
                <w:szCs w:val="21"/>
              </w:rPr>
            </w:pPr>
            <w:r>
              <w:rPr>
                <w:rFonts w:hint="eastAsia"/>
                <w:sz w:val="21"/>
                <w:szCs w:val="21"/>
              </w:rPr>
              <w:t>3.基础笼安装，PE32管2条引出；</w:t>
            </w:r>
          </w:p>
          <w:p>
            <w:pPr>
              <w:spacing w:line="240" w:lineRule="auto"/>
              <w:ind w:firstLine="0" w:firstLineChars="0"/>
              <w:rPr>
                <w:rFonts w:hint="eastAsia"/>
                <w:sz w:val="21"/>
                <w:szCs w:val="21"/>
              </w:rPr>
            </w:pPr>
            <w:r>
              <w:rPr>
                <w:rFonts w:hint="eastAsia"/>
                <w:sz w:val="21"/>
                <w:szCs w:val="21"/>
              </w:rPr>
              <w:t>4.立杆完成后恢复路面。</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43</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19</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电警6.5米*10-12米支撑杆</w:t>
            </w:r>
          </w:p>
        </w:tc>
        <w:tc>
          <w:tcPr>
            <w:tcW w:w="3696" w:type="dxa"/>
            <w:vAlign w:val="center"/>
          </w:tcPr>
          <w:p>
            <w:pPr>
              <w:spacing w:line="240" w:lineRule="auto"/>
              <w:ind w:firstLine="0" w:firstLineChars="0"/>
              <w:rPr>
                <w:rFonts w:hint="eastAsia"/>
                <w:sz w:val="21"/>
                <w:szCs w:val="21"/>
              </w:rPr>
            </w:pPr>
            <w:r>
              <w:rPr>
                <w:rFonts w:hint="eastAsia"/>
                <w:sz w:val="21"/>
                <w:szCs w:val="21"/>
              </w:rPr>
              <w:t>1.名称:L型12米杆；</w:t>
            </w:r>
          </w:p>
          <w:p>
            <w:pPr>
              <w:spacing w:line="240" w:lineRule="auto"/>
              <w:ind w:firstLine="0" w:firstLineChars="0"/>
              <w:rPr>
                <w:rFonts w:hint="eastAsia"/>
                <w:sz w:val="21"/>
                <w:szCs w:val="21"/>
              </w:rPr>
            </w:pPr>
            <w:r>
              <w:rPr>
                <w:rFonts w:hint="eastAsia"/>
                <w:sz w:val="21"/>
                <w:szCs w:val="21"/>
              </w:rPr>
              <w:t>2.规格:杆为八角杆，对角口径；</w:t>
            </w:r>
          </w:p>
          <w:p>
            <w:pPr>
              <w:spacing w:line="240" w:lineRule="auto"/>
              <w:ind w:firstLine="0" w:firstLineChars="0"/>
              <w:rPr>
                <w:rFonts w:hint="eastAsia"/>
                <w:sz w:val="21"/>
                <w:szCs w:val="21"/>
              </w:rPr>
            </w:pPr>
            <w:r>
              <w:rPr>
                <w:rFonts w:hint="eastAsia"/>
                <w:sz w:val="21"/>
                <w:szCs w:val="21"/>
              </w:rPr>
              <w:t>3.立杆:6mm*310*350*6500mm；</w:t>
            </w:r>
          </w:p>
          <w:p>
            <w:pPr>
              <w:spacing w:line="240" w:lineRule="auto"/>
              <w:ind w:firstLine="0" w:firstLineChars="0"/>
              <w:rPr>
                <w:rFonts w:hint="eastAsia"/>
                <w:sz w:val="21"/>
                <w:szCs w:val="21"/>
              </w:rPr>
            </w:pPr>
            <w:r>
              <w:rPr>
                <w:rFonts w:hint="eastAsia"/>
                <w:sz w:val="21"/>
                <w:szCs w:val="21"/>
              </w:rPr>
              <w:t>4.横杆:6mm120*270*10000/12000mm；</w:t>
            </w:r>
          </w:p>
          <w:p>
            <w:pPr>
              <w:spacing w:line="240" w:lineRule="auto"/>
              <w:ind w:firstLine="0" w:firstLineChars="0"/>
              <w:rPr>
                <w:rFonts w:hint="eastAsia"/>
                <w:sz w:val="21"/>
                <w:szCs w:val="21"/>
              </w:rPr>
            </w:pPr>
            <w:r>
              <w:rPr>
                <w:rFonts w:hint="eastAsia"/>
                <w:sz w:val="21"/>
                <w:szCs w:val="21"/>
              </w:rPr>
              <w:t>5.底法兰为:φ600*20mm；</w:t>
            </w:r>
          </w:p>
          <w:p>
            <w:pPr>
              <w:spacing w:line="240" w:lineRule="auto"/>
              <w:ind w:firstLine="0" w:firstLineChars="0"/>
              <w:rPr>
                <w:rFonts w:hint="eastAsia"/>
                <w:sz w:val="21"/>
                <w:szCs w:val="21"/>
              </w:rPr>
            </w:pPr>
            <w:r>
              <w:rPr>
                <w:rFonts w:hint="eastAsia"/>
                <w:sz w:val="21"/>
                <w:szCs w:val="21"/>
              </w:rPr>
              <w:t>6.连接法兰:450*450*18mm整杆热镀锌双螺母，加厚垫片，含抱箍</w:t>
            </w:r>
          </w:p>
          <w:p>
            <w:pPr>
              <w:spacing w:line="240" w:lineRule="auto"/>
              <w:ind w:firstLine="0" w:firstLineChars="0"/>
              <w:rPr>
                <w:rFonts w:hint="eastAsia"/>
                <w:sz w:val="21"/>
                <w:szCs w:val="21"/>
              </w:rPr>
            </w:pPr>
            <w:r>
              <w:rPr>
                <w:rFonts w:hint="eastAsia"/>
                <w:sz w:val="21"/>
                <w:szCs w:val="21"/>
              </w:rPr>
              <w:t>；7.油漆品种:热镀锌，环氧富锌底漆两遍，银色调和漆两遍。</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13</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20</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电警6.5米*10-12米支撑杆地脚笼</w:t>
            </w:r>
          </w:p>
        </w:tc>
        <w:tc>
          <w:tcPr>
            <w:tcW w:w="3696" w:type="dxa"/>
            <w:vAlign w:val="center"/>
          </w:tcPr>
          <w:p>
            <w:pPr>
              <w:spacing w:line="240" w:lineRule="auto"/>
              <w:ind w:firstLine="0" w:firstLineChars="0"/>
              <w:rPr>
                <w:rFonts w:hint="eastAsia"/>
                <w:sz w:val="21"/>
                <w:szCs w:val="21"/>
              </w:rPr>
            </w:pPr>
            <w:r>
              <w:rPr>
                <w:rFonts w:hint="eastAsia"/>
                <w:sz w:val="21"/>
                <w:szCs w:val="21"/>
              </w:rPr>
              <w:t>1.名称：预埋铁地脚笼；</w:t>
            </w:r>
          </w:p>
          <w:p>
            <w:pPr>
              <w:spacing w:line="240" w:lineRule="auto"/>
              <w:ind w:firstLine="0" w:firstLineChars="0"/>
              <w:rPr>
                <w:rFonts w:hint="eastAsia"/>
                <w:sz w:val="21"/>
                <w:szCs w:val="21"/>
              </w:rPr>
            </w:pPr>
            <w:r>
              <w:rPr>
                <w:rFonts w:hint="eastAsia"/>
                <w:sz w:val="21"/>
                <w:szCs w:val="21"/>
              </w:rPr>
              <w:t>2.规格：地笼：8-M28-H1500定位板4.0，（含两层定位板），含螺母垫片。</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13</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21</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电警6.5米*10-12米支撑杆基础</w:t>
            </w:r>
          </w:p>
        </w:tc>
        <w:tc>
          <w:tcPr>
            <w:tcW w:w="3696" w:type="dxa"/>
            <w:vAlign w:val="center"/>
          </w:tcPr>
          <w:p>
            <w:pPr>
              <w:spacing w:line="240" w:lineRule="auto"/>
              <w:ind w:firstLine="0" w:firstLineChars="0"/>
              <w:rPr>
                <w:rFonts w:hint="eastAsia"/>
                <w:sz w:val="21"/>
                <w:szCs w:val="21"/>
              </w:rPr>
            </w:pPr>
            <w:r>
              <w:rPr>
                <w:rFonts w:hint="eastAsia"/>
                <w:sz w:val="21"/>
                <w:szCs w:val="21"/>
              </w:rPr>
              <w:t>1.填方来源、运距:人工装卸及运走开挖出土石方运距10KM；</w:t>
            </w:r>
          </w:p>
          <w:p>
            <w:pPr>
              <w:spacing w:line="240" w:lineRule="auto"/>
              <w:ind w:firstLine="0" w:firstLineChars="0"/>
              <w:rPr>
                <w:rFonts w:hint="eastAsia"/>
                <w:sz w:val="21"/>
                <w:szCs w:val="21"/>
              </w:rPr>
            </w:pPr>
            <w:r>
              <w:rPr>
                <w:rFonts w:hint="eastAsia"/>
                <w:sz w:val="21"/>
                <w:szCs w:val="21"/>
              </w:rPr>
              <w:t>2.立杆基础，开挖规格长1.5*宽1.5*深1.8米，立杆基础的使用C25砼浇注制作及养护；</w:t>
            </w:r>
          </w:p>
          <w:p>
            <w:pPr>
              <w:spacing w:line="240" w:lineRule="auto"/>
              <w:ind w:firstLine="0" w:firstLineChars="0"/>
              <w:rPr>
                <w:rFonts w:hint="eastAsia"/>
                <w:sz w:val="21"/>
                <w:szCs w:val="21"/>
              </w:rPr>
            </w:pPr>
            <w:r>
              <w:rPr>
                <w:rFonts w:hint="eastAsia"/>
                <w:sz w:val="21"/>
                <w:szCs w:val="21"/>
              </w:rPr>
              <w:t>3.基础笼安装，PE32管2条引出；</w:t>
            </w:r>
          </w:p>
          <w:p>
            <w:pPr>
              <w:spacing w:line="240" w:lineRule="auto"/>
              <w:ind w:firstLine="0" w:firstLineChars="0"/>
              <w:rPr>
                <w:rFonts w:hint="eastAsia"/>
                <w:sz w:val="21"/>
                <w:szCs w:val="21"/>
              </w:rPr>
            </w:pPr>
            <w:r>
              <w:rPr>
                <w:rFonts w:hint="eastAsia"/>
                <w:sz w:val="21"/>
                <w:szCs w:val="21"/>
              </w:rPr>
              <w:t>4.立杆完成后恢复路面。</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13</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22</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电警6.5米*14-16-18米支撑杆</w:t>
            </w:r>
          </w:p>
        </w:tc>
        <w:tc>
          <w:tcPr>
            <w:tcW w:w="3696" w:type="dxa"/>
            <w:vAlign w:val="center"/>
          </w:tcPr>
          <w:p>
            <w:pPr>
              <w:spacing w:line="240" w:lineRule="auto"/>
              <w:ind w:firstLine="0" w:firstLineChars="0"/>
              <w:rPr>
                <w:rFonts w:hint="eastAsia"/>
                <w:sz w:val="21"/>
                <w:szCs w:val="21"/>
              </w:rPr>
            </w:pPr>
            <w:r>
              <w:rPr>
                <w:rFonts w:hint="eastAsia"/>
                <w:sz w:val="21"/>
                <w:szCs w:val="21"/>
              </w:rPr>
              <w:t>1.杆为八角杆，对角口径；</w:t>
            </w:r>
          </w:p>
          <w:p>
            <w:pPr>
              <w:spacing w:line="240" w:lineRule="auto"/>
              <w:ind w:firstLine="0" w:firstLineChars="0"/>
              <w:rPr>
                <w:rFonts w:hint="eastAsia"/>
                <w:sz w:val="21"/>
                <w:szCs w:val="21"/>
              </w:rPr>
            </w:pPr>
            <w:r>
              <w:rPr>
                <w:rFonts w:hint="eastAsia"/>
                <w:sz w:val="21"/>
                <w:szCs w:val="21"/>
              </w:rPr>
              <w:t>2.立杆：10mm*360*420*6500mm；</w:t>
            </w:r>
          </w:p>
          <w:p>
            <w:pPr>
              <w:spacing w:line="240" w:lineRule="auto"/>
              <w:ind w:firstLine="0" w:firstLineChars="0"/>
              <w:rPr>
                <w:rFonts w:hint="eastAsia"/>
                <w:sz w:val="21"/>
                <w:szCs w:val="21"/>
              </w:rPr>
            </w:pPr>
            <w:r>
              <w:rPr>
                <w:rFonts w:hint="eastAsia"/>
                <w:sz w:val="21"/>
                <w:szCs w:val="21"/>
              </w:rPr>
              <w:t>3.横杆：5mm+8*120*320*14000mm，(分两节：末段7000+前段7000）/16000mm，(分两节：末段8000+前段8000）/18000mm，(分两节：末段9000+前段9000）；</w:t>
            </w:r>
          </w:p>
          <w:p>
            <w:pPr>
              <w:spacing w:line="240" w:lineRule="auto"/>
              <w:ind w:firstLine="0" w:firstLineChars="0"/>
              <w:rPr>
                <w:rFonts w:hint="eastAsia"/>
                <w:sz w:val="21"/>
                <w:szCs w:val="21"/>
              </w:rPr>
            </w:pPr>
            <w:r>
              <w:rPr>
                <w:rFonts w:hint="eastAsia"/>
                <w:sz w:val="21"/>
                <w:szCs w:val="21"/>
              </w:rPr>
              <w:t>4.底法兰为：φ750*22mm；</w:t>
            </w:r>
          </w:p>
          <w:p>
            <w:pPr>
              <w:spacing w:line="240" w:lineRule="auto"/>
              <w:ind w:firstLine="0" w:firstLineChars="0"/>
              <w:rPr>
                <w:rFonts w:hint="eastAsia"/>
                <w:sz w:val="21"/>
                <w:szCs w:val="21"/>
              </w:rPr>
            </w:pPr>
            <w:r>
              <w:rPr>
                <w:rFonts w:hint="eastAsia"/>
                <w:sz w:val="21"/>
                <w:szCs w:val="21"/>
              </w:rPr>
              <w:t>5.连接法兰：500*500*20mm整杆热镀锌双螺母，加厚垫片，含抱箍。</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1</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23</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电警6.5米*14-16-18米支撑杆地脚笼</w:t>
            </w:r>
          </w:p>
        </w:tc>
        <w:tc>
          <w:tcPr>
            <w:tcW w:w="3696" w:type="dxa"/>
            <w:vAlign w:val="center"/>
          </w:tcPr>
          <w:p>
            <w:pPr>
              <w:spacing w:line="240" w:lineRule="auto"/>
              <w:ind w:firstLine="0" w:firstLineChars="0"/>
              <w:rPr>
                <w:rFonts w:hint="eastAsia"/>
                <w:sz w:val="21"/>
                <w:szCs w:val="21"/>
              </w:rPr>
            </w:pPr>
            <w:r>
              <w:rPr>
                <w:rFonts w:hint="eastAsia"/>
                <w:sz w:val="21"/>
                <w:szCs w:val="21"/>
              </w:rPr>
              <w:t>1.名称：预埋铁地脚笼；2.规格：地笼：8-M30-H1800定位板6.0，（含两层定位板），含螺母垫片。</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1</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24</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电警6.5米*14-16-18米支撑杆基础</w:t>
            </w:r>
          </w:p>
        </w:tc>
        <w:tc>
          <w:tcPr>
            <w:tcW w:w="3696" w:type="dxa"/>
            <w:vAlign w:val="center"/>
          </w:tcPr>
          <w:p>
            <w:pPr>
              <w:spacing w:line="240" w:lineRule="auto"/>
              <w:ind w:firstLine="0" w:firstLineChars="0"/>
              <w:rPr>
                <w:rFonts w:hint="eastAsia"/>
                <w:sz w:val="21"/>
                <w:szCs w:val="21"/>
              </w:rPr>
            </w:pPr>
            <w:r>
              <w:rPr>
                <w:rFonts w:hint="eastAsia"/>
                <w:sz w:val="21"/>
                <w:szCs w:val="21"/>
              </w:rPr>
              <w:t>1.名称：L型14-16-18米杆基础；</w:t>
            </w:r>
          </w:p>
          <w:p>
            <w:pPr>
              <w:spacing w:line="240" w:lineRule="auto"/>
              <w:ind w:firstLine="0" w:firstLineChars="0"/>
              <w:rPr>
                <w:rFonts w:hint="eastAsia"/>
                <w:sz w:val="21"/>
                <w:szCs w:val="21"/>
              </w:rPr>
            </w:pPr>
            <w:r>
              <w:rPr>
                <w:rFonts w:hint="eastAsia"/>
                <w:sz w:val="21"/>
                <w:szCs w:val="21"/>
              </w:rPr>
              <w:t>2.混凝土基础，2000mm*2000mm*2200mm；立杆基础的使用C25砼浇注制作及养护；</w:t>
            </w:r>
          </w:p>
          <w:p>
            <w:pPr>
              <w:spacing w:line="240" w:lineRule="auto"/>
              <w:ind w:firstLine="0" w:firstLineChars="0"/>
              <w:rPr>
                <w:rFonts w:hint="eastAsia"/>
                <w:sz w:val="21"/>
                <w:szCs w:val="21"/>
              </w:rPr>
            </w:pPr>
            <w:r>
              <w:rPr>
                <w:rFonts w:hint="eastAsia"/>
                <w:sz w:val="21"/>
                <w:szCs w:val="21"/>
              </w:rPr>
              <w:t>3.基础坑人工开挖及回填土人工夯实；</w:t>
            </w:r>
          </w:p>
          <w:p>
            <w:pPr>
              <w:spacing w:line="240" w:lineRule="auto"/>
              <w:ind w:firstLine="0" w:firstLineChars="0"/>
              <w:rPr>
                <w:rFonts w:hint="eastAsia"/>
                <w:sz w:val="21"/>
                <w:szCs w:val="21"/>
              </w:rPr>
            </w:pPr>
            <w:r>
              <w:rPr>
                <w:rFonts w:hint="eastAsia"/>
                <w:sz w:val="21"/>
                <w:szCs w:val="21"/>
              </w:rPr>
              <w:t>4.人工装卸及运走开挖出土石方运距10KM；</w:t>
            </w:r>
          </w:p>
          <w:p>
            <w:pPr>
              <w:spacing w:line="240" w:lineRule="auto"/>
              <w:ind w:firstLine="0" w:firstLineChars="0"/>
              <w:rPr>
                <w:rFonts w:hint="eastAsia"/>
                <w:sz w:val="21"/>
                <w:szCs w:val="21"/>
              </w:rPr>
            </w:pPr>
            <w:r>
              <w:rPr>
                <w:rFonts w:hint="eastAsia"/>
                <w:sz w:val="21"/>
                <w:szCs w:val="21"/>
              </w:rPr>
              <w:t>5.热镀锌圆钢φ16接地带。</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1</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25</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电警6.5米*6米支撑杆</w:t>
            </w:r>
          </w:p>
        </w:tc>
        <w:tc>
          <w:tcPr>
            <w:tcW w:w="3696" w:type="dxa"/>
            <w:vAlign w:val="center"/>
          </w:tcPr>
          <w:p>
            <w:pPr>
              <w:spacing w:line="240" w:lineRule="auto"/>
              <w:ind w:firstLine="0" w:firstLineChars="0"/>
              <w:rPr>
                <w:rFonts w:hint="eastAsia"/>
                <w:sz w:val="21"/>
                <w:szCs w:val="21"/>
              </w:rPr>
            </w:pPr>
            <w:r>
              <w:rPr>
                <w:rFonts w:hint="eastAsia"/>
                <w:sz w:val="21"/>
                <w:szCs w:val="21"/>
              </w:rPr>
              <w:t>1.名称:L型6.5米杆；</w:t>
            </w:r>
          </w:p>
          <w:p>
            <w:pPr>
              <w:spacing w:line="240" w:lineRule="auto"/>
              <w:ind w:firstLine="0" w:firstLineChars="0"/>
              <w:rPr>
                <w:rFonts w:hint="eastAsia"/>
                <w:sz w:val="21"/>
                <w:szCs w:val="21"/>
              </w:rPr>
            </w:pPr>
            <w:r>
              <w:rPr>
                <w:rFonts w:hint="eastAsia"/>
                <w:sz w:val="21"/>
                <w:szCs w:val="21"/>
              </w:rPr>
              <w:t>2.规格:杆为八角杆，对角口径；</w:t>
            </w:r>
          </w:p>
          <w:p>
            <w:pPr>
              <w:spacing w:line="240" w:lineRule="auto"/>
              <w:ind w:firstLine="0" w:firstLineChars="0"/>
              <w:rPr>
                <w:rFonts w:hint="eastAsia"/>
                <w:sz w:val="21"/>
                <w:szCs w:val="21"/>
              </w:rPr>
            </w:pPr>
            <w:r>
              <w:rPr>
                <w:rFonts w:hint="eastAsia"/>
                <w:sz w:val="21"/>
                <w:szCs w:val="21"/>
              </w:rPr>
              <w:t>3.立杆:5mm*200*260*6500mm；</w:t>
            </w:r>
          </w:p>
          <w:p>
            <w:pPr>
              <w:spacing w:line="240" w:lineRule="auto"/>
              <w:ind w:firstLine="0" w:firstLineChars="0"/>
              <w:rPr>
                <w:rFonts w:hint="eastAsia"/>
                <w:sz w:val="21"/>
                <w:szCs w:val="21"/>
              </w:rPr>
            </w:pPr>
            <w:r>
              <w:rPr>
                <w:rFonts w:hint="eastAsia"/>
                <w:sz w:val="21"/>
                <w:szCs w:val="21"/>
              </w:rPr>
              <w:t>4.横杆:4mm100*270*6000mm（具体长度以现场具体测量而定）；</w:t>
            </w:r>
          </w:p>
          <w:p>
            <w:pPr>
              <w:spacing w:line="240" w:lineRule="auto"/>
              <w:ind w:firstLine="0" w:firstLineChars="0"/>
              <w:rPr>
                <w:rFonts w:hint="eastAsia"/>
                <w:sz w:val="21"/>
                <w:szCs w:val="21"/>
              </w:rPr>
            </w:pPr>
            <w:r>
              <w:rPr>
                <w:rFonts w:hint="eastAsia"/>
                <w:sz w:val="21"/>
                <w:szCs w:val="21"/>
              </w:rPr>
              <w:t>5.底法兰为:φ460*16mm；</w:t>
            </w:r>
          </w:p>
          <w:p>
            <w:pPr>
              <w:spacing w:line="240" w:lineRule="auto"/>
              <w:ind w:firstLine="0" w:firstLineChars="0"/>
              <w:rPr>
                <w:rFonts w:hint="eastAsia"/>
                <w:sz w:val="21"/>
                <w:szCs w:val="21"/>
              </w:rPr>
            </w:pPr>
            <w:r>
              <w:rPr>
                <w:rFonts w:hint="eastAsia"/>
                <w:sz w:val="21"/>
                <w:szCs w:val="21"/>
              </w:rPr>
              <w:t>6.连接法兰:380*380*16mm整杆热镀锌双螺母，加厚垫片，含抱箍；</w:t>
            </w:r>
          </w:p>
          <w:p>
            <w:pPr>
              <w:spacing w:line="240" w:lineRule="auto"/>
              <w:ind w:firstLine="0" w:firstLineChars="0"/>
              <w:rPr>
                <w:rFonts w:hint="eastAsia"/>
                <w:sz w:val="21"/>
                <w:szCs w:val="21"/>
              </w:rPr>
            </w:pPr>
            <w:r>
              <w:rPr>
                <w:rFonts w:hint="eastAsia"/>
                <w:sz w:val="21"/>
                <w:szCs w:val="21"/>
              </w:rPr>
              <w:t>7.油漆品种:热镀锌，环氧富锌底漆两遍，银色调和漆两遍。</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5</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26</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电警6.5米*6米支撑杆地脚笼</w:t>
            </w:r>
          </w:p>
        </w:tc>
        <w:tc>
          <w:tcPr>
            <w:tcW w:w="3696" w:type="dxa"/>
            <w:vAlign w:val="center"/>
          </w:tcPr>
          <w:p>
            <w:pPr>
              <w:spacing w:line="240" w:lineRule="auto"/>
              <w:ind w:firstLine="0" w:firstLineChars="0"/>
              <w:rPr>
                <w:rFonts w:hint="eastAsia"/>
                <w:sz w:val="21"/>
                <w:szCs w:val="21"/>
              </w:rPr>
            </w:pPr>
            <w:r>
              <w:rPr>
                <w:rFonts w:hint="eastAsia"/>
                <w:sz w:val="21"/>
                <w:szCs w:val="21"/>
              </w:rPr>
              <w:t>1.名称：预埋铁地脚笼；</w:t>
            </w:r>
          </w:p>
          <w:p>
            <w:pPr>
              <w:spacing w:line="240" w:lineRule="auto"/>
              <w:ind w:firstLine="0" w:firstLineChars="0"/>
              <w:rPr>
                <w:rFonts w:hint="eastAsia"/>
                <w:sz w:val="21"/>
                <w:szCs w:val="21"/>
              </w:rPr>
            </w:pPr>
            <w:r>
              <w:rPr>
                <w:rFonts w:hint="eastAsia"/>
                <w:sz w:val="21"/>
                <w:szCs w:val="21"/>
              </w:rPr>
              <w:t>2.规格：地笼：8-M24-H1300定位板4.0，（含两层定位板），含螺母垫片。</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5</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27</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电警6.5米*6米支撑杆基础</w:t>
            </w:r>
          </w:p>
        </w:tc>
        <w:tc>
          <w:tcPr>
            <w:tcW w:w="3696" w:type="dxa"/>
            <w:vAlign w:val="center"/>
          </w:tcPr>
          <w:p>
            <w:pPr>
              <w:spacing w:line="240" w:lineRule="auto"/>
              <w:ind w:firstLine="0" w:firstLineChars="0"/>
              <w:rPr>
                <w:rFonts w:hint="eastAsia"/>
                <w:sz w:val="21"/>
                <w:szCs w:val="21"/>
              </w:rPr>
            </w:pPr>
            <w:r>
              <w:rPr>
                <w:rFonts w:hint="eastAsia"/>
                <w:sz w:val="21"/>
                <w:szCs w:val="21"/>
              </w:rPr>
              <w:t>1.填方来源、运距:人工装卸及运走开挖出土石方运距10KM；</w:t>
            </w:r>
          </w:p>
          <w:p>
            <w:pPr>
              <w:spacing w:line="240" w:lineRule="auto"/>
              <w:ind w:firstLine="0" w:firstLineChars="0"/>
              <w:rPr>
                <w:rFonts w:hint="eastAsia"/>
                <w:sz w:val="21"/>
                <w:szCs w:val="21"/>
              </w:rPr>
            </w:pPr>
            <w:r>
              <w:rPr>
                <w:rFonts w:hint="eastAsia"/>
                <w:sz w:val="21"/>
                <w:szCs w:val="21"/>
              </w:rPr>
              <w:t>2.立杆基础，开挖规格长1.2*宽1.2*深1.5米，立杆基础的使用C25砼浇注制作及养护；</w:t>
            </w:r>
          </w:p>
          <w:p>
            <w:pPr>
              <w:spacing w:line="240" w:lineRule="auto"/>
              <w:ind w:firstLine="0" w:firstLineChars="0"/>
              <w:rPr>
                <w:rFonts w:hint="eastAsia"/>
                <w:sz w:val="21"/>
                <w:szCs w:val="21"/>
              </w:rPr>
            </w:pPr>
            <w:r>
              <w:rPr>
                <w:rFonts w:hint="eastAsia"/>
                <w:sz w:val="21"/>
                <w:szCs w:val="21"/>
              </w:rPr>
              <w:t>3.基础笼安装，PE32管2条引出；</w:t>
            </w:r>
          </w:p>
          <w:p>
            <w:pPr>
              <w:spacing w:line="240" w:lineRule="auto"/>
              <w:ind w:firstLine="0" w:firstLineChars="0"/>
              <w:rPr>
                <w:rFonts w:hint="eastAsia"/>
                <w:sz w:val="21"/>
                <w:szCs w:val="21"/>
              </w:rPr>
            </w:pPr>
            <w:r>
              <w:rPr>
                <w:rFonts w:hint="eastAsia"/>
                <w:sz w:val="21"/>
                <w:szCs w:val="21"/>
              </w:rPr>
              <w:t>4.立杆完成后恢复路面。</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5</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28</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光纤</w:t>
            </w:r>
          </w:p>
        </w:tc>
        <w:tc>
          <w:tcPr>
            <w:tcW w:w="3696" w:type="dxa"/>
            <w:vAlign w:val="center"/>
          </w:tcPr>
          <w:p>
            <w:pPr>
              <w:spacing w:line="240" w:lineRule="auto"/>
              <w:ind w:firstLine="0" w:firstLineChars="0"/>
              <w:rPr>
                <w:rFonts w:hint="eastAsia"/>
                <w:sz w:val="21"/>
                <w:szCs w:val="21"/>
              </w:rPr>
            </w:pPr>
            <w:r>
              <w:rPr>
                <w:rFonts w:hint="eastAsia"/>
                <w:sz w:val="21"/>
                <w:szCs w:val="21"/>
              </w:rPr>
              <w:t>8芯光纤</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750</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29</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互联通信模块</w:t>
            </w:r>
          </w:p>
        </w:tc>
        <w:tc>
          <w:tcPr>
            <w:tcW w:w="3696" w:type="dxa"/>
            <w:vAlign w:val="center"/>
          </w:tcPr>
          <w:p>
            <w:pPr>
              <w:spacing w:line="240" w:lineRule="auto"/>
              <w:ind w:firstLine="0" w:firstLineChars="0"/>
              <w:rPr>
                <w:rFonts w:hint="eastAsia"/>
                <w:sz w:val="21"/>
                <w:szCs w:val="21"/>
              </w:rPr>
            </w:pPr>
            <w:r>
              <w:rPr>
                <w:rFonts w:hint="eastAsia"/>
                <w:sz w:val="21"/>
                <w:szCs w:val="21"/>
              </w:rPr>
              <w:t>采用高性能全频段蜂窝无线模块，高性能专用路由芯片，采用铸造铝外壳设计，防水等级达到IP65，专用于户外环境宽电压输入支持DC9-50V，宽温设计支持-40+70摄氏度，低温环境自动加热</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89</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30</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集中式终端控制器</w:t>
            </w:r>
          </w:p>
        </w:tc>
        <w:tc>
          <w:tcPr>
            <w:tcW w:w="3696" w:type="dxa"/>
            <w:vAlign w:val="center"/>
          </w:tcPr>
          <w:p>
            <w:pPr>
              <w:spacing w:line="240" w:lineRule="auto"/>
              <w:ind w:firstLine="0" w:firstLineChars="0"/>
              <w:rPr>
                <w:rFonts w:hint="eastAsia"/>
                <w:sz w:val="21"/>
                <w:szCs w:val="21"/>
              </w:rPr>
            </w:pPr>
            <w:r>
              <w:rPr>
                <w:rFonts w:hint="eastAsia"/>
                <w:sz w:val="21"/>
                <w:szCs w:val="21"/>
              </w:rPr>
              <w:t>1.支持对电动自行车电子车牌射频数据、视频的过车过程、违法过程的图像、录像、数据、统计分析结果、日志数据进行实时处理、预览和存储，并可通过网络传输至中心服务器；</w:t>
            </w:r>
          </w:p>
          <w:p>
            <w:pPr>
              <w:spacing w:line="240" w:lineRule="auto"/>
              <w:ind w:firstLine="0" w:firstLineChars="0"/>
              <w:rPr>
                <w:rFonts w:hint="eastAsia"/>
                <w:sz w:val="21"/>
                <w:szCs w:val="21"/>
              </w:rPr>
            </w:pPr>
            <w:r>
              <w:rPr>
                <w:rFonts w:hint="eastAsia"/>
                <w:sz w:val="21"/>
                <w:szCs w:val="21"/>
              </w:rPr>
              <w:t>2.安全授权：设备支持操作权限管理、数据权限分级管理；</w:t>
            </w:r>
          </w:p>
          <w:p>
            <w:pPr>
              <w:spacing w:line="240" w:lineRule="auto"/>
              <w:ind w:firstLine="0" w:firstLineChars="0"/>
              <w:rPr>
                <w:rFonts w:hint="eastAsia"/>
                <w:sz w:val="21"/>
                <w:szCs w:val="21"/>
              </w:rPr>
            </w:pPr>
            <w:r>
              <w:rPr>
                <w:rFonts w:hint="eastAsia"/>
                <w:sz w:val="21"/>
                <w:szCs w:val="21"/>
              </w:rPr>
              <w:t>3.前后感知设备联动功能：支持正反射频、视频感知设备联动，实现车辆正面照和车辆反面照的智能融合匹配，并实现web页面预览正反面面图、车牌图、全景图、特写图；</w:t>
            </w:r>
          </w:p>
          <w:p>
            <w:pPr>
              <w:spacing w:line="240" w:lineRule="auto"/>
              <w:ind w:firstLine="0" w:firstLineChars="0"/>
              <w:rPr>
                <w:rFonts w:hint="eastAsia"/>
                <w:sz w:val="21"/>
                <w:szCs w:val="21"/>
              </w:rPr>
            </w:pPr>
            <w:r>
              <w:rPr>
                <w:rFonts w:hint="eastAsia"/>
                <w:sz w:val="21"/>
                <w:szCs w:val="21"/>
              </w:rPr>
              <w:t>4.断点续传功能：设备断网期间数据、图片、视频等数据在网络恢复后自动续至目标服务器。</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5</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31</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接地线</w:t>
            </w:r>
          </w:p>
        </w:tc>
        <w:tc>
          <w:tcPr>
            <w:tcW w:w="3696" w:type="dxa"/>
            <w:vAlign w:val="center"/>
          </w:tcPr>
          <w:p>
            <w:pPr>
              <w:spacing w:line="240" w:lineRule="auto"/>
              <w:ind w:firstLine="0" w:firstLineChars="0"/>
              <w:rPr>
                <w:rFonts w:hint="eastAsia"/>
                <w:sz w:val="21"/>
                <w:szCs w:val="21"/>
              </w:rPr>
            </w:pPr>
            <w:r>
              <w:rPr>
                <w:rFonts w:hint="eastAsia"/>
                <w:sz w:val="21"/>
                <w:szCs w:val="21"/>
              </w:rPr>
              <w:t>1.名称:铜芯电线；</w:t>
            </w:r>
          </w:p>
          <w:p>
            <w:pPr>
              <w:spacing w:line="240" w:lineRule="auto"/>
              <w:ind w:firstLine="0" w:firstLineChars="0"/>
              <w:rPr>
                <w:rFonts w:hint="eastAsia"/>
                <w:sz w:val="21"/>
                <w:szCs w:val="21"/>
              </w:rPr>
            </w:pPr>
            <w:r>
              <w:rPr>
                <w:rFonts w:hint="eastAsia"/>
                <w:sz w:val="21"/>
                <w:szCs w:val="21"/>
              </w:rPr>
              <w:t>2.BV25mm</w:t>
            </w:r>
            <w:r>
              <w:rPr>
                <w:rFonts w:hint="eastAsia"/>
                <w:sz w:val="21"/>
                <w:szCs w:val="21"/>
                <w:vertAlign w:val="superscript"/>
              </w:rPr>
              <w:t>2</w:t>
            </w:r>
            <w:r>
              <w:rPr>
                <w:rFonts w:hint="eastAsia"/>
                <w:sz w:val="21"/>
                <w:szCs w:val="21"/>
              </w:rPr>
              <w:t>；</w:t>
            </w:r>
          </w:p>
          <w:p>
            <w:pPr>
              <w:spacing w:line="240" w:lineRule="auto"/>
              <w:ind w:firstLine="0" w:firstLineChars="0"/>
              <w:rPr>
                <w:rFonts w:hint="eastAsia"/>
                <w:sz w:val="21"/>
                <w:szCs w:val="21"/>
              </w:rPr>
            </w:pPr>
            <w:r>
              <w:rPr>
                <w:rFonts w:hint="eastAsia"/>
                <w:sz w:val="21"/>
                <w:szCs w:val="21"/>
              </w:rPr>
              <w:t>3.立杆避雷针及设备箱到基础笼。</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980</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32</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接线端子</w:t>
            </w:r>
          </w:p>
        </w:tc>
        <w:tc>
          <w:tcPr>
            <w:tcW w:w="3696" w:type="dxa"/>
            <w:vAlign w:val="center"/>
          </w:tcPr>
          <w:p>
            <w:pPr>
              <w:spacing w:line="240" w:lineRule="auto"/>
              <w:ind w:firstLine="0" w:firstLineChars="0"/>
              <w:rPr>
                <w:rFonts w:hint="eastAsia"/>
                <w:sz w:val="21"/>
                <w:szCs w:val="21"/>
              </w:rPr>
            </w:pPr>
            <w:r>
              <w:rPr>
                <w:rFonts w:hint="eastAsia"/>
                <w:sz w:val="21"/>
                <w:szCs w:val="21"/>
              </w:rPr>
              <w:t>1KV绝缘穿刺线夹；主线50-150，支线6-50。</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247</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33</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禁停牌</w:t>
            </w:r>
          </w:p>
        </w:tc>
        <w:tc>
          <w:tcPr>
            <w:tcW w:w="3696" w:type="dxa"/>
            <w:vAlign w:val="center"/>
          </w:tcPr>
          <w:p>
            <w:pPr>
              <w:spacing w:line="240" w:lineRule="auto"/>
              <w:ind w:firstLine="0" w:firstLineChars="0"/>
              <w:rPr>
                <w:rFonts w:hint="eastAsia"/>
                <w:sz w:val="21"/>
                <w:szCs w:val="21"/>
              </w:rPr>
            </w:pPr>
            <w:r>
              <w:rPr>
                <w:rFonts w:hint="eastAsia"/>
                <w:sz w:val="21"/>
                <w:szCs w:val="21"/>
              </w:rPr>
              <w:t>1.名称:标志牌</w:t>
            </w:r>
            <w:r>
              <w:rPr>
                <w:rFonts w:hint="eastAsia"/>
                <w:sz w:val="21"/>
                <w:szCs w:val="21"/>
              </w:rPr>
              <w:br w:type="textWrapping"/>
            </w:r>
            <w:r>
              <w:rPr>
                <w:rFonts w:hint="eastAsia"/>
                <w:sz w:val="21"/>
                <w:szCs w:val="21"/>
              </w:rPr>
              <w:t>2.规格:标志牌φ800mm+800*800mm铝板，牌面贴工程级反光膜。</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178</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34</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警示牌立杆</w:t>
            </w:r>
          </w:p>
        </w:tc>
        <w:tc>
          <w:tcPr>
            <w:tcW w:w="3696" w:type="dxa"/>
            <w:vAlign w:val="center"/>
          </w:tcPr>
          <w:p>
            <w:pPr>
              <w:spacing w:line="240" w:lineRule="auto"/>
              <w:ind w:firstLine="0" w:firstLineChars="0"/>
              <w:rPr>
                <w:rFonts w:hint="eastAsia"/>
                <w:sz w:val="21"/>
                <w:szCs w:val="21"/>
              </w:rPr>
            </w:pPr>
            <w:r>
              <w:rPr>
                <w:rFonts w:hint="eastAsia"/>
                <w:sz w:val="21"/>
                <w:szCs w:val="21"/>
              </w:rPr>
              <w:t>1.规格尺寸:规格:Φ89×3.0×3500mm，钢管（热浸镀锌）；</w:t>
            </w:r>
          </w:p>
          <w:p>
            <w:pPr>
              <w:spacing w:line="240" w:lineRule="auto"/>
              <w:ind w:firstLine="0" w:firstLineChars="0"/>
              <w:rPr>
                <w:rFonts w:hint="eastAsia"/>
                <w:sz w:val="21"/>
                <w:szCs w:val="21"/>
              </w:rPr>
            </w:pPr>
            <w:r>
              <w:rPr>
                <w:rFonts w:hint="eastAsia"/>
                <w:sz w:val="21"/>
                <w:szCs w:val="21"/>
              </w:rPr>
              <w:t>2.类型:Q235B；</w:t>
            </w:r>
          </w:p>
          <w:p>
            <w:pPr>
              <w:spacing w:line="240" w:lineRule="auto"/>
              <w:ind w:firstLine="0" w:firstLineChars="0"/>
              <w:rPr>
                <w:rFonts w:hint="eastAsia"/>
                <w:sz w:val="21"/>
                <w:szCs w:val="21"/>
              </w:rPr>
            </w:pPr>
            <w:r>
              <w:rPr>
                <w:rFonts w:hint="eastAsia"/>
                <w:sz w:val="21"/>
                <w:szCs w:val="21"/>
              </w:rPr>
              <w:t>3.材质:底座法兰板300X300X12mm；</w:t>
            </w:r>
          </w:p>
          <w:p>
            <w:pPr>
              <w:spacing w:line="240" w:lineRule="auto"/>
              <w:ind w:firstLine="0" w:firstLineChars="0"/>
              <w:rPr>
                <w:rFonts w:hint="eastAsia"/>
                <w:sz w:val="21"/>
                <w:szCs w:val="21"/>
              </w:rPr>
            </w:pPr>
            <w:r>
              <w:rPr>
                <w:rFonts w:hint="eastAsia"/>
                <w:sz w:val="21"/>
                <w:szCs w:val="21"/>
              </w:rPr>
              <w:t>4.预埋件:8-M18-H500；</w:t>
            </w:r>
          </w:p>
          <w:p>
            <w:pPr>
              <w:spacing w:line="240" w:lineRule="auto"/>
              <w:ind w:firstLine="0" w:firstLineChars="0"/>
              <w:rPr>
                <w:rFonts w:hint="eastAsia"/>
                <w:sz w:val="21"/>
                <w:szCs w:val="21"/>
              </w:rPr>
            </w:pPr>
            <w:r>
              <w:rPr>
                <w:rFonts w:hint="eastAsia"/>
                <w:sz w:val="21"/>
                <w:szCs w:val="21"/>
              </w:rPr>
              <w:t>5.油漆品种:热镀锌，环氧富锌底漆两遍，银色调和漆两遍，防锈处理。</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5</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35</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警示牌立杆基础</w:t>
            </w:r>
          </w:p>
        </w:tc>
        <w:tc>
          <w:tcPr>
            <w:tcW w:w="3696" w:type="dxa"/>
            <w:vAlign w:val="center"/>
          </w:tcPr>
          <w:p>
            <w:pPr>
              <w:spacing w:line="240" w:lineRule="auto"/>
              <w:ind w:firstLine="0" w:firstLineChars="0"/>
              <w:rPr>
                <w:rFonts w:hint="eastAsia"/>
                <w:sz w:val="21"/>
                <w:szCs w:val="21"/>
              </w:rPr>
            </w:pPr>
            <w:r>
              <w:rPr>
                <w:rFonts w:hint="eastAsia"/>
                <w:sz w:val="21"/>
                <w:szCs w:val="21"/>
              </w:rPr>
              <w:t>1.填方来源、运距:人工装卸及运走开挖出土石方运距10KM；</w:t>
            </w:r>
          </w:p>
          <w:p>
            <w:pPr>
              <w:spacing w:line="240" w:lineRule="auto"/>
              <w:ind w:firstLine="0" w:firstLineChars="0"/>
              <w:rPr>
                <w:rFonts w:hint="eastAsia"/>
                <w:sz w:val="21"/>
                <w:szCs w:val="21"/>
              </w:rPr>
            </w:pPr>
            <w:r>
              <w:rPr>
                <w:rFonts w:hint="eastAsia"/>
                <w:sz w:val="21"/>
                <w:szCs w:val="21"/>
              </w:rPr>
              <w:t>2.立杆基础，开挖规格长0.5*宽0.5*深0.5米，立杆基础的使用C25砼浇注制作及养护；</w:t>
            </w:r>
          </w:p>
          <w:p>
            <w:pPr>
              <w:spacing w:line="240" w:lineRule="auto"/>
              <w:ind w:firstLine="0" w:firstLineChars="0"/>
              <w:rPr>
                <w:rFonts w:hint="eastAsia"/>
                <w:sz w:val="21"/>
                <w:szCs w:val="21"/>
              </w:rPr>
            </w:pPr>
            <w:r>
              <w:rPr>
                <w:rFonts w:hint="eastAsia"/>
                <w:sz w:val="21"/>
                <w:szCs w:val="21"/>
              </w:rPr>
              <w:t>3.基础笼安装；基础坑人工开挖及回填土人工夯实；</w:t>
            </w:r>
          </w:p>
          <w:p>
            <w:pPr>
              <w:spacing w:line="240" w:lineRule="auto"/>
              <w:ind w:firstLine="0" w:firstLineChars="0"/>
              <w:rPr>
                <w:rFonts w:hint="eastAsia"/>
                <w:sz w:val="21"/>
                <w:szCs w:val="21"/>
              </w:rPr>
            </w:pPr>
            <w:r>
              <w:rPr>
                <w:rFonts w:hint="eastAsia"/>
                <w:sz w:val="21"/>
                <w:szCs w:val="21"/>
              </w:rPr>
              <w:t>4.立杆完成后恢复路面。</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5</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36</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绝缘导线RVV3*4</w:t>
            </w:r>
          </w:p>
        </w:tc>
        <w:tc>
          <w:tcPr>
            <w:tcW w:w="3696" w:type="dxa"/>
            <w:vAlign w:val="center"/>
          </w:tcPr>
          <w:p>
            <w:pPr>
              <w:spacing w:line="240" w:lineRule="auto"/>
              <w:ind w:firstLine="420"/>
              <w:rPr>
                <w:rFonts w:hint="eastAsia"/>
                <w:sz w:val="21"/>
                <w:szCs w:val="21"/>
              </w:rPr>
            </w:pPr>
            <w:r>
              <w:rPr>
                <w:rFonts w:hint="eastAsia"/>
                <w:sz w:val="21"/>
                <w:szCs w:val="21"/>
              </w:rPr>
              <w:t>1.名称:绝缘导线；2.型号:RVV3*4；3.从电表箱拉到落地箱。</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25550</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37</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六类非屏蔽双绞线</w:t>
            </w:r>
          </w:p>
        </w:tc>
        <w:tc>
          <w:tcPr>
            <w:tcW w:w="3696" w:type="dxa"/>
            <w:vAlign w:val="center"/>
          </w:tcPr>
          <w:p>
            <w:pPr>
              <w:spacing w:line="240" w:lineRule="auto"/>
              <w:ind w:firstLine="0" w:firstLineChars="0"/>
              <w:rPr>
                <w:rFonts w:hint="eastAsia"/>
                <w:sz w:val="21"/>
                <w:szCs w:val="21"/>
              </w:rPr>
            </w:pPr>
            <w:r>
              <w:rPr>
                <w:rFonts w:hint="eastAsia"/>
                <w:sz w:val="21"/>
                <w:szCs w:val="21"/>
              </w:rPr>
              <w:t>1.名称:双绞线缆CAT6；</w:t>
            </w:r>
          </w:p>
          <w:p>
            <w:pPr>
              <w:spacing w:line="240" w:lineRule="auto"/>
              <w:ind w:firstLine="0" w:firstLineChars="0"/>
              <w:rPr>
                <w:rFonts w:hint="eastAsia"/>
                <w:sz w:val="21"/>
                <w:szCs w:val="21"/>
              </w:rPr>
            </w:pPr>
            <w:r>
              <w:rPr>
                <w:rFonts w:hint="eastAsia"/>
                <w:sz w:val="21"/>
                <w:szCs w:val="21"/>
              </w:rPr>
              <w:t>2.从监控设备到设备箱。</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3225</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38</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配电自动重合闸开关</w:t>
            </w:r>
          </w:p>
        </w:tc>
        <w:tc>
          <w:tcPr>
            <w:tcW w:w="3696" w:type="dxa"/>
            <w:vAlign w:val="center"/>
          </w:tcPr>
          <w:p>
            <w:pPr>
              <w:spacing w:line="240" w:lineRule="auto"/>
              <w:ind w:firstLine="0" w:firstLineChars="0"/>
              <w:rPr>
                <w:rFonts w:hint="eastAsia"/>
                <w:sz w:val="21"/>
                <w:szCs w:val="21"/>
              </w:rPr>
            </w:pPr>
            <w:r>
              <w:rPr>
                <w:rFonts w:hint="eastAsia"/>
                <w:sz w:val="21"/>
                <w:szCs w:val="21"/>
              </w:rPr>
              <w:t>安装在电表箱内：工作电压范围AC85V～285V@50Hz；额定电流16A；剩余动作电流30mAv剩余不动作电流15mA；漏电保护动作时间≤50msv自动重合闸三次重合闸时间依次为30秒/30分钟/1小时；过压保护电压270V±10V（默认值，过压点可重新设定）；欠压保护电压100V±10V（默认值，欠压点可重新设定）；过流保护电流6A@3S（出厂默认值，过流点可重新设定）；强过流/短路保护50A，保护时间≤50mS；防雷功能对后级用电设备提供Ⅲ级防雷保护。</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247</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39</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球机适配支架</w:t>
            </w:r>
          </w:p>
        </w:tc>
        <w:tc>
          <w:tcPr>
            <w:tcW w:w="3696" w:type="dxa"/>
            <w:vAlign w:val="center"/>
          </w:tcPr>
          <w:p>
            <w:pPr>
              <w:spacing w:line="240" w:lineRule="auto"/>
              <w:ind w:firstLine="0" w:firstLineChars="0"/>
              <w:rPr>
                <w:rFonts w:hint="eastAsia"/>
                <w:sz w:val="21"/>
                <w:szCs w:val="21"/>
              </w:rPr>
            </w:pPr>
            <w:r>
              <w:rPr>
                <w:rFonts w:hint="eastAsia"/>
                <w:sz w:val="21"/>
                <w:szCs w:val="21"/>
              </w:rPr>
              <w:t>定制支架</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140</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40</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市政引入敷设开挖</w:t>
            </w:r>
          </w:p>
        </w:tc>
        <w:tc>
          <w:tcPr>
            <w:tcW w:w="3696" w:type="dxa"/>
            <w:vAlign w:val="center"/>
          </w:tcPr>
          <w:p>
            <w:pPr>
              <w:spacing w:line="240" w:lineRule="auto"/>
              <w:ind w:firstLine="0" w:firstLineChars="0"/>
              <w:rPr>
                <w:rFonts w:hint="eastAsia"/>
                <w:sz w:val="21"/>
                <w:szCs w:val="21"/>
              </w:rPr>
            </w:pPr>
            <w:r>
              <w:rPr>
                <w:rFonts w:hint="eastAsia"/>
                <w:sz w:val="21"/>
                <w:szCs w:val="21"/>
              </w:rPr>
              <w:t>1.名称:市政引入敷设开挖；</w:t>
            </w:r>
          </w:p>
          <w:p>
            <w:pPr>
              <w:spacing w:line="240" w:lineRule="auto"/>
              <w:ind w:firstLine="0" w:firstLineChars="0"/>
              <w:rPr>
                <w:rFonts w:hint="eastAsia"/>
                <w:sz w:val="21"/>
                <w:szCs w:val="21"/>
              </w:rPr>
            </w:pPr>
            <w:r>
              <w:rPr>
                <w:rFonts w:hint="eastAsia"/>
                <w:sz w:val="21"/>
                <w:szCs w:val="21"/>
              </w:rPr>
              <w:t>2.备注:布供电电源线至市政供电部门位置，开挖深度符合市政部门要求，路面开挖埋管及恢复，宽度30CM，深度50CM，敷设管道及回填；</w:t>
            </w:r>
          </w:p>
          <w:p>
            <w:pPr>
              <w:spacing w:line="240" w:lineRule="auto"/>
              <w:ind w:firstLine="0" w:firstLineChars="0"/>
              <w:rPr>
                <w:rFonts w:hint="eastAsia"/>
                <w:sz w:val="21"/>
                <w:szCs w:val="21"/>
              </w:rPr>
            </w:pPr>
            <w:r>
              <w:rPr>
                <w:rFonts w:hint="eastAsia"/>
                <w:sz w:val="21"/>
                <w:szCs w:val="21"/>
              </w:rPr>
              <w:t>3.运距:人工装卸及运走开挖出土石方运距10KM。</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23950</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41</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数据通信卡</w:t>
            </w:r>
          </w:p>
        </w:tc>
        <w:tc>
          <w:tcPr>
            <w:tcW w:w="3696" w:type="dxa"/>
            <w:vAlign w:val="center"/>
          </w:tcPr>
          <w:p>
            <w:pPr>
              <w:spacing w:line="240" w:lineRule="auto"/>
              <w:ind w:firstLine="0" w:firstLineChars="0"/>
              <w:rPr>
                <w:rFonts w:hint="eastAsia"/>
                <w:sz w:val="21"/>
                <w:szCs w:val="21"/>
              </w:rPr>
            </w:pPr>
            <w:r>
              <w:rPr>
                <w:rFonts w:hint="eastAsia"/>
                <w:sz w:val="21"/>
                <w:szCs w:val="21"/>
              </w:rPr>
              <w:t>提供流量卡，每套含3年流量资费</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89</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42</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水晶头</w:t>
            </w:r>
          </w:p>
        </w:tc>
        <w:tc>
          <w:tcPr>
            <w:tcW w:w="3696" w:type="dxa"/>
            <w:vAlign w:val="center"/>
          </w:tcPr>
          <w:p>
            <w:pPr>
              <w:spacing w:line="240" w:lineRule="auto"/>
              <w:ind w:firstLine="0" w:firstLineChars="0"/>
              <w:rPr>
                <w:rFonts w:hint="eastAsia"/>
                <w:sz w:val="21"/>
                <w:szCs w:val="21"/>
              </w:rPr>
            </w:pPr>
            <w:r>
              <w:rPr>
                <w:rFonts w:hint="eastAsia"/>
                <w:sz w:val="21"/>
                <w:szCs w:val="21"/>
              </w:rPr>
              <w:t>1.名称:六类水晶头</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1830</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43</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太阳能光伏板（含一体化支架）</w:t>
            </w:r>
          </w:p>
        </w:tc>
        <w:tc>
          <w:tcPr>
            <w:tcW w:w="3696" w:type="dxa"/>
            <w:vAlign w:val="center"/>
          </w:tcPr>
          <w:p>
            <w:pPr>
              <w:spacing w:line="240" w:lineRule="auto"/>
              <w:ind w:firstLine="0" w:firstLineChars="0"/>
              <w:rPr>
                <w:rFonts w:hint="eastAsia"/>
                <w:sz w:val="21"/>
                <w:szCs w:val="21"/>
              </w:rPr>
            </w:pPr>
            <w:r>
              <w:rPr>
                <w:rFonts w:hint="eastAsia"/>
                <w:sz w:val="21"/>
                <w:szCs w:val="21"/>
              </w:rPr>
              <w:t>峰值输出功率：100W峰值输出电压：18.4V峰值输出电流：5.75A开路电压：21.4V短路电流：6.08A电池片发电效率：20%~22%电池片类型：单晶电池片</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178</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44</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万向支架</w:t>
            </w:r>
          </w:p>
        </w:tc>
        <w:tc>
          <w:tcPr>
            <w:tcW w:w="3696" w:type="dxa"/>
            <w:vAlign w:val="center"/>
          </w:tcPr>
          <w:p>
            <w:pPr>
              <w:spacing w:line="240" w:lineRule="auto"/>
              <w:ind w:firstLine="0" w:firstLineChars="0"/>
              <w:rPr>
                <w:rFonts w:hint="eastAsia"/>
                <w:sz w:val="21"/>
                <w:szCs w:val="21"/>
              </w:rPr>
            </w:pPr>
            <w:r>
              <w:rPr>
                <w:rFonts w:hint="eastAsia"/>
                <w:sz w:val="21"/>
                <w:szCs w:val="21"/>
              </w:rPr>
              <w:t>枪机/筒机支架(室外-柱装-载重20kg-含抱箍)，万向节(室外-载重20kg)。</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531</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45</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引上布管</w:t>
            </w:r>
          </w:p>
        </w:tc>
        <w:tc>
          <w:tcPr>
            <w:tcW w:w="3696" w:type="dxa"/>
            <w:vAlign w:val="center"/>
          </w:tcPr>
          <w:p>
            <w:pPr>
              <w:spacing w:line="240" w:lineRule="auto"/>
              <w:ind w:firstLine="0" w:firstLineChars="0"/>
              <w:rPr>
                <w:rFonts w:hint="eastAsia"/>
                <w:sz w:val="21"/>
                <w:szCs w:val="21"/>
              </w:rPr>
            </w:pPr>
            <w:r>
              <w:rPr>
                <w:rFonts w:hint="eastAsia"/>
                <w:sz w:val="21"/>
                <w:szCs w:val="21"/>
              </w:rPr>
              <w:t>1.名称:刚性难燃管PVC20；</w:t>
            </w:r>
          </w:p>
          <w:p>
            <w:pPr>
              <w:spacing w:line="240" w:lineRule="auto"/>
              <w:ind w:firstLine="0" w:firstLineChars="0"/>
              <w:rPr>
                <w:rFonts w:hint="eastAsia"/>
                <w:sz w:val="21"/>
                <w:szCs w:val="21"/>
              </w:rPr>
            </w:pPr>
            <w:r>
              <w:rPr>
                <w:rFonts w:hint="eastAsia"/>
                <w:sz w:val="21"/>
                <w:szCs w:val="21"/>
              </w:rPr>
              <w:t>2.配置形式:明配。</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2400</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46</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智能射频识别天线</w:t>
            </w:r>
          </w:p>
        </w:tc>
        <w:tc>
          <w:tcPr>
            <w:tcW w:w="3696" w:type="dxa"/>
            <w:vAlign w:val="center"/>
          </w:tcPr>
          <w:p>
            <w:pPr>
              <w:spacing w:line="240" w:lineRule="auto"/>
              <w:ind w:firstLine="0" w:firstLineChars="0"/>
              <w:rPr>
                <w:rFonts w:hint="eastAsia"/>
                <w:sz w:val="21"/>
                <w:szCs w:val="21"/>
              </w:rPr>
            </w:pPr>
            <w:r>
              <w:rPr>
                <w:rFonts w:hint="eastAsia"/>
                <w:sz w:val="21"/>
                <w:szCs w:val="21"/>
              </w:rPr>
              <w:t>1.工作频率：920～925MHz；</w:t>
            </w:r>
          </w:p>
          <w:p>
            <w:pPr>
              <w:spacing w:line="240" w:lineRule="auto"/>
              <w:ind w:firstLine="0" w:firstLineChars="0"/>
              <w:rPr>
                <w:rFonts w:hint="eastAsia"/>
                <w:sz w:val="21"/>
                <w:szCs w:val="21"/>
              </w:rPr>
            </w:pPr>
            <w:r>
              <w:rPr>
                <w:rFonts w:hint="eastAsia"/>
                <w:sz w:val="21"/>
                <w:szCs w:val="21"/>
              </w:rPr>
              <w:t>2.驻波比：小于等于1.2；</w:t>
            </w:r>
          </w:p>
          <w:p>
            <w:pPr>
              <w:spacing w:line="240" w:lineRule="auto"/>
              <w:ind w:firstLine="0" w:firstLineChars="0"/>
              <w:rPr>
                <w:rFonts w:hint="eastAsia"/>
                <w:sz w:val="21"/>
                <w:szCs w:val="21"/>
              </w:rPr>
            </w:pPr>
            <w:r>
              <w:rPr>
                <w:rFonts w:hint="eastAsia"/>
                <w:sz w:val="21"/>
                <w:szCs w:val="21"/>
              </w:rPr>
              <w:t>3.极化方式：线极化；</w:t>
            </w:r>
          </w:p>
          <w:p>
            <w:pPr>
              <w:spacing w:line="240" w:lineRule="auto"/>
              <w:ind w:firstLine="0" w:firstLineChars="0"/>
              <w:rPr>
                <w:rFonts w:hint="eastAsia"/>
                <w:sz w:val="21"/>
                <w:szCs w:val="21"/>
              </w:rPr>
            </w:pPr>
            <w:r>
              <w:rPr>
                <w:rFonts w:hint="eastAsia"/>
                <w:sz w:val="21"/>
                <w:szCs w:val="21"/>
              </w:rPr>
              <w:t>4.增益：12dbi。</w:t>
            </w:r>
          </w:p>
        </w:tc>
        <w:tc>
          <w:tcPr>
            <w:tcW w:w="1583" w:type="dxa"/>
            <w:vAlign w:val="center"/>
          </w:tcPr>
          <w:p>
            <w:pPr>
              <w:spacing w:line="240" w:lineRule="auto"/>
              <w:ind w:firstLine="0" w:firstLineChars="0"/>
              <w:jc w:val="center"/>
              <w:rPr>
                <w:rFonts w:hint="eastAsia" w:eastAsia="仿宋"/>
                <w:sz w:val="21"/>
                <w:szCs w:val="21"/>
                <w:lang w:val="en-US" w:eastAsia="zh-CN"/>
              </w:rPr>
            </w:pPr>
            <w:r>
              <w:rPr>
                <w:rFonts w:hint="eastAsia"/>
                <w:sz w:val="21"/>
                <w:szCs w:val="21"/>
              </w:rPr>
              <w:t>1</w:t>
            </w:r>
            <w:r>
              <w:rPr>
                <w:rFonts w:hint="eastAsia"/>
                <w:sz w:val="21"/>
                <w:szCs w:val="21"/>
                <w:lang w:val="en-US" w:eastAsia="zh-CN"/>
              </w:rPr>
              <w:t>0</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47</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智能综合落地柜</w:t>
            </w:r>
          </w:p>
        </w:tc>
        <w:tc>
          <w:tcPr>
            <w:tcW w:w="3696" w:type="dxa"/>
            <w:vAlign w:val="center"/>
          </w:tcPr>
          <w:p>
            <w:pPr>
              <w:spacing w:line="240" w:lineRule="auto"/>
              <w:ind w:firstLine="0" w:firstLineChars="0"/>
              <w:rPr>
                <w:rFonts w:hint="eastAsia"/>
                <w:sz w:val="21"/>
                <w:szCs w:val="21"/>
              </w:rPr>
            </w:pPr>
            <w:r>
              <w:rPr>
                <w:rFonts w:hint="eastAsia"/>
                <w:sz w:val="21"/>
                <w:szCs w:val="21"/>
              </w:rPr>
              <w:t>路口防水机柜1.2米高，含配电安装板及导轨，含漏电保护器、主电源防雷器、莫属插座、风扇，符合IP65防护等级。</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50</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48</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智能综合落地柜基础</w:t>
            </w:r>
          </w:p>
        </w:tc>
        <w:tc>
          <w:tcPr>
            <w:tcW w:w="3696" w:type="dxa"/>
            <w:vAlign w:val="center"/>
          </w:tcPr>
          <w:p>
            <w:pPr>
              <w:spacing w:line="240" w:lineRule="auto"/>
              <w:ind w:firstLine="0" w:firstLineChars="0"/>
              <w:rPr>
                <w:rFonts w:hint="eastAsia"/>
                <w:sz w:val="21"/>
                <w:szCs w:val="21"/>
              </w:rPr>
            </w:pPr>
            <w:r>
              <w:rPr>
                <w:rFonts w:hint="eastAsia"/>
                <w:sz w:val="21"/>
                <w:szCs w:val="21"/>
              </w:rPr>
              <w:t>1.规格：500mm*600mm*500mm</w:t>
            </w:r>
          </w:p>
          <w:p>
            <w:pPr>
              <w:spacing w:line="240" w:lineRule="auto"/>
              <w:ind w:firstLine="0" w:firstLineChars="0"/>
              <w:rPr>
                <w:rFonts w:hint="eastAsia"/>
                <w:sz w:val="21"/>
                <w:szCs w:val="21"/>
              </w:rPr>
            </w:pPr>
            <w:r>
              <w:rPr>
                <w:rFonts w:hint="eastAsia"/>
                <w:sz w:val="21"/>
                <w:szCs w:val="21"/>
              </w:rPr>
              <w:t>2.基础、垫层:材料品种、厚度:碎石垫层，C25混凝土基础、防雷接地</w:t>
            </w:r>
          </w:p>
          <w:p>
            <w:pPr>
              <w:spacing w:line="240" w:lineRule="auto"/>
              <w:ind w:firstLine="0" w:firstLineChars="0"/>
              <w:rPr>
                <w:rFonts w:hint="eastAsia"/>
                <w:sz w:val="21"/>
                <w:szCs w:val="21"/>
              </w:rPr>
            </w:pPr>
            <w:r>
              <w:rPr>
                <w:rFonts w:hint="eastAsia"/>
                <w:sz w:val="21"/>
                <w:szCs w:val="21"/>
              </w:rPr>
              <w:t>3.其他:土方，高出地面部分的大理石、混凝土、绿化带、沥青等。</w:t>
            </w:r>
          </w:p>
          <w:p>
            <w:pPr>
              <w:spacing w:line="240" w:lineRule="auto"/>
              <w:ind w:firstLine="0" w:firstLineChars="0"/>
              <w:rPr>
                <w:rFonts w:hint="eastAsia"/>
                <w:sz w:val="21"/>
                <w:szCs w:val="21"/>
              </w:rPr>
            </w:pPr>
            <w:r>
              <w:rPr>
                <w:rFonts w:hint="eastAsia"/>
                <w:sz w:val="21"/>
                <w:szCs w:val="21"/>
              </w:rPr>
              <w:t>4.运距:人工装卸及运走开挖出土石方运距10KM。</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50</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49</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智能综合一体柜</w:t>
            </w:r>
          </w:p>
        </w:tc>
        <w:tc>
          <w:tcPr>
            <w:tcW w:w="3696" w:type="dxa"/>
            <w:vAlign w:val="center"/>
          </w:tcPr>
          <w:p>
            <w:pPr>
              <w:widowControl/>
              <w:spacing w:line="240" w:lineRule="auto"/>
              <w:ind w:firstLine="0" w:firstLineChars="0"/>
              <w:rPr>
                <w:rStyle w:val="31"/>
                <w:rFonts w:hint="eastAsia"/>
                <w:szCs w:val="21"/>
              </w:rPr>
            </w:pPr>
            <w:r>
              <w:rPr>
                <w:rStyle w:val="31"/>
                <w:rFonts w:hint="eastAsia"/>
                <w:szCs w:val="21"/>
              </w:rPr>
              <w:t>1.模块化设计，安装维护简单便捷</w:t>
            </w:r>
          </w:p>
          <w:p>
            <w:pPr>
              <w:widowControl/>
              <w:spacing w:line="240" w:lineRule="auto"/>
              <w:ind w:firstLine="0" w:firstLineChars="0"/>
              <w:rPr>
                <w:rStyle w:val="31"/>
                <w:rFonts w:hint="eastAsia"/>
                <w:szCs w:val="21"/>
              </w:rPr>
            </w:pPr>
            <w:r>
              <w:rPr>
                <w:rStyle w:val="31"/>
                <w:rFonts w:hint="eastAsia"/>
                <w:szCs w:val="21"/>
              </w:rPr>
              <w:t>2.支持设备远程重启</w:t>
            </w:r>
          </w:p>
          <w:p>
            <w:pPr>
              <w:widowControl/>
              <w:spacing w:line="240" w:lineRule="auto"/>
              <w:ind w:firstLine="0" w:firstLineChars="0"/>
              <w:rPr>
                <w:rStyle w:val="31"/>
                <w:rFonts w:hint="eastAsia"/>
                <w:szCs w:val="21"/>
              </w:rPr>
            </w:pPr>
            <w:r>
              <w:rPr>
                <w:rStyle w:val="31"/>
                <w:rFonts w:hint="eastAsia"/>
                <w:szCs w:val="21"/>
              </w:rPr>
              <w:t>3.支持用电检测与统计</w:t>
            </w:r>
          </w:p>
          <w:p>
            <w:pPr>
              <w:widowControl/>
              <w:spacing w:line="240" w:lineRule="auto"/>
              <w:ind w:firstLine="0" w:firstLineChars="0"/>
              <w:rPr>
                <w:rStyle w:val="31"/>
                <w:rFonts w:hint="eastAsia"/>
                <w:szCs w:val="21"/>
              </w:rPr>
            </w:pPr>
            <w:r>
              <w:rPr>
                <w:rStyle w:val="31"/>
                <w:rFonts w:hint="eastAsia"/>
                <w:szCs w:val="21"/>
              </w:rPr>
              <w:t>4.支持市电掉电告警、设备离线告警</w:t>
            </w:r>
          </w:p>
          <w:p>
            <w:pPr>
              <w:widowControl/>
              <w:spacing w:line="240" w:lineRule="auto"/>
              <w:ind w:firstLine="0" w:firstLineChars="0"/>
              <w:rPr>
                <w:rStyle w:val="31"/>
                <w:rFonts w:hint="eastAsia"/>
                <w:szCs w:val="21"/>
              </w:rPr>
            </w:pPr>
            <w:r>
              <w:rPr>
                <w:rStyle w:val="31"/>
                <w:rFonts w:hint="eastAsia"/>
                <w:szCs w:val="21"/>
              </w:rPr>
              <w:t>5.不少于16路常亮灯、频闪灯、环保卡口灯接入与管理，支持补光灯白天灯亮告警、夜晚灯熄告警</w:t>
            </w:r>
            <w:r>
              <w:rPr>
                <w:rFonts w:hint="eastAsia" w:cs="宋体"/>
                <w:sz w:val="21"/>
                <w:szCs w:val="21"/>
              </w:rPr>
              <w:t>；</w:t>
            </w:r>
          </w:p>
          <w:p>
            <w:pPr>
              <w:widowControl/>
              <w:spacing w:line="240" w:lineRule="auto"/>
              <w:ind w:firstLine="0" w:firstLineChars="0"/>
              <w:rPr>
                <w:rStyle w:val="31"/>
                <w:rFonts w:hint="eastAsia"/>
                <w:szCs w:val="21"/>
              </w:rPr>
            </w:pPr>
            <w:r>
              <w:rPr>
                <w:rStyle w:val="31"/>
                <w:rFonts w:hint="eastAsia"/>
                <w:szCs w:val="21"/>
              </w:rPr>
              <w:t>6.支持开箱告警、震动告警、倾斜告警、水浸告警</w:t>
            </w:r>
          </w:p>
          <w:p>
            <w:pPr>
              <w:widowControl/>
              <w:spacing w:line="240" w:lineRule="auto"/>
              <w:ind w:firstLine="0" w:firstLineChars="0"/>
              <w:rPr>
                <w:rStyle w:val="31"/>
                <w:rFonts w:hint="eastAsia"/>
                <w:szCs w:val="21"/>
              </w:rPr>
            </w:pPr>
            <w:r>
              <w:rPr>
                <w:rStyle w:val="31"/>
                <w:rFonts w:hint="eastAsia"/>
                <w:szCs w:val="21"/>
              </w:rPr>
              <w:t>7.预留充足外设空间，满足用户对功能扩展的需求</w:t>
            </w:r>
          </w:p>
          <w:p>
            <w:pPr>
              <w:widowControl/>
              <w:spacing w:line="240" w:lineRule="auto"/>
              <w:ind w:firstLine="0" w:firstLineChars="0"/>
              <w:rPr>
                <w:rStyle w:val="31"/>
                <w:rFonts w:hint="eastAsia"/>
                <w:szCs w:val="21"/>
              </w:rPr>
            </w:pPr>
            <w:r>
              <w:rPr>
                <w:rStyle w:val="31"/>
                <w:rFonts w:hint="eastAsia"/>
                <w:szCs w:val="21"/>
              </w:rPr>
              <w:t>8.支持开箱亮灯、风扇自动启停、加热器自动启停</w:t>
            </w:r>
          </w:p>
          <w:p>
            <w:pPr>
              <w:widowControl/>
              <w:spacing w:line="240" w:lineRule="auto"/>
              <w:ind w:firstLine="0" w:firstLineChars="0"/>
              <w:rPr>
                <w:rStyle w:val="31"/>
                <w:rFonts w:hint="eastAsia"/>
                <w:szCs w:val="21"/>
              </w:rPr>
            </w:pPr>
            <w:r>
              <w:rPr>
                <w:rStyle w:val="31"/>
                <w:rFonts w:hint="eastAsia"/>
                <w:szCs w:val="21"/>
              </w:rPr>
              <w:t>9.支持输出端口自定义，支持配置不同控制策略，支持功率学习</w:t>
            </w:r>
          </w:p>
          <w:p>
            <w:pPr>
              <w:spacing w:line="240" w:lineRule="auto"/>
              <w:ind w:firstLine="0" w:firstLineChars="0"/>
              <w:rPr>
                <w:rFonts w:hint="eastAsia"/>
                <w:sz w:val="21"/>
                <w:szCs w:val="21"/>
              </w:rPr>
            </w:pPr>
            <w:r>
              <w:rPr>
                <w:rStyle w:val="31"/>
                <w:rFonts w:hint="eastAsia"/>
                <w:szCs w:val="21"/>
              </w:rPr>
              <w:t>10.可配置智能补光灯的工作模式（至少包括：光敏控制、手动控制、频爆模式、三合一、四合一模式）。</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178</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50</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工业级网管交换机</w:t>
            </w:r>
          </w:p>
        </w:tc>
        <w:tc>
          <w:tcPr>
            <w:tcW w:w="3696" w:type="dxa"/>
            <w:vAlign w:val="center"/>
          </w:tcPr>
          <w:p>
            <w:pPr>
              <w:spacing w:line="240" w:lineRule="auto"/>
              <w:ind w:firstLine="0" w:firstLineChars="0"/>
              <w:rPr>
                <w:rFonts w:hint="eastAsia"/>
                <w:sz w:val="21"/>
                <w:szCs w:val="21"/>
              </w:rPr>
            </w:pPr>
            <w:r>
              <w:rPr>
                <w:rFonts w:hint="eastAsia"/>
                <w:sz w:val="21"/>
                <w:szCs w:val="21"/>
              </w:rPr>
              <w:t>工业级2光8电，传输速度1000M，传输距离40km,独立式，使用在前端</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235</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2" w:type="dxa"/>
            <w:gridSpan w:val="5"/>
            <w:vAlign w:val="center"/>
          </w:tcPr>
          <w:p>
            <w:pPr>
              <w:spacing w:line="240" w:lineRule="auto"/>
              <w:ind w:firstLine="0" w:firstLineChars="0"/>
              <w:rPr>
                <w:rFonts w:hint="eastAsia"/>
                <w:sz w:val="21"/>
                <w:szCs w:val="21"/>
              </w:rPr>
            </w:pPr>
            <w:r>
              <w:rPr>
                <w:rFonts w:hint="eastAsia"/>
                <w:b/>
                <w:bCs/>
                <w:sz w:val="21"/>
                <w:szCs w:val="21"/>
              </w:rPr>
              <w:t>三、后端设备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1</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汇聚交换机</w:t>
            </w:r>
          </w:p>
        </w:tc>
        <w:tc>
          <w:tcPr>
            <w:tcW w:w="3696" w:type="dxa"/>
            <w:vAlign w:val="center"/>
          </w:tcPr>
          <w:p>
            <w:pPr>
              <w:spacing w:line="240" w:lineRule="auto"/>
              <w:ind w:firstLine="0" w:firstLineChars="0"/>
              <w:rPr>
                <w:rFonts w:hint="eastAsia"/>
                <w:sz w:val="21"/>
                <w:szCs w:val="21"/>
              </w:rPr>
            </w:pPr>
            <w:r>
              <w:rPr>
                <w:rFonts w:hint="eastAsia"/>
                <w:sz w:val="21"/>
                <w:szCs w:val="21"/>
              </w:rPr>
              <w:t>1.名称:前端汇聚交换机</w:t>
            </w:r>
            <w:r>
              <w:rPr>
                <w:rFonts w:hint="eastAsia"/>
                <w:sz w:val="21"/>
                <w:szCs w:val="21"/>
              </w:rPr>
              <w:br w:type="textWrapping"/>
            </w:r>
            <w:r>
              <w:rPr>
                <w:rFonts w:hint="eastAsia"/>
                <w:sz w:val="21"/>
                <w:szCs w:val="21"/>
              </w:rPr>
              <w:t>2.规格:(24个10/100/1000BASE-T以太网端口,4个万兆SFP+,交流供电)</w:t>
            </w:r>
            <w:r>
              <w:rPr>
                <w:rFonts w:hint="eastAsia"/>
                <w:sz w:val="21"/>
                <w:szCs w:val="21"/>
              </w:rPr>
              <w:br w:type="textWrapping"/>
            </w:r>
            <w:r>
              <w:rPr>
                <w:rFonts w:hint="eastAsia"/>
                <w:sz w:val="21"/>
                <w:szCs w:val="21"/>
              </w:rPr>
              <w:t>交换容量336Gbps/3.36Tbps，包转发率108/126Mpps</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2</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2</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视频图像存储服务器</w:t>
            </w:r>
          </w:p>
        </w:tc>
        <w:tc>
          <w:tcPr>
            <w:tcW w:w="3696" w:type="dxa"/>
            <w:vAlign w:val="center"/>
          </w:tcPr>
          <w:p>
            <w:pPr>
              <w:spacing w:line="240" w:lineRule="auto"/>
              <w:ind w:firstLine="0" w:firstLineChars="0"/>
              <w:rPr>
                <w:rFonts w:hint="eastAsia"/>
                <w:sz w:val="21"/>
                <w:szCs w:val="21"/>
              </w:rPr>
            </w:pPr>
            <w:r>
              <w:rPr>
                <w:rFonts w:hint="eastAsia"/>
                <w:sz w:val="21"/>
                <w:szCs w:val="21"/>
              </w:rPr>
              <w:t>1、配置至少两颗32核处理器，主频应不低于2.6GHz，三级缓存最高32MB；</w:t>
            </w:r>
            <w:r>
              <w:rPr>
                <w:rFonts w:hint="eastAsia"/>
                <w:sz w:val="21"/>
                <w:szCs w:val="21"/>
              </w:rPr>
              <w:br w:type="textWrapping"/>
            </w:r>
            <w:r>
              <w:rPr>
                <w:rFonts w:hint="eastAsia"/>
                <w:sz w:val="21"/>
                <w:szCs w:val="21"/>
              </w:rPr>
              <w:t>2、内存配置不低于64GB，采用DDR4、3200MHz及以上规格，支持内存扩展；</w:t>
            </w:r>
            <w:r>
              <w:rPr>
                <w:rFonts w:hint="eastAsia"/>
                <w:sz w:val="21"/>
                <w:szCs w:val="21"/>
              </w:rPr>
              <w:br w:type="textWrapping"/>
            </w:r>
            <w:r>
              <w:rPr>
                <w:rFonts w:hint="eastAsia"/>
                <w:sz w:val="21"/>
                <w:szCs w:val="21"/>
              </w:rPr>
              <w:t>3、最大业务磁盘数量不少于36，支持8TB/10TB/16TB/18TBSATA企业盘；</w:t>
            </w:r>
            <w:r>
              <w:rPr>
                <w:rFonts w:hint="eastAsia"/>
                <w:sz w:val="21"/>
                <w:szCs w:val="21"/>
              </w:rPr>
              <w:br w:type="textWrapping"/>
            </w:r>
            <w:r>
              <w:rPr>
                <w:rFonts w:hint="eastAsia"/>
                <w:sz w:val="21"/>
                <w:szCs w:val="21"/>
              </w:rPr>
              <w:t>4、为满足业务的高可靠性及高可用，该存储系统需满足分布式全对称架构，单台服务器支持用户管理、设备管理、设备接入、外域平台对接、视频/图片存储转发，不需要另外部署对应业务的独立服务器，也不需要另外增加硬件配置（CPU、内存），所有节点均可提供业务；</w:t>
            </w:r>
            <w:r>
              <w:rPr>
                <w:rFonts w:hint="eastAsia"/>
                <w:sz w:val="21"/>
                <w:szCs w:val="21"/>
              </w:rPr>
              <w:br w:type="textWrapping"/>
            </w:r>
            <w:r>
              <w:rPr>
                <w:rFonts w:hint="eastAsia"/>
                <w:sz w:val="21"/>
                <w:szCs w:val="21"/>
              </w:rPr>
              <w:t>5、为满足国产化要求，设备需采用国产操作系统；采用国产数据库；</w:t>
            </w:r>
            <w:r>
              <w:rPr>
                <w:rFonts w:hint="eastAsia"/>
                <w:sz w:val="21"/>
                <w:szCs w:val="21"/>
              </w:rPr>
              <w:br w:type="textWrapping"/>
            </w:r>
            <w:r>
              <w:rPr>
                <w:rFonts w:hint="eastAsia"/>
                <w:sz w:val="21"/>
                <w:szCs w:val="21"/>
              </w:rPr>
              <w:t>6、单台可支持摄像机视频接入路数不小于5400路；可同时支持视频存储不小于1200路，视频转发不小于600路，录像下载不小于600路；单台可并发支持视频存储带宽不小于2400Mbps，视频转发带宽不小于1200Mbps，录像下载不小于1200Mbps；</w:t>
            </w:r>
            <w:r>
              <w:rPr>
                <w:rFonts w:hint="eastAsia"/>
                <w:sz w:val="21"/>
                <w:szCs w:val="21"/>
              </w:rPr>
              <w:br w:type="textWrapping"/>
            </w:r>
            <w:r>
              <w:rPr>
                <w:rFonts w:hint="eastAsia"/>
                <w:sz w:val="21"/>
                <w:szCs w:val="21"/>
              </w:rPr>
              <w:t>7、服务状态异常情况下守护进程在30s可拉起服务；系统掉电恢复后，系统自动重启，业务自动恢复，不需要人工干预；支持管理服务数据备份故障恢复（数据保险箱功能），每天备份1次，支持最近2天的有效数据备份；支持历史数据自动清理的能力，数据清理不影响业务运行。</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3</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3</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企业级高性能硬盘</w:t>
            </w:r>
          </w:p>
        </w:tc>
        <w:tc>
          <w:tcPr>
            <w:tcW w:w="3696" w:type="dxa"/>
            <w:vAlign w:val="center"/>
          </w:tcPr>
          <w:p>
            <w:pPr>
              <w:spacing w:line="240" w:lineRule="auto"/>
              <w:ind w:firstLine="0" w:firstLineChars="0"/>
              <w:rPr>
                <w:rFonts w:hint="eastAsia"/>
                <w:sz w:val="21"/>
                <w:szCs w:val="21"/>
              </w:rPr>
            </w:pPr>
            <w:r>
              <w:rPr>
                <w:rFonts w:hint="eastAsia"/>
                <w:sz w:val="21"/>
                <w:szCs w:val="21"/>
              </w:rPr>
              <w:t>10TB7.2KRPMSATA硬盘单元(3.5")</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84</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4</w:t>
            </w:r>
          </w:p>
        </w:tc>
        <w:tc>
          <w:tcPr>
            <w:tcW w:w="1408" w:type="dxa"/>
          </w:tcPr>
          <w:p>
            <w:pPr>
              <w:spacing w:line="240" w:lineRule="auto"/>
              <w:ind w:firstLine="0" w:firstLineChars="0"/>
              <w:jc w:val="center"/>
              <w:rPr>
                <w:rFonts w:hint="eastAsia"/>
                <w:sz w:val="21"/>
                <w:szCs w:val="21"/>
              </w:rPr>
            </w:pPr>
            <w:r>
              <w:rPr>
                <w:rFonts w:hint="eastAsia"/>
                <w:sz w:val="21"/>
                <w:szCs w:val="21"/>
              </w:rPr>
              <w:t>万兆光模块</w:t>
            </w:r>
          </w:p>
        </w:tc>
        <w:tc>
          <w:tcPr>
            <w:tcW w:w="3696" w:type="dxa"/>
            <w:vAlign w:val="center"/>
          </w:tcPr>
          <w:p>
            <w:pPr>
              <w:spacing w:line="240" w:lineRule="auto"/>
              <w:ind w:firstLine="0" w:firstLineChars="0"/>
              <w:rPr>
                <w:rFonts w:hint="eastAsia"/>
                <w:sz w:val="21"/>
                <w:szCs w:val="21"/>
              </w:rPr>
            </w:pPr>
            <w:r>
              <w:rPr>
                <w:sz w:val="21"/>
                <w:szCs w:val="21"/>
              </w:rPr>
              <w:t>多模模块:波长850nm</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6</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5</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本级监控通道数</w:t>
            </w:r>
          </w:p>
        </w:tc>
        <w:tc>
          <w:tcPr>
            <w:tcW w:w="3696" w:type="dxa"/>
            <w:vAlign w:val="center"/>
          </w:tcPr>
          <w:p>
            <w:pPr>
              <w:spacing w:line="240" w:lineRule="auto"/>
              <w:ind w:firstLine="0" w:firstLineChars="0"/>
              <w:rPr>
                <w:rFonts w:hint="eastAsia"/>
                <w:sz w:val="21"/>
                <w:szCs w:val="21"/>
              </w:rPr>
            </w:pPr>
            <w:r>
              <w:rPr>
                <w:rFonts w:hint="eastAsia"/>
                <w:sz w:val="21"/>
                <w:szCs w:val="21"/>
              </w:rPr>
              <w:t>本级监控通道数</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600</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2" w:type="dxa"/>
            <w:gridSpan w:val="5"/>
            <w:vAlign w:val="center"/>
          </w:tcPr>
          <w:p>
            <w:pPr>
              <w:spacing w:line="240" w:lineRule="auto"/>
              <w:ind w:firstLine="0" w:firstLineChars="0"/>
              <w:rPr>
                <w:rFonts w:hint="eastAsia"/>
                <w:sz w:val="21"/>
                <w:szCs w:val="21"/>
              </w:rPr>
            </w:pPr>
            <w:r>
              <w:rPr>
                <w:rFonts w:hint="eastAsia"/>
                <w:b/>
                <w:bCs/>
                <w:sz w:val="21"/>
                <w:szCs w:val="21"/>
              </w:rPr>
              <w:t>四、光纤传输线路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1</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数据传输链路</w:t>
            </w:r>
          </w:p>
        </w:tc>
        <w:tc>
          <w:tcPr>
            <w:tcW w:w="3696" w:type="dxa"/>
            <w:vAlign w:val="center"/>
          </w:tcPr>
          <w:p>
            <w:pPr>
              <w:spacing w:line="240" w:lineRule="auto"/>
              <w:ind w:firstLine="0" w:firstLineChars="0"/>
              <w:rPr>
                <w:rFonts w:hint="eastAsia"/>
                <w:sz w:val="21"/>
                <w:szCs w:val="21"/>
              </w:rPr>
            </w:pPr>
            <w:r>
              <w:rPr>
                <w:rFonts w:hint="eastAsia"/>
                <w:sz w:val="21"/>
                <w:szCs w:val="21"/>
              </w:rPr>
              <w:t>3年光纤传输线路费用。</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97</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2" w:type="dxa"/>
            <w:gridSpan w:val="5"/>
            <w:vAlign w:val="center"/>
          </w:tcPr>
          <w:p>
            <w:pPr>
              <w:spacing w:line="240" w:lineRule="auto"/>
              <w:ind w:firstLine="0" w:firstLineChars="0"/>
              <w:rPr>
                <w:rFonts w:hint="eastAsia"/>
                <w:b/>
                <w:bCs/>
                <w:sz w:val="21"/>
                <w:szCs w:val="21"/>
              </w:rPr>
            </w:pPr>
            <w:r>
              <w:rPr>
                <w:rFonts w:hint="eastAsia"/>
                <w:b/>
                <w:bCs/>
                <w:sz w:val="21"/>
                <w:szCs w:val="21"/>
              </w:rPr>
              <w:t>五、电费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1</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3年运营电费</w:t>
            </w:r>
          </w:p>
        </w:tc>
        <w:tc>
          <w:tcPr>
            <w:tcW w:w="3696" w:type="dxa"/>
            <w:vAlign w:val="center"/>
          </w:tcPr>
          <w:p>
            <w:pPr>
              <w:spacing w:line="240" w:lineRule="auto"/>
              <w:ind w:firstLine="0" w:firstLineChars="0"/>
              <w:rPr>
                <w:rFonts w:hint="eastAsia"/>
                <w:sz w:val="21"/>
                <w:szCs w:val="21"/>
              </w:rPr>
            </w:pPr>
            <w:r>
              <w:rPr>
                <w:rFonts w:hint="eastAsia"/>
                <w:sz w:val="21"/>
                <w:szCs w:val="21"/>
              </w:rPr>
              <w:t>每月按协定交供电相关单位用电费用。</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113</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2" w:type="dxa"/>
            <w:gridSpan w:val="5"/>
            <w:vAlign w:val="center"/>
          </w:tcPr>
          <w:p>
            <w:pPr>
              <w:spacing w:line="240" w:lineRule="auto"/>
              <w:ind w:firstLine="0" w:firstLineChars="0"/>
              <w:rPr>
                <w:rFonts w:hint="eastAsia"/>
                <w:b/>
                <w:bCs/>
                <w:sz w:val="21"/>
                <w:szCs w:val="21"/>
              </w:rPr>
            </w:pPr>
            <w:r>
              <w:rPr>
                <w:rFonts w:hint="eastAsia"/>
                <w:b/>
                <w:bCs/>
                <w:sz w:val="21"/>
                <w:szCs w:val="21"/>
              </w:rPr>
              <w:t>六、驻点技术人员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1</w:t>
            </w:r>
          </w:p>
        </w:tc>
        <w:tc>
          <w:tcPr>
            <w:tcW w:w="1408" w:type="dxa"/>
            <w:vAlign w:val="center"/>
          </w:tcPr>
          <w:p>
            <w:pPr>
              <w:spacing w:line="240" w:lineRule="auto"/>
              <w:ind w:firstLine="0" w:firstLineChars="0"/>
              <w:jc w:val="center"/>
              <w:rPr>
                <w:rFonts w:hint="eastAsia"/>
                <w:sz w:val="21"/>
                <w:szCs w:val="21"/>
              </w:rPr>
            </w:pPr>
            <w:r>
              <w:rPr>
                <w:rFonts w:hint="eastAsia"/>
                <w:sz w:val="21"/>
                <w:szCs w:val="21"/>
              </w:rPr>
              <w:t>驻点技术员维护服务</w:t>
            </w:r>
          </w:p>
        </w:tc>
        <w:tc>
          <w:tcPr>
            <w:tcW w:w="3696" w:type="dxa"/>
            <w:vAlign w:val="center"/>
          </w:tcPr>
          <w:p>
            <w:pPr>
              <w:spacing w:line="240" w:lineRule="auto"/>
              <w:ind w:firstLine="0" w:firstLineChars="0"/>
              <w:rPr>
                <w:rFonts w:hint="eastAsia"/>
                <w:sz w:val="21"/>
                <w:szCs w:val="21"/>
              </w:rPr>
            </w:pPr>
            <w:r>
              <w:rPr>
                <w:rFonts w:hint="eastAsia"/>
                <w:sz w:val="21"/>
                <w:szCs w:val="21"/>
              </w:rPr>
              <w:t>提供3名驻点技术员维护服务费用</w:t>
            </w:r>
          </w:p>
        </w:tc>
        <w:tc>
          <w:tcPr>
            <w:tcW w:w="1583" w:type="dxa"/>
            <w:vAlign w:val="center"/>
          </w:tcPr>
          <w:p>
            <w:pPr>
              <w:spacing w:line="240" w:lineRule="auto"/>
              <w:ind w:firstLine="0" w:firstLineChars="0"/>
              <w:jc w:val="center"/>
              <w:rPr>
                <w:rFonts w:hint="eastAsia" w:eastAsia="仿宋"/>
                <w:sz w:val="21"/>
                <w:szCs w:val="21"/>
                <w:lang w:eastAsia="zh-CN"/>
              </w:rPr>
            </w:pPr>
            <w:r>
              <w:rPr>
                <w:rFonts w:hint="eastAsia"/>
                <w:sz w:val="21"/>
                <w:szCs w:val="21"/>
                <w:lang w:val="en-US" w:eastAsia="zh-CN"/>
              </w:rPr>
              <w:t>1</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2" w:type="dxa"/>
            <w:gridSpan w:val="5"/>
            <w:vAlign w:val="center"/>
          </w:tcPr>
          <w:p>
            <w:pPr>
              <w:spacing w:line="240" w:lineRule="auto"/>
              <w:ind w:firstLine="0" w:firstLineChars="0"/>
              <w:rPr>
                <w:rFonts w:hint="eastAsia"/>
                <w:sz w:val="21"/>
                <w:szCs w:val="21"/>
              </w:rPr>
            </w:pPr>
            <w:r>
              <w:rPr>
                <w:rFonts w:hint="eastAsia"/>
                <w:b/>
                <w:bCs/>
                <w:sz w:val="21"/>
                <w:szCs w:val="21"/>
              </w:rPr>
              <w:t>七、完善执法配套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1</w:t>
            </w:r>
          </w:p>
        </w:tc>
        <w:tc>
          <w:tcPr>
            <w:tcW w:w="1408" w:type="dxa"/>
            <w:vAlign w:val="center"/>
          </w:tcPr>
          <w:p>
            <w:pPr>
              <w:spacing w:line="240" w:lineRule="auto"/>
              <w:ind w:firstLine="0" w:firstLineChars="0"/>
              <w:rPr>
                <w:rFonts w:hint="eastAsia"/>
                <w:sz w:val="21"/>
                <w:szCs w:val="21"/>
              </w:rPr>
            </w:pPr>
            <w:r>
              <w:rPr>
                <w:rFonts w:hint="eastAsia"/>
                <w:sz w:val="21"/>
                <w:szCs w:val="21"/>
              </w:rPr>
              <w:t>信号灯</w:t>
            </w:r>
          </w:p>
        </w:tc>
        <w:tc>
          <w:tcPr>
            <w:tcW w:w="3696" w:type="dxa"/>
            <w:vAlign w:val="center"/>
          </w:tcPr>
          <w:p>
            <w:pPr>
              <w:spacing w:line="240" w:lineRule="auto"/>
              <w:ind w:firstLine="0" w:firstLineChars="0"/>
              <w:rPr>
                <w:rFonts w:hint="eastAsia"/>
                <w:sz w:val="21"/>
                <w:szCs w:val="21"/>
              </w:rPr>
            </w:pPr>
            <w:r>
              <w:rPr>
                <w:rFonts w:hint="eastAsia"/>
                <w:sz w:val="21"/>
                <w:szCs w:val="21"/>
              </w:rPr>
              <w:t>1.类型:机动车道灯</w:t>
            </w:r>
          </w:p>
          <w:p>
            <w:pPr>
              <w:spacing w:line="240" w:lineRule="auto"/>
              <w:ind w:firstLine="0" w:firstLineChars="0"/>
              <w:rPr>
                <w:rFonts w:hint="eastAsia"/>
                <w:sz w:val="21"/>
                <w:szCs w:val="21"/>
              </w:rPr>
            </w:pPr>
            <w:r>
              <w:rPr>
                <w:rFonts w:hint="eastAsia"/>
                <w:sz w:val="21"/>
                <w:szCs w:val="21"/>
              </w:rPr>
              <w:t>2.规格:Ф400LED黄红绿三灯、（个位数倒计算时器）</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32</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2</w:t>
            </w:r>
          </w:p>
        </w:tc>
        <w:tc>
          <w:tcPr>
            <w:tcW w:w="1408" w:type="dxa"/>
            <w:vAlign w:val="center"/>
          </w:tcPr>
          <w:p>
            <w:pPr>
              <w:spacing w:line="240" w:lineRule="auto"/>
              <w:ind w:firstLine="0" w:firstLineChars="0"/>
              <w:rPr>
                <w:rFonts w:hint="eastAsia"/>
                <w:sz w:val="21"/>
                <w:szCs w:val="21"/>
              </w:rPr>
            </w:pPr>
            <w:r>
              <w:rPr>
                <w:rFonts w:hint="eastAsia"/>
                <w:sz w:val="21"/>
                <w:szCs w:val="21"/>
              </w:rPr>
              <w:t>主机兼容技术服务费</w:t>
            </w:r>
          </w:p>
        </w:tc>
        <w:tc>
          <w:tcPr>
            <w:tcW w:w="3696" w:type="dxa"/>
            <w:vAlign w:val="center"/>
          </w:tcPr>
          <w:p>
            <w:pPr>
              <w:spacing w:line="240" w:lineRule="auto"/>
              <w:ind w:firstLine="0" w:firstLineChars="0"/>
              <w:rPr>
                <w:rFonts w:hint="eastAsia"/>
                <w:sz w:val="21"/>
                <w:szCs w:val="21"/>
              </w:rPr>
            </w:pPr>
          </w:p>
        </w:tc>
        <w:tc>
          <w:tcPr>
            <w:tcW w:w="1583" w:type="dxa"/>
            <w:vAlign w:val="center"/>
          </w:tcPr>
          <w:p>
            <w:pPr>
              <w:spacing w:line="240" w:lineRule="auto"/>
              <w:ind w:firstLine="0" w:firstLineChars="0"/>
              <w:jc w:val="center"/>
              <w:rPr>
                <w:rFonts w:hint="eastAsia"/>
                <w:sz w:val="21"/>
                <w:szCs w:val="21"/>
              </w:rPr>
            </w:pPr>
            <w:r>
              <w:rPr>
                <w:rFonts w:hint="eastAsia"/>
                <w:sz w:val="21"/>
                <w:szCs w:val="21"/>
              </w:rPr>
              <w:t>4</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路口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3</w:t>
            </w:r>
          </w:p>
        </w:tc>
        <w:tc>
          <w:tcPr>
            <w:tcW w:w="1408" w:type="dxa"/>
            <w:vAlign w:val="center"/>
          </w:tcPr>
          <w:p>
            <w:pPr>
              <w:spacing w:line="240" w:lineRule="auto"/>
              <w:ind w:firstLine="0" w:firstLineChars="0"/>
              <w:rPr>
                <w:rFonts w:hint="eastAsia"/>
                <w:sz w:val="21"/>
                <w:szCs w:val="21"/>
              </w:rPr>
            </w:pPr>
            <w:r>
              <w:rPr>
                <w:rFonts w:hint="eastAsia"/>
                <w:sz w:val="21"/>
                <w:szCs w:val="21"/>
              </w:rPr>
              <w:t>高空作业车</w:t>
            </w:r>
          </w:p>
        </w:tc>
        <w:tc>
          <w:tcPr>
            <w:tcW w:w="3696" w:type="dxa"/>
            <w:vAlign w:val="center"/>
          </w:tcPr>
          <w:p>
            <w:pPr>
              <w:spacing w:line="240" w:lineRule="auto"/>
              <w:ind w:firstLine="0" w:firstLineChars="0"/>
              <w:rPr>
                <w:rFonts w:hint="eastAsia"/>
                <w:sz w:val="21"/>
                <w:szCs w:val="21"/>
              </w:rPr>
            </w:pPr>
          </w:p>
        </w:tc>
        <w:tc>
          <w:tcPr>
            <w:tcW w:w="1583" w:type="dxa"/>
            <w:vAlign w:val="center"/>
          </w:tcPr>
          <w:p>
            <w:pPr>
              <w:spacing w:line="240" w:lineRule="auto"/>
              <w:ind w:firstLine="0" w:firstLineChars="0"/>
              <w:jc w:val="center"/>
              <w:rPr>
                <w:rFonts w:hint="eastAsia"/>
                <w:sz w:val="21"/>
                <w:szCs w:val="21"/>
              </w:rPr>
            </w:pPr>
            <w:r>
              <w:rPr>
                <w:rFonts w:hint="eastAsia"/>
                <w:sz w:val="21"/>
                <w:szCs w:val="21"/>
              </w:rPr>
              <w:t>4</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台班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4</w:t>
            </w:r>
          </w:p>
        </w:tc>
        <w:tc>
          <w:tcPr>
            <w:tcW w:w="1408" w:type="dxa"/>
            <w:vAlign w:val="center"/>
          </w:tcPr>
          <w:p>
            <w:pPr>
              <w:spacing w:line="240" w:lineRule="auto"/>
              <w:ind w:firstLine="0" w:firstLineChars="0"/>
              <w:rPr>
                <w:rFonts w:hint="eastAsia"/>
                <w:sz w:val="21"/>
                <w:szCs w:val="21"/>
              </w:rPr>
            </w:pPr>
            <w:r>
              <w:rPr>
                <w:rFonts w:hint="eastAsia"/>
                <w:sz w:val="21"/>
                <w:szCs w:val="21"/>
              </w:rPr>
              <w:t>管道预埋</w:t>
            </w:r>
          </w:p>
        </w:tc>
        <w:tc>
          <w:tcPr>
            <w:tcW w:w="3696" w:type="dxa"/>
            <w:vAlign w:val="center"/>
          </w:tcPr>
          <w:p>
            <w:pPr>
              <w:spacing w:line="240" w:lineRule="auto"/>
              <w:ind w:firstLine="0" w:firstLineChars="0"/>
              <w:rPr>
                <w:rFonts w:hint="eastAsia"/>
                <w:sz w:val="21"/>
                <w:szCs w:val="21"/>
              </w:rPr>
            </w:pPr>
            <w:r>
              <w:rPr>
                <w:sz w:val="21"/>
                <w:szCs w:val="21"/>
              </w:rPr>
              <w:t>1.</w:t>
            </w:r>
            <w:r>
              <w:rPr>
                <w:rFonts w:hint="eastAsia"/>
                <w:sz w:val="21"/>
                <w:szCs w:val="21"/>
              </w:rPr>
              <w:t>名称</w:t>
            </w:r>
            <w:r>
              <w:rPr>
                <w:sz w:val="21"/>
                <w:szCs w:val="21"/>
              </w:rPr>
              <w:t>:</w:t>
            </w:r>
            <w:r>
              <w:rPr>
                <w:rFonts w:hint="eastAsia"/>
                <w:sz w:val="21"/>
                <w:szCs w:val="21"/>
              </w:rPr>
              <w:t>旧路面机械切缝</w:t>
            </w:r>
            <w:r>
              <w:rPr>
                <w:sz w:val="21"/>
                <w:szCs w:val="21"/>
              </w:rPr>
              <w:br w:type="textWrapping"/>
            </w:r>
            <w:r>
              <w:rPr>
                <w:sz w:val="21"/>
                <w:szCs w:val="21"/>
              </w:rPr>
              <w:t>2.</w:t>
            </w:r>
            <w:r>
              <w:rPr>
                <w:rFonts w:hint="eastAsia"/>
                <w:sz w:val="21"/>
                <w:szCs w:val="21"/>
              </w:rPr>
              <w:t>材质</w:t>
            </w:r>
            <w:r>
              <w:rPr>
                <w:sz w:val="21"/>
                <w:szCs w:val="21"/>
              </w:rPr>
              <w:t>:</w:t>
            </w:r>
            <w:r>
              <w:rPr>
                <w:rFonts w:hint="eastAsia"/>
                <w:sz w:val="21"/>
                <w:szCs w:val="21"/>
              </w:rPr>
              <w:t>水泥砼路·沥青路面</w:t>
            </w:r>
            <w:r>
              <w:rPr>
                <w:sz w:val="21"/>
                <w:szCs w:val="21"/>
              </w:rPr>
              <w:br w:type="textWrapping"/>
            </w:r>
            <w:r>
              <w:rPr>
                <w:sz w:val="21"/>
                <w:szCs w:val="21"/>
              </w:rPr>
              <w:t>3.</w:t>
            </w:r>
            <w:r>
              <w:rPr>
                <w:rFonts w:hint="eastAsia"/>
                <w:sz w:val="21"/>
                <w:szCs w:val="21"/>
              </w:rPr>
              <w:t>厚度</w:t>
            </w:r>
            <w:r>
              <w:rPr>
                <w:sz w:val="21"/>
                <w:szCs w:val="21"/>
              </w:rPr>
              <w:t>:20cm</w:t>
            </w:r>
            <w:r>
              <w:rPr>
                <w:sz w:val="21"/>
                <w:szCs w:val="21"/>
              </w:rPr>
              <w:br w:type="textWrapping"/>
            </w:r>
            <w:r>
              <w:rPr>
                <w:sz w:val="21"/>
                <w:szCs w:val="21"/>
              </w:rPr>
              <w:t>4.</w:t>
            </w:r>
            <w:r>
              <w:rPr>
                <w:rFonts w:hint="eastAsia"/>
                <w:sz w:val="21"/>
                <w:szCs w:val="21"/>
              </w:rPr>
              <w:t>路面恢复</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80</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5</w:t>
            </w:r>
          </w:p>
        </w:tc>
        <w:tc>
          <w:tcPr>
            <w:tcW w:w="1408" w:type="dxa"/>
            <w:vAlign w:val="center"/>
          </w:tcPr>
          <w:p>
            <w:pPr>
              <w:spacing w:line="240" w:lineRule="auto"/>
              <w:ind w:firstLine="0" w:firstLineChars="0"/>
              <w:rPr>
                <w:rFonts w:hint="eastAsia"/>
                <w:sz w:val="21"/>
                <w:szCs w:val="21"/>
              </w:rPr>
            </w:pPr>
            <w:r>
              <w:rPr>
                <w:rFonts w:hint="eastAsia"/>
                <w:sz w:val="21"/>
                <w:szCs w:val="21"/>
              </w:rPr>
              <w:t>配管</w:t>
            </w:r>
          </w:p>
        </w:tc>
        <w:tc>
          <w:tcPr>
            <w:tcW w:w="3696" w:type="dxa"/>
            <w:vAlign w:val="center"/>
          </w:tcPr>
          <w:p>
            <w:pPr>
              <w:spacing w:line="240" w:lineRule="auto"/>
              <w:ind w:firstLine="0" w:firstLineChars="0"/>
              <w:rPr>
                <w:rFonts w:hint="eastAsia"/>
                <w:sz w:val="21"/>
                <w:szCs w:val="21"/>
              </w:rPr>
            </w:pPr>
            <w:r>
              <w:rPr>
                <w:sz w:val="21"/>
                <w:szCs w:val="21"/>
              </w:rPr>
              <w:t>1.</w:t>
            </w:r>
            <w:r>
              <w:rPr>
                <w:rFonts w:hint="eastAsia"/>
                <w:sz w:val="21"/>
                <w:szCs w:val="21"/>
              </w:rPr>
              <w:t>名称</w:t>
            </w:r>
            <w:r>
              <w:rPr>
                <w:sz w:val="21"/>
                <w:szCs w:val="21"/>
              </w:rPr>
              <w:t>:</w:t>
            </w:r>
            <w:r>
              <w:rPr>
                <w:rFonts w:hint="eastAsia"/>
                <w:sz w:val="21"/>
                <w:szCs w:val="21"/>
              </w:rPr>
              <w:t>电气配管</w:t>
            </w:r>
            <w:r>
              <w:rPr>
                <w:sz w:val="21"/>
                <w:szCs w:val="21"/>
              </w:rPr>
              <w:br w:type="textWrapping"/>
            </w:r>
            <w:r>
              <w:rPr>
                <w:sz w:val="21"/>
                <w:szCs w:val="21"/>
              </w:rPr>
              <w:t>2.</w:t>
            </w:r>
            <w:r>
              <w:rPr>
                <w:rFonts w:hint="eastAsia"/>
                <w:sz w:val="21"/>
                <w:szCs w:val="21"/>
              </w:rPr>
              <w:t>材质</w:t>
            </w:r>
            <w:r>
              <w:rPr>
                <w:sz w:val="21"/>
                <w:szCs w:val="21"/>
              </w:rPr>
              <w:t>:</w:t>
            </w:r>
            <w:r>
              <w:rPr>
                <w:rFonts w:hint="eastAsia"/>
                <w:sz w:val="21"/>
                <w:szCs w:val="21"/>
              </w:rPr>
              <w:t>镀锌钢管</w:t>
            </w:r>
            <w:r>
              <w:rPr>
                <w:sz w:val="21"/>
                <w:szCs w:val="21"/>
              </w:rPr>
              <w:br w:type="textWrapping"/>
            </w:r>
            <w:r>
              <w:rPr>
                <w:sz w:val="21"/>
                <w:szCs w:val="21"/>
              </w:rPr>
              <w:t>3.</w:t>
            </w:r>
            <w:r>
              <w:rPr>
                <w:rFonts w:hint="eastAsia"/>
                <w:sz w:val="21"/>
                <w:szCs w:val="21"/>
              </w:rPr>
              <w:t>规格</w:t>
            </w:r>
            <w:r>
              <w:rPr>
                <w:sz w:val="21"/>
                <w:szCs w:val="21"/>
              </w:rPr>
              <w:t>:SC65*3.0</w:t>
            </w:r>
            <w:r>
              <w:rPr>
                <w:sz w:val="21"/>
                <w:szCs w:val="21"/>
              </w:rPr>
              <w:br w:type="textWrapping"/>
            </w:r>
            <w:r>
              <w:rPr>
                <w:sz w:val="21"/>
                <w:szCs w:val="21"/>
              </w:rPr>
              <w:t>4.</w:t>
            </w:r>
            <w:r>
              <w:rPr>
                <w:rFonts w:hint="eastAsia"/>
                <w:sz w:val="21"/>
                <w:szCs w:val="21"/>
              </w:rPr>
              <w:t>配置形式</w:t>
            </w:r>
            <w:r>
              <w:rPr>
                <w:sz w:val="21"/>
                <w:szCs w:val="21"/>
              </w:rPr>
              <w:t>:</w:t>
            </w:r>
            <w:r>
              <w:rPr>
                <w:rFonts w:hint="eastAsia"/>
                <w:sz w:val="21"/>
                <w:szCs w:val="21"/>
              </w:rPr>
              <w:t>埋地敷设</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254</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6</w:t>
            </w:r>
          </w:p>
        </w:tc>
        <w:tc>
          <w:tcPr>
            <w:tcW w:w="1408" w:type="dxa"/>
            <w:vAlign w:val="center"/>
          </w:tcPr>
          <w:p>
            <w:pPr>
              <w:spacing w:line="240" w:lineRule="auto"/>
              <w:ind w:firstLine="0" w:firstLineChars="0"/>
              <w:rPr>
                <w:rFonts w:hint="eastAsia"/>
                <w:sz w:val="21"/>
                <w:szCs w:val="21"/>
              </w:rPr>
            </w:pPr>
            <w:r>
              <w:rPr>
                <w:rFonts w:hint="eastAsia"/>
                <w:sz w:val="21"/>
                <w:szCs w:val="21"/>
              </w:rPr>
              <w:t>配线</w:t>
            </w:r>
          </w:p>
        </w:tc>
        <w:tc>
          <w:tcPr>
            <w:tcW w:w="3696" w:type="dxa"/>
            <w:vAlign w:val="center"/>
          </w:tcPr>
          <w:p>
            <w:pPr>
              <w:spacing w:line="240" w:lineRule="auto"/>
              <w:ind w:firstLine="0" w:firstLineChars="0"/>
              <w:rPr>
                <w:rFonts w:hint="eastAsia"/>
                <w:sz w:val="21"/>
                <w:szCs w:val="21"/>
              </w:rPr>
            </w:pPr>
            <w:r>
              <w:rPr>
                <w:rFonts w:hint="eastAsia"/>
                <w:sz w:val="21"/>
                <w:szCs w:val="21"/>
              </w:rPr>
              <w:t>1.规格:4*1.5（含配套穿拉线）</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2</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7</w:t>
            </w:r>
          </w:p>
        </w:tc>
        <w:tc>
          <w:tcPr>
            <w:tcW w:w="1408" w:type="dxa"/>
            <w:vAlign w:val="center"/>
          </w:tcPr>
          <w:p>
            <w:pPr>
              <w:spacing w:line="240" w:lineRule="auto"/>
              <w:ind w:firstLine="0" w:firstLineChars="0"/>
              <w:rPr>
                <w:rFonts w:hint="eastAsia"/>
                <w:sz w:val="21"/>
                <w:szCs w:val="21"/>
              </w:rPr>
            </w:pPr>
            <w:r>
              <w:rPr>
                <w:rFonts w:hint="eastAsia"/>
                <w:sz w:val="21"/>
                <w:szCs w:val="21"/>
              </w:rPr>
              <w:t>标杆【单立柱φ89×6×3000单牌标志杆】</w:t>
            </w:r>
          </w:p>
        </w:tc>
        <w:tc>
          <w:tcPr>
            <w:tcW w:w="3696" w:type="dxa"/>
          </w:tcPr>
          <w:p>
            <w:pPr>
              <w:spacing w:line="240" w:lineRule="auto"/>
              <w:ind w:firstLine="0" w:firstLineChars="0"/>
              <w:rPr>
                <w:rFonts w:hint="eastAsia"/>
                <w:sz w:val="21"/>
                <w:szCs w:val="21"/>
              </w:rPr>
            </w:pPr>
            <w:r>
              <w:rPr>
                <w:rFonts w:hint="eastAsia"/>
                <w:sz w:val="21"/>
                <w:szCs w:val="21"/>
              </w:rPr>
              <w:t>1.材质:钢管立柱Φ89×6×3000</w:t>
            </w:r>
            <w:r>
              <w:rPr>
                <w:rFonts w:hint="eastAsia"/>
                <w:sz w:val="21"/>
                <w:szCs w:val="21"/>
              </w:rPr>
              <w:br w:type="textWrapping"/>
            </w:r>
            <w:r>
              <w:rPr>
                <w:rFonts w:hint="eastAsia"/>
                <w:sz w:val="21"/>
                <w:szCs w:val="21"/>
              </w:rPr>
              <w:t>2.特殊处理:热镀锌处理</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2</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Align w:val="center"/>
          </w:tcPr>
          <w:p>
            <w:pPr>
              <w:spacing w:line="240" w:lineRule="auto"/>
              <w:ind w:firstLine="0" w:firstLineChars="0"/>
              <w:jc w:val="center"/>
              <w:rPr>
                <w:rFonts w:hint="eastAsia"/>
                <w:sz w:val="21"/>
                <w:szCs w:val="21"/>
              </w:rPr>
            </w:pPr>
            <w:r>
              <w:rPr>
                <w:rFonts w:hint="eastAsia"/>
                <w:sz w:val="21"/>
                <w:szCs w:val="21"/>
              </w:rPr>
              <w:t>8</w:t>
            </w:r>
          </w:p>
        </w:tc>
        <w:tc>
          <w:tcPr>
            <w:tcW w:w="1408" w:type="dxa"/>
            <w:vAlign w:val="center"/>
          </w:tcPr>
          <w:p>
            <w:pPr>
              <w:spacing w:line="240" w:lineRule="auto"/>
              <w:ind w:firstLine="0" w:firstLineChars="0"/>
              <w:rPr>
                <w:rFonts w:hint="eastAsia"/>
                <w:sz w:val="21"/>
                <w:szCs w:val="21"/>
              </w:rPr>
            </w:pPr>
            <w:r>
              <w:rPr>
                <w:rFonts w:hint="eastAsia"/>
                <w:sz w:val="21"/>
                <w:szCs w:val="21"/>
              </w:rPr>
              <w:t>标杆基础【单立柱φ89×6×3000单牌标志杆】</w:t>
            </w:r>
          </w:p>
        </w:tc>
        <w:tc>
          <w:tcPr>
            <w:tcW w:w="3696" w:type="dxa"/>
          </w:tcPr>
          <w:p>
            <w:pPr>
              <w:spacing w:line="240" w:lineRule="auto"/>
              <w:ind w:firstLine="0" w:firstLineChars="0"/>
              <w:rPr>
                <w:rFonts w:hint="eastAsia"/>
                <w:sz w:val="21"/>
                <w:szCs w:val="21"/>
              </w:rPr>
            </w:pPr>
            <w:r>
              <w:rPr>
                <w:rFonts w:hint="eastAsia"/>
                <w:sz w:val="21"/>
                <w:szCs w:val="21"/>
              </w:rPr>
              <w:t>1.基础:C30混凝土</w:t>
            </w:r>
            <w:r>
              <w:rPr>
                <w:rFonts w:hint="eastAsia"/>
                <w:sz w:val="21"/>
                <w:szCs w:val="21"/>
              </w:rPr>
              <w:br w:type="textWrapping"/>
            </w:r>
            <w:r>
              <w:rPr>
                <w:rFonts w:hint="eastAsia"/>
                <w:sz w:val="21"/>
                <w:szCs w:val="21"/>
              </w:rPr>
              <w:t>2.土方:一二类土挖填，25km运距</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80</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spacing w:line="240" w:lineRule="auto"/>
              <w:ind w:firstLine="0" w:firstLineChars="0"/>
              <w:jc w:val="center"/>
              <w:rPr>
                <w:rFonts w:hint="eastAsia"/>
                <w:sz w:val="21"/>
                <w:szCs w:val="21"/>
              </w:rPr>
            </w:pPr>
            <w:r>
              <w:rPr>
                <w:rFonts w:hint="eastAsia"/>
                <w:sz w:val="21"/>
                <w:szCs w:val="21"/>
              </w:rPr>
              <w:t>9</w:t>
            </w:r>
          </w:p>
        </w:tc>
        <w:tc>
          <w:tcPr>
            <w:tcW w:w="0" w:type="auto"/>
            <w:vAlign w:val="center"/>
          </w:tcPr>
          <w:p>
            <w:pPr>
              <w:spacing w:line="240" w:lineRule="auto"/>
              <w:ind w:firstLine="0" w:firstLineChars="0"/>
              <w:rPr>
                <w:rFonts w:hint="eastAsia"/>
                <w:sz w:val="21"/>
                <w:szCs w:val="21"/>
              </w:rPr>
            </w:pPr>
            <w:r>
              <w:rPr>
                <w:rFonts w:hint="eastAsia"/>
                <w:sz w:val="21"/>
                <w:szCs w:val="21"/>
              </w:rPr>
              <w:t>信号灯</w:t>
            </w:r>
          </w:p>
        </w:tc>
        <w:tc>
          <w:tcPr>
            <w:tcW w:w="0" w:type="auto"/>
          </w:tcPr>
          <w:p>
            <w:pPr>
              <w:spacing w:line="240" w:lineRule="auto"/>
              <w:ind w:firstLine="0" w:firstLineChars="0"/>
              <w:rPr>
                <w:rFonts w:hint="eastAsia"/>
                <w:sz w:val="21"/>
                <w:szCs w:val="21"/>
              </w:rPr>
            </w:pPr>
            <w:r>
              <w:rPr>
                <w:rFonts w:hint="eastAsia"/>
                <w:sz w:val="21"/>
                <w:szCs w:val="21"/>
              </w:rPr>
              <w:t>1.类型:人行信号灯</w:t>
            </w:r>
          </w:p>
          <w:p>
            <w:pPr>
              <w:spacing w:line="240" w:lineRule="auto"/>
              <w:ind w:firstLine="0" w:firstLineChars="0"/>
              <w:rPr>
                <w:rFonts w:hint="eastAsia"/>
                <w:sz w:val="21"/>
                <w:szCs w:val="21"/>
              </w:rPr>
            </w:pPr>
            <w:r>
              <w:rPr>
                <w:rFonts w:hint="eastAsia"/>
                <w:sz w:val="21"/>
                <w:szCs w:val="21"/>
              </w:rPr>
              <w:t>2.规格:Ф300LED动态人行灯二单元</w:t>
            </w:r>
          </w:p>
        </w:tc>
        <w:tc>
          <w:tcPr>
            <w:tcW w:w="1583" w:type="dxa"/>
            <w:vAlign w:val="center"/>
          </w:tcPr>
          <w:p>
            <w:pPr>
              <w:spacing w:line="240" w:lineRule="auto"/>
              <w:ind w:firstLine="0" w:firstLineChars="0"/>
              <w:jc w:val="center"/>
              <w:rPr>
                <w:rFonts w:hint="eastAsia"/>
                <w:sz w:val="21"/>
                <w:szCs w:val="21"/>
              </w:rPr>
            </w:pPr>
            <w:r>
              <w:rPr>
                <w:rFonts w:hint="eastAsia"/>
                <w:sz w:val="21"/>
                <w:szCs w:val="21"/>
              </w:rPr>
              <w:t>2</w:t>
            </w:r>
          </w:p>
        </w:tc>
        <w:tc>
          <w:tcPr>
            <w:tcW w:w="1410" w:type="dxa"/>
            <w:vAlign w:val="center"/>
          </w:tcPr>
          <w:p>
            <w:pPr>
              <w:spacing w:line="240" w:lineRule="auto"/>
              <w:ind w:firstLine="0" w:firstLineChars="0"/>
              <w:jc w:val="center"/>
              <w:rPr>
                <w:rFonts w:hint="eastAsia"/>
                <w:sz w:val="21"/>
                <w:szCs w:val="21"/>
              </w:rPr>
            </w:pPr>
            <w:r>
              <w:rPr>
                <w:rFonts w:hint="eastAsia"/>
                <w:sz w:val="21"/>
                <w:szCs w:val="21"/>
              </w:rPr>
              <w:t>套</w:t>
            </w:r>
          </w:p>
        </w:tc>
      </w:tr>
    </w:tbl>
    <w:p>
      <w:pPr>
        <w:rPr>
          <w:rFonts w:hint="eastAsia"/>
          <w:lang w:val="en-US" w:eastAsia="zh-CN"/>
        </w:rPr>
      </w:pPr>
    </w:p>
    <w:p>
      <w:pPr>
        <w:pStyle w:val="4"/>
        <w:bidi w:val="0"/>
        <w:rPr>
          <w:rFonts w:hint="eastAsia"/>
          <w:highlight w:val="none"/>
          <w:lang w:val="en-US" w:eastAsia="zh-CN"/>
        </w:rPr>
      </w:pPr>
      <w:r>
        <w:rPr>
          <w:rFonts w:hint="eastAsia"/>
          <w:highlight w:val="none"/>
          <w:lang w:val="en-US" w:eastAsia="zh-CN"/>
        </w:rPr>
        <w:t>项目建设要求</w:t>
      </w:r>
    </w:p>
    <w:p>
      <w:pPr>
        <w:pStyle w:val="5"/>
        <w:bidi w:val="0"/>
        <w:rPr>
          <w:rFonts w:hint="eastAsia"/>
          <w:highlight w:val="none"/>
          <w:lang w:val="en-US" w:eastAsia="zh-CN"/>
        </w:rPr>
      </w:pPr>
      <w:r>
        <w:rPr>
          <w:rFonts w:hint="eastAsia"/>
          <w:highlight w:val="none"/>
          <w:lang w:val="en-US" w:eastAsia="zh-CN"/>
        </w:rPr>
        <w:t>立杆要求</w:t>
      </w:r>
    </w:p>
    <w:p>
      <w:pPr>
        <w:bidi w:val="0"/>
        <w:rPr>
          <w:rFonts w:hint="eastAsia"/>
          <w:highlight w:val="none"/>
          <w:lang w:val="en-US" w:eastAsia="zh-CN"/>
        </w:rPr>
      </w:pPr>
      <w:r>
        <w:rPr>
          <w:rFonts w:hint="eastAsia"/>
          <w:highlight w:val="none"/>
          <w:lang w:val="en-US" w:eastAsia="zh-CN"/>
        </w:rPr>
        <w:t>电子警察/高清监控监测点根据现场实际情况，可采用立杆安装及吊杆安装的方式。电警/高清监控立杆设计需要考虑整体杆件的设计、立杆材质、杆型、焊接工艺、表面处理以及杆体颜色等；关于杆体涂装要求，电子警察杆体采用上白下橙，高清监控杆体采用上白下蓝。</w:t>
      </w:r>
    </w:p>
    <w:p>
      <w:pPr>
        <w:bidi w:val="0"/>
        <w:rPr>
          <w:rFonts w:hint="eastAsia"/>
          <w:highlight w:val="none"/>
          <w:lang w:val="en-US" w:eastAsia="zh-CN"/>
        </w:rPr>
      </w:pPr>
      <w:r>
        <w:rPr>
          <w:rFonts w:hint="eastAsia"/>
          <w:highlight w:val="none"/>
          <w:lang w:val="en-US" w:eastAsia="zh-CN"/>
        </w:rPr>
        <w:t>主杆型分为四方型杆和八棱锥型杆。同一条道路路口安装同一类型杆体。应充分考虑通车要求，采用6.5m高的杆。L杆距停车线距离为25米，立杆、横臂杆建议采用八角锥形（或圆形）镀锌钢管、整体镀锌。立杆应有较高强度，抗台风、防摄像机抖动、防攀爬、防腐。制作要美观，其顶部应做防水帽。横杆长度应结合道路通行车道数量选用横杆长度，选用需符合以下要求：</w:t>
      </w:r>
    </w:p>
    <w:p>
      <w:pPr>
        <w:bidi w:val="0"/>
        <w:rPr>
          <w:rFonts w:hint="eastAsia"/>
          <w:highlight w:val="none"/>
          <w:lang w:val="en-US" w:eastAsia="zh-CN"/>
        </w:rPr>
      </w:pPr>
      <w:r>
        <w:rPr>
          <w:rFonts w:hint="eastAsia"/>
          <w:highlight w:val="none"/>
          <w:lang w:val="en-US" w:eastAsia="zh-CN"/>
        </w:rPr>
        <w:t>采用立杆固定时，杆底端固定法兰盘，预留拉线孔，立杆基础应是硬质，同时根据道路现场安装点的地质的实际情况，调整相应的尺寸。</w:t>
      </w:r>
    </w:p>
    <w:p>
      <w:pPr>
        <w:pStyle w:val="5"/>
        <w:bidi w:val="0"/>
        <w:rPr>
          <w:rFonts w:hint="eastAsia"/>
          <w:highlight w:val="none"/>
          <w:lang w:val="en-US" w:eastAsia="zh-CN"/>
        </w:rPr>
      </w:pPr>
      <w:r>
        <w:rPr>
          <w:rFonts w:hint="eastAsia"/>
          <w:highlight w:val="none"/>
          <w:lang w:val="en-US" w:eastAsia="zh-CN"/>
        </w:rPr>
        <w:t>抱杆设备箱建设要求</w:t>
      </w:r>
    </w:p>
    <w:p>
      <w:pPr>
        <w:bidi w:val="0"/>
        <w:rPr>
          <w:rFonts w:hint="eastAsia"/>
          <w:highlight w:val="none"/>
          <w:lang w:val="en-US" w:eastAsia="zh-CN"/>
        </w:rPr>
      </w:pPr>
      <w:r>
        <w:rPr>
          <w:rFonts w:hint="eastAsia"/>
          <w:highlight w:val="none"/>
          <w:lang w:val="en-US" w:eastAsia="zh-CN"/>
        </w:rPr>
        <w:t>挂杆机箱采用一体化智能机箱，所有的前端网络、供电、防雷设备集成在机箱内，方便维护管理。</w:t>
      </w:r>
    </w:p>
    <w:p>
      <w:pPr>
        <w:bidi w:val="0"/>
        <w:rPr>
          <w:rFonts w:hint="eastAsia"/>
          <w:highlight w:val="none"/>
          <w:lang w:val="en-US" w:eastAsia="zh-CN"/>
        </w:rPr>
      </w:pPr>
      <w:r>
        <w:rPr>
          <w:rFonts w:hint="eastAsia"/>
          <w:highlight w:val="none"/>
          <w:lang w:val="en-US" w:eastAsia="zh-CN"/>
        </w:rPr>
        <w:t>监控点前端采用方形机箱，采取底部进线设计，设计为离地2000mm-3000mm高度抱杆安装。箱体防护等级为IP54，防雨防尘，加高加厚底座，加强防腐能力，室外安装，内部用隔板分成上下两层空间，上部主要安放主控制器，下部安装辅助控制器和其它配电及辅助设备。</w:t>
      </w:r>
    </w:p>
    <w:p>
      <w:pPr>
        <w:bidi w:val="0"/>
        <w:rPr>
          <w:rFonts w:hint="eastAsia"/>
          <w:highlight w:val="none"/>
          <w:lang w:val="en-US" w:eastAsia="zh-CN"/>
        </w:rPr>
      </w:pPr>
      <w:r>
        <w:rPr>
          <w:rFonts w:hint="eastAsia"/>
          <w:highlight w:val="none"/>
          <w:lang w:val="en-US" w:eastAsia="zh-CN"/>
        </w:rPr>
        <w:t>为了保证设备的安全，机箱大门采用专用锁，密封性能卓越，具有很强的防橇性能。</w:t>
      </w:r>
    </w:p>
    <w:p>
      <w:pPr>
        <w:bidi w:val="0"/>
        <w:rPr>
          <w:rFonts w:hint="eastAsia"/>
          <w:highlight w:val="none"/>
          <w:lang w:val="en-US" w:eastAsia="zh-CN"/>
        </w:rPr>
      </w:pPr>
      <w:r>
        <w:rPr>
          <w:rFonts w:hint="eastAsia"/>
          <w:highlight w:val="none"/>
          <w:lang w:val="en-US" w:eastAsia="zh-CN"/>
        </w:rPr>
        <w:t>在监控机箱中设计电源保护装置，即过流过压保护装置，里面放置光电交换机、防雷模块、接线端子、维修开关和插座。</w:t>
      </w:r>
    </w:p>
    <w:p>
      <w:pPr>
        <w:bidi w:val="0"/>
        <w:rPr>
          <w:rFonts w:hint="eastAsia"/>
          <w:highlight w:val="none"/>
          <w:lang w:val="en-US" w:eastAsia="zh-CN"/>
        </w:rPr>
      </w:pPr>
      <w:r>
        <w:rPr>
          <w:rFonts w:hint="eastAsia"/>
          <w:highlight w:val="none"/>
          <w:lang w:val="en-US" w:eastAsia="zh-CN"/>
        </w:rPr>
        <w:t>智能设备箱接入220V电源，引电端经加装自动重合闸开关，设备机箱采用具备漏电断开功能的空气开关做主电源开关，从市电端布线到设备箱，保证市电引入部分电源线路的漏电及防雷接地防护。</w:t>
      </w:r>
    </w:p>
    <w:p>
      <w:pPr>
        <w:pStyle w:val="5"/>
        <w:bidi w:val="0"/>
        <w:rPr>
          <w:rFonts w:hint="eastAsia"/>
          <w:highlight w:val="none"/>
          <w:lang w:val="en-US" w:eastAsia="zh-CN"/>
        </w:rPr>
      </w:pPr>
      <w:r>
        <w:rPr>
          <w:rFonts w:hint="eastAsia"/>
          <w:highlight w:val="none"/>
          <w:lang w:val="en-US" w:eastAsia="zh-CN"/>
        </w:rPr>
        <w:t>前端防雷建设要求</w:t>
      </w:r>
    </w:p>
    <w:p>
      <w:pPr>
        <w:bidi w:val="0"/>
        <w:rPr>
          <w:rFonts w:hint="eastAsia"/>
          <w:highlight w:val="none"/>
          <w:lang w:val="en-US" w:eastAsia="zh-CN"/>
        </w:rPr>
      </w:pPr>
      <w:r>
        <w:rPr>
          <w:rFonts w:hint="eastAsia"/>
          <w:highlight w:val="none"/>
          <w:lang w:val="en-US" w:eastAsia="zh-CN"/>
        </w:rPr>
        <w:t>前端设备安装于室外，易遭到雷电打击；前端设备的电源一般在现场就近取用，易受雷电波影响产生高压和浪涌电流；如果没有必要的防雷、避雷措施，前端设备的运行将得不到保障，有可能导致抓拍摄像机短期内大量损坏，使系统濒于崩溃。为了前端设备能可靠、长久地运行，电警杆和前端机箱都设计接地，本项目中点位前端防雷，严格按照国家的有关标准和规范进行设计。</w:t>
      </w:r>
    </w:p>
    <w:p>
      <w:pPr>
        <w:bidi w:val="0"/>
        <w:rPr>
          <w:rFonts w:hint="eastAsia"/>
          <w:highlight w:val="none"/>
          <w:lang w:val="en-US" w:eastAsia="zh-CN"/>
        </w:rPr>
      </w:pPr>
      <w:r>
        <w:rPr>
          <w:rFonts w:hint="eastAsia"/>
          <w:highlight w:val="none"/>
          <w:lang w:val="en-US" w:eastAsia="zh-CN"/>
        </w:rPr>
        <w:t>本项目前端防雷包括防雷接地和防雷器二个部分。</w:t>
      </w:r>
    </w:p>
    <w:p>
      <w:pPr>
        <w:bidi w:val="0"/>
        <w:rPr>
          <w:rFonts w:hint="eastAsia"/>
          <w:highlight w:val="none"/>
          <w:lang w:val="en-US" w:eastAsia="zh-CN"/>
        </w:rPr>
      </w:pPr>
      <w:r>
        <w:rPr>
          <w:rFonts w:hint="eastAsia"/>
          <w:highlight w:val="none"/>
          <w:lang w:val="en-US" w:eastAsia="zh-CN"/>
        </w:rPr>
        <w:t>防雷接地电阻≤10Ω，垂直接地体采用4根L50×W50×2000mm热镀锌角钢，水平接地体采用4mm×40mm热镀锌扁钢。</w:t>
      </w:r>
    </w:p>
    <w:p>
      <w:pPr>
        <w:bidi w:val="0"/>
        <w:rPr>
          <w:rFonts w:hint="eastAsia"/>
          <w:highlight w:val="none"/>
          <w:lang w:val="en-US" w:eastAsia="zh-CN"/>
        </w:rPr>
      </w:pPr>
      <w:r>
        <w:rPr>
          <w:rFonts w:hint="eastAsia"/>
          <w:highlight w:val="none"/>
          <w:lang w:val="en-US" w:eastAsia="zh-CN"/>
        </w:rPr>
        <w:t>前端防雷的线路包括电源线、视频电缆。对于线路浪涌提供完善的滤波和保护，防止浪涌电压老化设备。</w:t>
      </w:r>
    </w:p>
    <w:p>
      <w:pPr>
        <w:bidi w:val="0"/>
        <w:rPr>
          <w:rFonts w:hint="eastAsia"/>
          <w:highlight w:val="none"/>
          <w:lang w:val="en-US" w:eastAsia="zh-CN"/>
        </w:rPr>
      </w:pPr>
      <w:r>
        <w:rPr>
          <w:rFonts w:hint="eastAsia"/>
          <w:highlight w:val="none"/>
          <w:lang w:val="en-US" w:eastAsia="zh-CN"/>
        </w:rPr>
        <w:t>针对网络线遭受的感应雷击进行保护，常见的现象是摄像机、网络设备损坏。采用网络防雷器进行保护。</w:t>
      </w:r>
    </w:p>
    <w:p>
      <w:pPr>
        <w:pStyle w:val="5"/>
        <w:bidi w:val="0"/>
        <w:rPr>
          <w:rFonts w:hint="eastAsia"/>
          <w:highlight w:val="none"/>
          <w:lang w:val="en-US" w:eastAsia="zh-CN"/>
        </w:rPr>
      </w:pPr>
      <w:r>
        <w:rPr>
          <w:rFonts w:hint="eastAsia"/>
          <w:highlight w:val="none"/>
          <w:lang w:val="en-US" w:eastAsia="zh-CN"/>
        </w:rPr>
        <w:t>前端供电建设要求</w:t>
      </w:r>
    </w:p>
    <w:p>
      <w:pPr>
        <w:bidi w:val="0"/>
        <w:rPr>
          <w:rFonts w:hint="eastAsia"/>
          <w:highlight w:val="none"/>
          <w:lang w:val="en-US" w:eastAsia="zh-CN"/>
        </w:rPr>
      </w:pPr>
      <w:bookmarkStart w:id="7" w:name="OLE_LINK22"/>
      <w:r>
        <w:rPr>
          <w:rFonts w:hint="eastAsia"/>
          <w:highlight w:val="none"/>
          <w:lang w:val="en-US" w:eastAsia="zh-CN"/>
        </w:rPr>
        <w:t>配套供电是整个系统稳定运行的保障</w:t>
      </w:r>
      <w:bookmarkEnd w:id="7"/>
      <w:r>
        <w:rPr>
          <w:rFonts w:hint="eastAsia"/>
          <w:highlight w:val="none"/>
          <w:lang w:val="en-US" w:eastAsia="zh-CN"/>
        </w:rPr>
        <w:t>。供电系统的设计从全局着手，综合考虑电力负荷，负载能力，电力传输距离，设备电气特性。并结合前端现场以及后端监控中心的实际环境来进行设计。</w:t>
      </w:r>
    </w:p>
    <w:p>
      <w:pPr>
        <w:bidi w:val="0"/>
        <w:rPr>
          <w:rFonts w:hint="eastAsia"/>
          <w:highlight w:val="none"/>
          <w:lang w:val="en-US" w:eastAsia="zh-CN"/>
        </w:rPr>
      </w:pPr>
      <w:r>
        <w:rPr>
          <w:rFonts w:hint="eastAsia"/>
          <w:highlight w:val="none"/>
          <w:lang w:val="en-US" w:eastAsia="zh-CN"/>
        </w:rPr>
        <w:t>实用性：要求结合本系统的现场环境特点以及系统中各级设备的电气性能，做到实用、适用。</w:t>
      </w:r>
    </w:p>
    <w:p>
      <w:pPr>
        <w:bidi w:val="0"/>
        <w:rPr>
          <w:rFonts w:hint="eastAsia"/>
          <w:highlight w:val="none"/>
          <w:lang w:val="en-US" w:eastAsia="zh-CN"/>
        </w:rPr>
      </w:pPr>
      <w:r>
        <w:rPr>
          <w:rFonts w:hint="eastAsia"/>
          <w:highlight w:val="none"/>
          <w:lang w:val="en-US" w:eastAsia="zh-CN"/>
        </w:rPr>
        <w:t>稳定性：要求供电系统具有高稳定性和高可靠性，以确保监控系统的各个功能模块和设备能够高效稳定的运行。</w:t>
      </w:r>
    </w:p>
    <w:p>
      <w:pPr>
        <w:bidi w:val="0"/>
        <w:rPr>
          <w:rFonts w:hint="eastAsia"/>
          <w:highlight w:val="none"/>
          <w:lang w:val="en-US" w:eastAsia="zh-CN"/>
        </w:rPr>
      </w:pPr>
      <w:r>
        <w:rPr>
          <w:rFonts w:hint="eastAsia"/>
          <w:highlight w:val="none"/>
          <w:lang w:val="en-US" w:eastAsia="zh-CN"/>
        </w:rPr>
        <w:t>安全性：要求供电系统的各个环节，均具备绝缘保护措施，前端设备箱设置“有电危险”警示标识。</w:t>
      </w:r>
    </w:p>
    <w:p>
      <w:pPr>
        <w:bidi w:val="0"/>
        <w:rPr>
          <w:rFonts w:hint="eastAsia"/>
          <w:highlight w:val="none"/>
          <w:lang w:val="en-US" w:eastAsia="zh-CN"/>
        </w:rPr>
      </w:pPr>
      <w:r>
        <w:rPr>
          <w:rFonts w:hint="eastAsia"/>
          <w:highlight w:val="none"/>
          <w:lang w:val="en-US" w:eastAsia="zh-CN"/>
        </w:rPr>
        <w:t>经济性：设计出合理的电力供应网络，尽可能的节约供电线路的投入成本。</w:t>
      </w:r>
    </w:p>
    <w:p>
      <w:pPr>
        <w:bidi w:val="0"/>
        <w:rPr>
          <w:rFonts w:hint="eastAsia"/>
          <w:highlight w:val="none"/>
          <w:lang w:val="en-US" w:eastAsia="zh-CN"/>
        </w:rPr>
      </w:pPr>
      <w:r>
        <w:rPr>
          <w:rFonts w:hint="eastAsia"/>
          <w:highlight w:val="none"/>
          <w:lang w:val="en-US" w:eastAsia="zh-CN"/>
        </w:rPr>
        <w:t>可维护性：所有电力线路的敷设、电源设备的端接点及电源的分配，均要考虑到维护方便，易于检修。确保供电系统出现故障时，维护人员能在最短的时间内检测到问题并及时修复。</w:t>
      </w:r>
    </w:p>
    <w:p>
      <w:pPr>
        <w:pStyle w:val="5"/>
        <w:bidi w:val="0"/>
        <w:rPr>
          <w:rFonts w:hint="eastAsia"/>
          <w:highlight w:val="none"/>
          <w:lang w:val="en-US" w:eastAsia="zh-CN"/>
        </w:rPr>
      </w:pPr>
      <w:r>
        <w:rPr>
          <w:rFonts w:hint="eastAsia"/>
          <w:highlight w:val="none"/>
          <w:lang w:val="en-US" w:eastAsia="zh-CN"/>
        </w:rPr>
        <w:t>货物要求</w:t>
      </w:r>
    </w:p>
    <w:p>
      <w:pPr>
        <w:bidi w:val="0"/>
        <w:rPr>
          <w:rFonts w:hint="eastAsia"/>
          <w:highlight w:val="none"/>
          <w:lang w:val="en-US" w:eastAsia="zh-CN"/>
        </w:rPr>
      </w:pPr>
      <w:r>
        <w:rPr>
          <w:rFonts w:hint="eastAsia"/>
          <w:highlight w:val="none"/>
          <w:lang w:val="en-US" w:eastAsia="zh-CN"/>
        </w:rPr>
        <w:t>1、货物总体要求</w:t>
      </w:r>
    </w:p>
    <w:p>
      <w:pPr>
        <w:bidi w:val="0"/>
        <w:rPr>
          <w:rFonts w:hint="eastAsia"/>
          <w:highlight w:val="none"/>
          <w:lang w:val="en-US" w:eastAsia="zh-CN"/>
        </w:rPr>
      </w:pPr>
      <w:r>
        <w:rPr>
          <w:rFonts w:hint="eastAsia"/>
          <w:highlight w:val="none"/>
          <w:lang w:val="en-US" w:eastAsia="zh-CN"/>
        </w:rPr>
        <w:t>（1）货物为原制造商制造的全新产品，无污染、无侵权行为、表面无划损、无任何缺陷隐患，在中国境内可常规安全合法使用。货物必须具备出厂合格证等资料。</w:t>
      </w:r>
    </w:p>
    <w:p>
      <w:pPr>
        <w:bidi w:val="0"/>
        <w:rPr>
          <w:rFonts w:hint="eastAsia"/>
          <w:highlight w:val="none"/>
          <w:lang w:val="en-US" w:eastAsia="zh-CN"/>
        </w:rPr>
      </w:pPr>
      <w:r>
        <w:rPr>
          <w:rFonts w:hint="eastAsia"/>
          <w:highlight w:val="none"/>
          <w:lang w:val="en-US" w:eastAsia="zh-CN"/>
        </w:rPr>
        <w:t>（2）货物的质量、规格及技术特征须符合招标文件的相关要求，符合中华人民共和国国家安全质量标准、环保标准或行业标准。</w:t>
      </w:r>
    </w:p>
    <w:p>
      <w:pPr>
        <w:bidi w:val="0"/>
        <w:rPr>
          <w:rFonts w:hint="eastAsia"/>
          <w:highlight w:val="none"/>
          <w:lang w:val="en-US" w:eastAsia="zh-CN"/>
        </w:rPr>
      </w:pPr>
      <w:r>
        <w:rPr>
          <w:rFonts w:hint="eastAsia"/>
          <w:highlight w:val="none"/>
          <w:lang w:val="en-US" w:eastAsia="zh-CN"/>
        </w:rPr>
        <w:t>（3）中标人负责将货物材料运到现场过程中的全部运输费用，包括装卸车、货物现场的搬运等。</w:t>
      </w:r>
    </w:p>
    <w:p>
      <w:pPr>
        <w:bidi w:val="0"/>
        <w:rPr>
          <w:rFonts w:hint="eastAsia"/>
          <w:highlight w:val="none"/>
          <w:lang w:val="en-US" w:eastAsia="zh-CN"/>
        </w:rPr>
      </w:pPr>
      <w:r>
        <w:rPr>
          <w:rFonts w:hint="eastAsia"/>
          <w:highlight w:val="none"/>
          <w:lang w:val="en-US" w:eastAsia="zh-CN"/>
        </w:rPr>
        <w:t>（4）货物包装均应有良好的防湿、防锈、防潮、防雨、防腐及防碰撞的措施。凡由于包装不良造成的损失和由此产生的费用均由中标人承担。</w:t>
      </w:r>
    </w:p>
    <w:p>
      <w:pPr>
        <w:bidi w:val="0"/>
        <w:rPr>
          <w:rFonts w:hint="eastAsia"/>
          <w:highlight w:val="none"/>
          <w:lang w:val="en-US" w:eastAsia="zh-CN"/>
        </w:rPr>
      </w:pPr>
      <w:r>
        <w:rPr>
          <w:rFonts w:hint="eastAsia"/>
          <w:highlight w:val="none"/>
          <w:lang w:val="en-US" w:eastAsia="zh-CN"/>
        </w:rPr>
        <w:t>（5）中标人负责货物在最终验收合格前的保管、保险和负责其派出的现场服务人员的人身意外保险。</w:t>
      </w:r>
    </w:p>
    <w:p>
      <w:pPr>
        <w:bidi w:val="0"/>
        <w:rPr>
          <w:rFonts w:hint="eastAsia"/>
          <w:highlight w:val="none"/>
          <w:lang w:val="en-US" w:eastAsia="zh-CN"/>
        </w:rPr>
      </w:pPr>
      <w:r>
        <w:rPr>
          <w:rFonts w:hint="eastAsia"/>
          <w:highlight w:val="none"/>
          <w:lang w:val="en-US" w:eastAsia="zh-CN"/>
        </w:rPr>
        <w:t>2、货物验收要求</w:t>
      </w:r>
    </w:p>
    <w:p>
      <w:pPr>
        <w:bidi w:val="0"/>
        <w:rPr>
          <w:rFonts w:hint="eastAsia"/>
          <w:highlight w:val="none"/>
          <w:lang w:val="en-US" w:eastAsia="zh-CN"/>
        </w:rPr>
      </w:pPr>
      <w:r>
        <w:rPr>
          <w:rFonts w:hint="eastAsia"/>
          <w:highlight w:val="none"/>
          <w:lang w:val="en-US" w:eastAsia="zh-CN"/>
        </w:rPr>
        <w:t>（1）中标人供货时必须提供完整的供货清单，清单需列明本批次货物的名称、品牌、规格型号、数量、生产商、出厂日期等信息，由采购人和中标人双方现场清点验收确认。</w:t>
      </w:r>
    </w:p>
    <w:p>
      <w:pPr>
        <w:bidi w:val="0"/>
        <w:rPr>
          <w:rFonts w:hint="eastAsia"/>
          <w:highlight w:val="none"/>
          <w:lang w:val="en-US" w:eastAsia="zh-CN"/>
        </w:rPr>
      </w:pPr>
      <w:r>
        <w:rPr>
          <w:rFonts w:hint="eastAsia"/>
          <w:highlight w:val="none"/>
          <w:lang w:val="en-US" w:eastAsia="zh-CN"/>
        </w:rPr>
        <w:t>（2）采购人将根据货物清单进行开箱验收，检查货物的出厂资料是否完整、货物外包装有无损坏、货物是否有损坏、腐蚀或掉漆等现象、检查零配件等是否齐全、货物相应技术参数是否符合招标文件要求和投标文件的响应，若中标人交付的货物不符合招标文件、投标文件或双方所签订合同的规定，采购人有权拒收，中标人应在3个工作日内按要求完成换货工作。</w:t>
      </w:r>
    </w:p>
    <w:p>
      <w:pPr>
        <w:bidi w:val="0"/>
        <w:rPr>
          <w:rFonts w:hint="eastAsia"/>
          <w:highlight w:val="none"/>
          <w:lang w:val="en-US" w:eastAsia="zh-CN"/>
        </w:rPr>
      </w:pPr>
      <w:r>
        <w:rPr>
          <w:rFonts w:hint="eastAsia"/>
          <w:highlight w:val="none"/>
          <w:lang w:val="en-US" w:eastAsia="zh-CN"/>
        </w:rPr>
        <w:t>（3）因货物质量问题发生争议时，由本地质量技术监督部门鉴定，货物符合质量技术标准的，鉴定费由采购人承担，否则由中标人承担。</w:t>
      </w:r>
    </w:p>
    <w:p>
      <w:pPr>
        <w:pStyle w:val="5"/>
        <w:bidi w:val="0"/>
        <w:rPr>
          <w:rFonts w:hint="eastAsia"/>
          <w:color w:val="auto"/>
          <w:highlight w:val="none"/>
          <w:lang w:val="en-US" w:eastAsia="zh-CN"/>
        </w:rPr>
      </w:pPr>
      <w:r>
        <w:rPr>
          <w:rFonts w:hint="eastAsia"/>
          <w:color w:val="auto"/>
          <w:highlight w:val="none"/>
          <w:lang w:val="en-US" w:eastAsia="zh-CN"/>
        </w:rPr>
        <w:t>安装调试要求</w:t>
      </w:r>
    </w:p>
    <w:p>
      <w:pPr>
        <w:bidi w:val="0"/>
        <w:rPr>
          <w:rFonts w:hint="eastAsia"/>
          <w:color w:val="auto"/>
          <w:highlight w:val="none"/>
          <w:lang w:val="en-US" w:eastAsia="zh-CN"/>
        </w:rPr>
      </w:pPr>
      <w:bookmarkStart w:id="8" w:name="OLE_LINK1"/>
      <w:r>
        <w:rPr>
          <w:rFonts w:hint="eastAsia" w:ascii="仿宋" w:hAnsi="仿宋" w:eastAsia="仿宋" w:cs="仿宋"/>
          <w:color w:val="auto"/>
          <w:sz w:val="21"/>
          <w:szCs w:val="21"/>
          <w:highlight w:val="none"/>
          <w:lang w:val="en-US" w:eastAsia="zh-CN"/>
        </w:rPr>
        <w:t>★</w:t>
      </w:r>
      <w:bookmarkEnd w:id="8"/>
      <w:r>
        <w:rPr>
          <w:rFonts w:hint="eastAsia"/>
          <w:color w:val="auto"/>
          <w:highlight w:val="none"/>
          <w:lang w:val="en-US" w:eastAsia="zh-CN"/>
        </w:rPr>
        <w:t>1、合同签订后150个日历日内完成项目实施及验收。</w:t>
      </w:r>
      <w:r>
        <w:rPr>
          <w:rFonts w:hint="default"/>
          <w:color w:val="auto"/>
          <w:highlight w:val="none"/>
          <w:lang w:val="en-US" w:eastAsia="zh-CN"/>
        </w:rPr>
        <w:t>（投标人须提供承诺函承诺，格式自拟。）</w:t>
      </w:r>
    </w:p>
    <w:p>
      <w:pPr>
        <w:bidi w:val="0"/>
        <w:rPr>
          <w:rFonts w:hint="eastAsia"/>
          <w:color w:val="auto"/>
          <w:highlight w:val="none"/>
          <w:lang w:val="en-US" w:eastAsia="zh-CN"/>
        </w:rPr>
      </w:pPr>
      <w:r>
        <w:rPr>
          <w:rFonts w:hint="eastAsia"/>
          <w:color w:val="auto"/>
          <w:highlight w:val="none"/>
          <w:lang w:val="en-US" w:eastAsia="zh-CN"/>
        </w:rPr>
        <w:t>2、中标人应负责本项目范围内的设备及材料的供应（包括设备材料的技术文件）、勘探现场、装卸、运输、保管、拆卸、清运、安装调试、验收和维修保养等工作；项目通过最终验收前，项目范围内所有设备（包括但不限于已安装的前端设备、杆体、后端设备以及仓库中未安装的设备）应有中标人进行妥善保管，如因损坏、遗失等造成的损失由中标人承担。</w:t>
      </w:r>
    </w:p>
    <w:p>
      <w:pPr>
        <w:bidi w:val="0"/>
        <w:rPr>
          <w:rFonts w:hint="eastAsia"/>
          <w:color w:val="auto"/>
          <w:highlight w:val="none"/>
          <w:lang w:val="en-US" w:eastAsia="zh-CN"/>
        </w:rPr>
      </w:pPr>
      <w:r>
        <w:rPr>
          <w:rFonts w:hint="eastAsia"/>
          <w:color w:val="auto"/>
          <w:highlight w:val="none"/>
          <w:lang w:val="en-US" w:eastAsia="zh-CN"/>
        </w:rPr>
        <w:t>3、中标人在安装时，必须按安装图纸及相关规范要求实施，因未按规范要求实施造成人员、财产的损失均由中标人负责，采购人可视情况追究其法律责任。在安装过程中必须采取足够的安全措施，确保施工的安全，并自行负责相关安全责任。</w:t>
      </w:r>
    </w:p>
    <w:p>
      <w:pPr>
        <w:bidi w:val="0"/>
        <w:rPr>
          <w:rFonts w:hint="eastAsia"/>
          <w:color w:val="auto"/>
          <w:highlight w:val="none"/>
          <w:lang w:val="en-US" w:eastAsia="zh-CN"/>
        </w:rPr>
      </w:pPr>
      <w:bookmarkStart w:id="9" w:name="OLE_LINK8"/>
      <w:r>
        <w:rPr>
          <w:rFonts w:hint="eastAsia"/>
          <w:color w:val="auto"/>
          <w:highlight w:val="none"/>
          <w:lang w:val="en-US" w:eastAsia="zh-CN"/>
        </w:rPr>
        <w:t>4、中标人须将设备、材料等放置在指定的位置并妥善保管，如发生遗失、损坏等，由中标人自行承担；项目实施过程中，当天安装的材料、工具、垃圾等应及时清理，严禁抛掷和阻塞通道，清理过程中所产生的费用由中标人自行承担。</w:t>
      </w:r>
    </w:p>
    <w:bookmarkEnd w:id="9"/>
    <w:p>
      <w:pPr>
        <w:bidi w:val="0"/>
        <w:rPr>
          <w:rFonts w:hint="eastAsia"/>
          <w:color w:val="auto"/>
          <w:highlight w:val="none"/>
          <w:lang w:val="en-US" w:eastAsia="zh-CN"/>
        </w:rPr>
      </w:pPr>
      <w:r>
        <w:rPr>
          <w:rFonts w:hint="eastAsia"/>
          <w:color w:val="auto"/>
          <w:highlight w:val="none"/>
          <w:lang w:val="en-US" w:eastAsia="zh-CN"/>
        </w:rPr>
        <w:t>5、中标人在安装过程中，如需对场地作局部破损，必须在供货安装实施前取得采购人的书面同意，并承诺负责恢复原状，采购人不另行支付任何费用。</w:t>
      </w:r>
    </w:p>
    <w:p>
      <w:pPr>
        <w:bidi w:val="0"/>
        <w:rPr>
          <w:rFonts w:hint="eastAsia"/>
          <w:color w:val="auto"/>
          <w:highlight w:val="none"/>
          <w:lang w:val="en-US" w:eastAsia="zh-CN"/>
        </w:rPr>
      </w:pPr>
      <w:r>
        <w:rPr>
          <w:rFonts w:hint="eastAsia"/>
          <w:color w:val="auto"/>
          <w:highlight w:val="none"/>
          <w:lang w:val="en-US" w:eastAsia="zh-CN"/>
        </w:rPr>
        <w:t>6、建档工作</w:t>
      </w:r>
    </w:p>
    <w:p>
      <w:pPr>
        <w:bidi w:val="0"/>
        <w:rPr>
          <w:rFonts w:hint="eastAsia"/>
          <w:color w:val="auto"/>
          <w:highlight w:val="none"/>
          <w:lang w:val="en-US" w:eastAsia="zh-CN"/>
        </w:rPr>
      </w:pPr>
      <w:r>
        <w:rPr>
          <w:rFonts w:hint="eastAsia"/>
          <w:color w:val="auto"/>
          <w:highlight w:val="none"/>
          <w:lang w:val="en-US" w:eastAsia="zh-CN"/>
        </w:rPr>
        <w:t>中标人需无条件配合采购人按照GB/T28181-2022附录D统一编码规则进行编码和《广东公安视频图像采集设备“一机一档”基础信息采集建档工作指引》要求及时在“一机一档”系统中录入设备基础信息。</w:t>
      </w:r>
    </w:p>
    <w:p>
      <w:pPr>
        <w:pStyle w:val="2"/>
        <w:keepNext w:val="0"/>
        <w:keepLines w:val="0"/>
        <w:pageBreakBefore w:val="0"/>
        <w:widowControl w:val="0"/>
        <w:kinsoku/>
        <w:wordWrap/>
        <w:overflowPunct/>
        <w:topLinePunct w:val="0"/>
        <w:autoSpaceDE w:val="0"/>
        <w:autoSpaceDN w:val="0"/>
        <w:bidi w:val="0"/>
        <w:adjustRightInd/>
        <w:snapToGrid/>
        <w:ind w:left="0" w:leftChars="0" w:firstLine="480" w:firstLineChars="200"/>
        <w:textAlignment w:val="auto"/>
        <w:rPr>
          <w:rFonts w:hint="default"/>
          <w:color w:val="auto"/>
          <w:sz w:val="24"/>
          <w:szCs w:val="24"/>
          <w:highlight w:val="none"/>
          <w:lang w:val="en-US" w:eastAsia="zh-CN"/>
        </w:rPr>
      </w:pPr>
      <w:bookmarkStart w:id="10" w:name="OLE_LINK3"/>
      <w:r>
        <w:rPr>
          <w:rFonts w:hint="eastAsia" w:ascii="仿宋" w:hAnsi="仿宋" w:eastAsia="仿宋" w:cs="仿宋"/>
          <w:color w:val="auto"/>
          <w:sz w:val="24"/>
          <w:szCs w:val="24"/>
          <w:highlight w:val="none"/>
          <w:lang w:val="en-US" w:eastAsia="zh-CN"/>
        </w:rPr>
        <w:t>★7、中标人所安装的电子警察设备（包括但不限于违停、逆行抓拍等各类违法取证设备）必须严格满足省、市公安机关执法上线标准，同步配齐评估报告及配套标志、标线、标牌。若设备达不到执法启用条件，中标人须在收到问题通知之日起3个工作日内完成整改，并重新报请上级公安机关复核，直至</w:t>
      </w:r>
      <w:r>
        <w:rPr>
          <w:rFonts w:hint="eastAsia" w:cs="仿宋"/>
          <w:color w:val="auto"/>
          <w:sz w:val="24"/>
          <w:szCs w:val="24"/>
          <w:highlight w:val="none"/>
          <w:lang w:val="en-US" w:eastAsia="zh-CN"/>
        </w:rPr>
        <w:t>通过审批</w:t>
      </w:r>
      <w:r>
        <w:rPr>
          <w:rFonts w:hint="eastAsia" w:ascii="仿宋" w:hAnsi="仿宋" w:eastAsia="仿宋" w:cs="仿宋"/>
          <w:color w:val="auto"/>
          <w:sz w:val="24"/>
          <w:szCs w:val="24"/>
          <w:highlight w:val="none"/>
          <w:lang w:val="en-US" w:eastAsia="zh-CN"/>
        </w:rPr>
        <w:t>、正式启用开展执法工作。整改全过程产生的一切费用，均由中标人自行承担。</w:t>
      </w:r>
      <w:r>
        <w:rPr>
          <w:rFonts w:hint="default"/>
          <w:color w:val="auto"/>
          <w:sz w:val="24"/>
          <w:szCs w:val="24"/>
          <w:highlight w:val="none"/>
          <w:lang w:val="en-US" w:eastAsia="zh-CN"/>
        </w:rPr>
        <w:t>（投标人须提供承诺函承诺，格式自拟。）</w:t>
      </w:r>
    </w:p>
    <w:bookmarkEnd w:id="10"/>
    <w:p>
      <w:pPr>
        <w:pStyle w:val="5"/>
        <w:bidi w:val="0"/>
        <w:rPr>
          <w:rFonts w:hint="eastAsia"/>
          <w:highlight w:val="none"/>
          <w:lang w:val="en-US" w:eastAsia="zh-CN"/>
        </w:rPr>
      </w:pPr>
      <w:r>
        <w:rPr>
          <w:rFonts w:hint="eastAsia"/>
          <w:highlight w:val="none"/>
          <w:lang w:val="en-US" w:eastAsia="zh-CN"/>
        </w:rPr>
        <w:t>项目验收要求</w:t>
      </w:r>
    </w:p>
    <w:p>
      <w:pPr>
        <w:bidi w:val="0"/>
        <w:rPr>
          <w:rFonts w:hint="eastAsia"/>
          <w:highlight w:val="none"/>
          <w:lang w:val="en-US" w:eastAsia="zh-CN"/>
        </w:rPr>
      </w:pPr>
      <w:r>
        <w:rPr>
          <w:rFonts w:hint="eastAsia"/>
          <w:highlight w:val="none"/>
          <w:lang w:val="en-US" w:eastAsia="zh-CN"/>
        </w:rPr>
        <w:t>1、交付验收标准依次序对照适用标准为:①符合中华人民共和国国家安全质量标准、环保标准或行业标准；②符合招标文件和响应承诺中采购人认可的合理最佳配置、参数及各项要求；③货物来源国官方标准。</w:t>
      </w:r>
    </w:p>
    <w:p>
      <w:pPr>
        <w:bidi w:val="0"/>
        <w:rPr>
          <w:rFonts w:hint="default"/>
          <w:highlight w:val="none"/>
          <w:lang w:val="en-US" w:eastAsia="zh-CN"/>
        </w:rPr>
      </w:pPr>
      <w:r>
        <w:rPr>
          <w:rFonts w:hint="eastAsia"/>
          <w:highlight w:val="none"/>
          <w:lang w:val="en-US" w:eastAsia="zh-CN"/>
        </w:rPr>
        <w:t>2、货物为原厂商未启封全新包装，具出厂合格证，序列号、包装箱号与出厂批号一致，并可追索查阅。所有随设备的附件必须齐全。</w:t>
      </w:r>
    </w:p>
    <w:p>
      <w:pPr>
        <w:bidi w:val="0"/>
        <w:rPr>
          <w:rFonts w:hint="eastAsia"/>
          <w:highlight w:val="none"/>
          <w:lang w:val="en-US" w:eastAsia="zh-CN"/>
        </w:rPr>
      </w:pPr>
      <w:r>
        <w:rPr>
          <w:rFonts w:hint="eastAsia"/>
          <w:highlight w:val="none"/>
          <w:lang w:val="en-US" w:eastAsia="zh-CN"/>
        </w:rPr>
        <w:t>3、中标人应将关键主机设备的用户手册、保修手册、有关单证资料及配备件、随机工具等交付给采购人，使用操作及安全须知等重要资料应附有中文说明。</w:t>
      </w:r>
    </w:p>
    <w:p>
      <w:pPr>
        <w:bidi w:val="0"/>
        <w:rPr>
          <w:rFonts w:hint="eastAsia"/>
          <w:highlight w:val="none"/>
          <w:lang w:val="en-US" w:eastAsia="zh-CN"/>
        </w:rPr>
      </w:pPr>
      <w:bookmarkStart w:id="11" w:name="OLE_LINK4"/>
      <w:r>
        <w:rPr>
          <w:highlight w:val="none"/>
        </w:rPr>
        <w:t>4、</w:t>
      </w:r>
      <w:r>
        <w:rPr>
          <w:rFonts w:hint="eastAsia"/>
          <w:highlight w:val="none"/>
          <w:lang w:val="en-US" w:eastAsia="zh-CN"/>
        </w:rPr>
        <w:t>中标人需确保本项目建设的高清视频类设备正常在线、电子警察类设备正式投入执法后，按照市公安局关于信息化项目管理的相关工作要求，对项目的初验、试运行（试运行时间不少于30天）、第三方测评、验收前符合性自查等各阶段文档进行整理，汇总成项目验收材料交由采购人，由采购人通过系统报市局科信办进行审核。市局审核通过后，由采购人</w:t>
      </w:r>
      <w:r>
        <w:rPr>
          <w:rFonts w:hint="default"/>
          <w:highlight w:val="none"/>
          <w:lang w:val="en-US" w:eastAsia="zh-CN"/>
        </w:rPr>
        <w:t>按国家有关规定、规范邀请</w:t>
      </w:r>
      <w:r>
        <w:rPr>
          <w:rFonts w:hint="eastAsia"/>
          <w:highlight w:val="none"/>
          <w:lang w:val="en-US" w:eastAsia="zh-CN"/>
        </w:rPr>
        <w:t>上级公安机关、</w:t>
      </w:r>
      <w:r>
        <w:rPr>
          <w:rFonts w:hint="default"/>
          <w:highlight w:val="none"/>
          <w:lang w:val="en-US" w:eastAsia="zh-CN"/>
        </w:rPr>
        <w:t>相关的</w:t>
      </w:r>
      <w:r>
        <w:rPr>
          <w:rFonts w:hint="eastAsia"/>
          <w:highlight w:val="none"/>
          <w:lang w:val="en-US" w:eastAsia="zh-CN"/>
        </w:rPr>
        <w:t>专家</w:t>
      </w:r>
      <w:r>
        <w:rPr>
          <w:rFonts w:hint="default"/>
          <w:highlight w:val="none"/>
          <w:lang w:val="en-US" w:eastAsia="zh-CN"/>
        </w:rPr>
        <w:t>或机构</w:t>
      </w:r>
      <w:r>
        <w:rPr>
          <w:rFonts w:hint="eastAsia"/>
          <w:highlight w:val="none"/>
          <w:lang w:val="en-US" w:eastAsia="zh-CN"/>
        </w:rPr>
        <w:t>等共同组成验收小组开展线下</w:t>
      </w:r>
      <w:r>
        <w:rPr>
          <w:rFonts w:hint="default"/>
          <w:highlight w:val="none"/>
          <w:lang w:val="en-US" w:eastAsia="zh-CN"/>
        </w:rPr>
        <w:t>验收</w:t>
      </w:r>
      <w:r>
        <w:rPr>
          <w:rFonts w:hint="eastAsia"/>
          <w:highlight w:val="none"/>
          <w:lang w:val="en-US" w:eastAsia="zh-CN"/>
        </w:rPr>
        <w:t>，验收通过后签署终验报告</w:t>
      </w:r>
      <w:r>
        <w:rPr>
          <w:rFonts w:hint="default"/>
          <w:highlight w:val="none"/>
          <w:lang w:val="en-US" w:eastAsia="zh-CN"/>
        </w:rPr>
        <w:t>。因货物质量问题发生争议时，由本地质量技术监督部门鉴定</w:t>
      </w:r>
      <w:r>
        <w:rPr>
          <w:rFonts w:hint="eastAsia"/>
          <w:highlight w:val="none"/>
          <w:lang w:val="en-US" w:eastAsia="zh-CN"/>
        </w:rPr>
        <w:t>，由此产生的专家费、</w:t>
      </w:r>
      <w:r>
        <w:rPr>
          <w:rFonts w:hint="default"/>
          <w:highlight w:val="none"/>
          <w:lang w:val="en-US" w:eastAsia="zh-CN"/>
        </w:rPr>
        <w:t>鉴定费由</w:t>
      </w:r>
      <w:r>
        <w:rPr>
          <w:rFonts w:hint="eastAsia"/>
          <w:highlight w:val="none"/>
          <w:lang w:val="en-US" w:eastAsia="zh-CN"/>
        </w:rPr>
        <w:t>中标人</w:t>
      </w:r>
      <w:r>
        <w:rPr>
          <w:rFonts w:hint="default"/>
          <w:highlight w:val="none"/>
          <w:lang w:val="en-US" w:eastAsia="zh-CN"/>
        </w:rPr>
        <w:t>承担。</w:t>
      </w:r>
    </w:p>
    <w:bookmarkEnd w:id="11"/>
    <w:p>
      <w:pPr>
        <w:bidi w:val="0"/>
        <w:rPr>
          <w:rFonts w:hint="eastAsia"/>
          <w:highlight w:val="none"/>
          <w:lang w:val="en-US" w:eastAsia="zh-CN"/>
        </w:rPr>
      </w:pPr>
      <w:r>
        <w:rPr>
          <w:rFonts w:hint="eastAsia"/>
          <w:highlight w:val="none"/>
          <w:lang w:val="en-US" w:eastAsia="zh-CN"/>
        </w:rPr>
        <w:t>5、验收时发现所交付的货物有短缺、次品、损坏或其它不符合本项目规定之情形的，中标人无条件负责退、换货、重新安装、调试直至完成验收并交付，由此产生的有关费用由中标人承担，交货期不予顺延。如果合同货物运输和安装调试过程中因事故造成货物短缺、损坏，中标人应及时安排换货，以保证合同货物成功完整交付，换货的相关费用由中标人承担，交货期不予顺延。</w:t>
      </w:r>
    </w:p>
    <w:p>
      <w:pPr>
        <w:pStyle w:val="4"/>
        <w:bidi w:val="0"/>
        <w:rPr>
          <w:rFonts w:hint="eastAsia"/>
          <w:highlight w:val="none"/>
          <w:lang w:val="en-US" w:eastAsia="zh-CN"/>
        </w:rPr>
      </w:pPr>
      <w:r>
        <w:rPr>
          <w:rFonts w:hint="eastAsia"/>
          <w:highlight w:val="none"/>
          <w:lang w:val="en-US" w:eastAsia="zh-CN"/>
        </w:rPr>
        <w:t>售后服务</w:t>
      </w:r>
    </w:p>
    <w:p>
      <w:pPr>
        <w:bidi w:val="0"/>
        <w:rPr>
          <w:rFonts w:hint="default"/>
          <w:highlight w:val="none"/>
          <w:lang w:val="en-US" w:eastAsia="zh-CN"/>
        </w:rPr>
      </w:pPr>
      <w:r>
        <w:rPr>
          <w:rFonts w:hint="eastAsia"/>
          <w:highlight w:val="none"/>
          <w:lang w:val="en-US" w:eastAsia="zh-CN"/>
        </w:rPr>
        <w:t>1、质保期：项目自</w:t>
      </w:r>
      <w:r>
        <w:rPr>
          <w:rFonts w:hint="default"/>
          <w:highlight w:val="none"/>
          <w:lang w:val="en-US" w:eastAsia="zh-CN"/>
        </w:rPr>
        <w:t>通过最终验收合格之日</w:t>
      </w:r>
      <w:r>
        <w:rPr>
          <w:rFonts w:hint="eastAsia"/>
          <w:highlight w:val="none"/>
          <w:lang w:val="en-US" w:eastAsia="zh-CN"/>
        </w:rPr>
        <w:t>起提供整体项目免费质保三年（即36个月），在质保期内，中标人须保障本项目范围内设备、系统的正常运行，相关指标需达到当年东莞市公安局视频图像数据质量指标要求。若在质保期内发生的质量问题，由中标人负责免费解决，包退包换（因采购人使用不当或其他人为因素造成的故障除外）。</w:t>
      </w:r>
    </w:p>
    <w:p>
      <w:pPr>
        <w:bidi w:val="0"/>
        <w:rPr>
          <w:rFonts w:hint="default"/>
          <w:highlight w:val="none"/>
          <w:lang w:val="en-US" w:eastAsia="zh-CN"/>
        </w:rPr>
      </w:pPr>
      <w:r>
        <w:rPr>
          <w:rFonts w:hint="eastAsia"/>
          <w:highlight w:val="none"/>
          <w:lang w:val="en-US" w:eastAsia="zh-CN"/>
        </w:rPr>
        <w:t>2、运维要求</w:t>
      </w:r>
    </w:p>
    <w:p>
      <w:pPr>
        <w:bidi w:val="0"/>
        <w:rPr>
          <w:rFonts w:hint="eastAsia"/>
          <w:highlight w:val="none"/>
          <w:lang w:val="en-US" w:eastAsia="zh-CN"/>
        </w:rPr>
      </w:pPr>
      <w:r>
        <w:rPr>
          <w:rFonts w:hint="eastAsia"/>
          <w:highlight w:val="none"/>
          <w:lang w:val="en-US" w:eastAsia="zh-CN"/>
        </w:rPr>
        <w:t>（1）一机一档、一卡一档要求说明</w:t>
      </w:r>
    </w:p>
    <w:p>
      <w:pPr>
        <w:bidi w:val="0"/>
        <w:rPr>
          <w:rFonts w:hint="eastAsia"/>
          <w:highlight w:val="none"/>
          <w:lang w:val="en-US" w:eastAsia="zh-CN"/>
        </w:rPr>
      </w:pPr>
      <w:r>
        <w:rPr>
          <w:rFonts w:hint="eastAsia"/>
          <w:highlight w:val="none"/>
          <w:lang w:val="en-US" w:eastAsia="zh-CN"/>
        </w:rPr>
        <w:t>中标人需无条件配合采购人按照GB/T28181-2022附录D统一编码规则进行编码和《广东公安视频图像采集设备“一机一档”基础信息采集建档工作指引》、《广东公安车辆卡口“一卡一档”基础信息采集建档工作指引》的要求及时在“一卡一档”“一机一档”系统中建立完善前端智能感知设备基础信息。</w:t>
      </w:r>
    </w:p>
    <w:p>
      <w:pPr>
        <w:bidi w:val="0"/>
        <w:rPr>
          <w:rFonts w:hint="eastAsia"/>
          <w:highlight w:val="none"/>
          <w:lang w:val="en-US" w:eastAsia="zh-CN"/>
        </w:rPr>
      </w:pPr>
      <w:r>
        <w:rPr>
          <w:rFonts w:hint="eastAsia"/>
          <w:highlight w:val="none"/>
          <w:lang w:val="en-US" w:eastAsia="zh-CN"/>
        </w:rPr>
        <w:t>（2）视图数据整理治理考核</w:t>
      </w:r>
    </w:p>
    <w:p>
      <w:pPr>
        <w:bidi w:val="0"/>
        <w:rPr>
          <w:rFonts w:hint="eastAsia"/>
          <w:highlight w:val="none"/>
          <w:lang w:val="en-US" w:eastAsia="zh-CN"/>
        </w:rPr>
      </w:pPr>
      <w:r>
        <w:rPr>
          <w:rFonts w:hint="eastAsia"/>
          <w:highlight w:val="none"/>
          <w:lang w:val="en-US" w:eastAsia="zh-CN"/>
        </w:rPr>
        <w:t>本项目的运维目标需与东莞市公安局最新运维考核指标匹配，并根据最新要求实时更新，确保满足监测工具考核平台的考核要求。如下：</w:t>
      </w:r>
    </w:p>
    <w:tbl>
      <w:tblPr>
        <w:tblStyle w:val="17"/>
        <w:tblW w:w="99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6"/>
        <w:gridCol w:w="1309"/>
        <w:gridCol w:w="6777"/>
        <w:gridCol w:w="13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80" w:type="dxa"/>
            <w:gridSpan w:val="4"/>
            <w:vAlign w:val="center"/>
          </w:tcPr>
          <w:p>
            <w:pPr>
              <w:pStyle w:val="25"/>
              <w:keepNext w:val="0"/>
              <w:keepLines w:val="0"/>
              <w:pageBreakBefore w:val="0"/>
              <w:widowControl w:val="0"/>
              <w:kinsoku/>
              <w:wordWrap/>
              <w:overflowPunct/>
              <w:topLinePunct w:val="0"/>
              <w:autoSpaceDE w:val="0"/>
              <w:autoSpaceDN w:val="0"/>
              <w:bidi w:val="0"/>
              <w:adjustRightInd/>
              <w:snapToGrid/>
              <w:jc w:val="center"/>
              <w:textAlignment w:val="auto"/>
              <w:rPr>
                <w:rFonts w:hint="eastAsia" w:ascii="仿宋" w:hAnsi="仿宋" w:eastAsia="仿宋" w:cs="仿宋"/>
                <w:color w:val="auto"/>
                <w:sz w:val="21"/>
                <w:szCs w:val="21"/>
                <w:highlight w:val="none"/>
              </w:rPr>
            </w:pPr>
            <w:r>
              <w:rPr>
                <w:rFonts w:hint="eastAsia" w:ascii="仿宋" w:hAnsi="仿宋" w:eastAsia="仿宋" w:cs="仿宋"/>
                <w:b w:val="0"/>
                <w:bCs w:val="0"/>
                <w:color w:val="auto"/>
                <w:sz w:val="21"/>
                <w:szCs w:val="21"/>
                <w:highlight w:val="none"/>
                <w:lang w:val="en-US" w:eastAsia="zh-CN"/>
              </w:rPr>
              <w:t>考核标准表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pPr>
              <w:pStyle w:val="25"/>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序号</w:t>
            </w:r>
          </w:p>
        </w:tc>
        <w:tc>
          <w:tcPr>
            <w:tcW w:w="1309" w:type="dxa"/>
            <w:vAlign w:val="center"/>
          </w:tcPr>
          <w:p>
            <w:pPr>
              <w:pStyle w:val="25"/>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br w:type="page"/>
            </w:r>
            <w:r>
              <w:rPr>
                <w:rFonts w:hint="eastAsia" w:ascii="仿宋" w:hAnsi="仿宋" w:eastAsia="仿宋" w:cs="仿宋"/>
                <w:color w:val="auto"/>
                <w:sz w:val="21"/>
                <w:szCs w:val="21"/>
                <w:highlight w:val="none"/>
              </w:rPr>
              <w:br w:type="page"/>
            </w:r>
            <w:r>
              <w:rPr>
                <w:rFonts w:hint="eastAsia" w:ascii="仿宋" w:hAnsi="仿宋" w:eastAsia="仿宋" w:cs="仿宋"/>
                <w:color w:val="auto"/>
                <w:sz w:val="21"/>
                <w:szCs w:val="21"/>
                <w:highlight w:val="none"/>
              </w:rPr>
              <w:t>考核项</w:t>
            </w:r>
          </w:p>
        </w:tc>
        <w:tc>
          <w:tcPr>
            <w:tcW w:w="6777" w:type="dxa"/>
            <w:vAlign w:val="center"/>
          </w:tcPr>
          <w:p>
            <w:pPr>
              <w:pStyle w:val="25"/>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考核说明</w:t>
            </w:r>
          </w:p>
        </w:tc>
        <w:tc>
          <w:tcPr>
            <w:tcW w:w="1378" w:type="dxa"/>
            <w:vAlign w:val="center"/>
          </w:tcPr>
          <w:p>
            <w:pPr>
              <w:pStyle w:val="25"/>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达标率要求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pPr>
              <w:pStyle w:val="25"/>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w:t>
            </w:r>
          </w:p>
        </w:tc>
        <w:tc>
          <w:tcPr>
            <w:tcW w:w="1309" w:type="dxa"/>
            <w:vAlign w:val="center"/>
          </w:tcPr>
          <w:p>
            <w:pPr>
              <w:pStyle w:val="25"/>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建档合格率（抽查）</w:t>
            </w:r>
          </w:p>
        </w:tc>
        <w:tc>
          <w:tcPr>
            <w:tcW w:w="6777" w:type="dxa"/>
            <w:vAlign w:val="center"/>
          </w:tcPr>
          <w:p>
            <w:pPr>
              <w:pStyle w:val="25"/>
              <w:keepNext w:val="0"/>
              <w:keepLines w:val="0"/>
              <w:pageBreakBefore w:val="0"/>
              <w:widowControl w:val="0"/>
              <w:kinsoku/>
              <w:wordWrap/>
              <w:overflowPunct/>
              <w:topLinePunct w:val="0"/>
              <w:autoSpaceDE w:val="0"/>
              <w:autoSpaceDN w:val="0"/>
              <w:bidi w:val="0"/>
              <w:adjustRightInd/>
              <w:snapToGrid/>
              <w:spacing w:line="240" w:lineRule="auto"/>
              <w:ind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每月抽查各</w:t>
            </w:r>
            <w:r>
              <w:rPr>
                <w:rFonts w:hint="eastAsia" w:ascii="仿宋" w:hAnsi="仿宋" w:eastAsia="仿宋" w:cs="仿宋"/>
                <w:color w:val="auto"/>
                <w:sz w:val="21"/>
                <w:szCs w:val="21"/>
                <w:highlight w:val="none"/>
                <w:lang w:eastAsia="zh-CN"/>
              </w:rPr>
              <w:t>公安分局</w:t>
            </w:r>
            <w:r>
              <w:rPr>
                <w:rFonts w:hint="eastAsia" w:ascii="仿宋" w:hAnsi="仿宋" w:eastAsia="仿宋" w:cs="仿宋"/>
                <w:color w:val="auto"/>
                <w:sz w:val="21"/>
                <w:szCs w:val="21"/>
                <w:highlight w:val="none"/>
              </w:rPr>
              <w:t>一类点视频监控、</w:t>
            </w:r>
            <w:r>
              <w:rPr>
                <w:rFonts w:hint="eastAsia"/>
                <w:highlight w:val="none"/>
                <w:lang w:val="en-US" w:eastAsia="zh-CN"/>
              </w:rPr>
              <w:t>人像</w:t>
            </w:r>
            <w:r>
              <w:rPr>
                <w:rFonts w:hint="eastAsia" w:ascii="仿宋" w:hAnsi="仿宋" w:eastAsia="仿宋" w:cs="仿宋"/>
                <w:color w:val="auto"/>
                <w:sz w:val="21"/>
                <w:szCs w:val="21"/>
                <w:highlight w:val="none"/>
              </w:rPr>
              <w:t>卡口、车辆卡口一机一档录入的设备编码、设备名称、行政区划、安装地址、周边标志地点/道路名称、点位类型、功能类型、所属部门/警种、设备IP与MAC地址、安装地实景图片访问链接、设备状态等关键基础信息是否完整、合规、准确。填报抽查准确的数量</w:t>
            </w:r>
            <w:r>
              <w:rPr>
                <w:rFonts w:hint="eastAsia" w:ascii="仿宋" w:hAnsi="仿宋" w:eastAsia="仿宋" w:cs="仿宋"/>
                <w:color w:val="auto"/>
                <w:sz w:val="21"/>
                <w:szCs w:val="21"/>
                <w:highlight w:val="none"/>
                <w:lang w:eastAsia="zh-CN"/>
              </w:rPr>
              <w:t>。</w:t>
            </w:r>
          </w:p>
        </w:tc>
        <w:tc>
          <w:tcPr>
            <w:tcW w:w="1378" w:type="dxa"/>
            <w:vAlign w:val="center"/>
          </w:tcPr>
          <w:p>
            <w:pPr>
              <w:pStyle w:val="25"/>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pPr>
              <w:pStyle w:val="25"/>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w:t>
            </w:r>
          </w:p>
        </w:tc>
        <w:tc>
          <w:tcPr>
            <w:tcW w:w="1309" w:type="dxa"/>
            <w:vAlign w:val="center"/>
          </w:tcPr>
          <w:p>
            <w:pPr>
              <w:pStyle w:val="25"/>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经纬度抽查（抽查）</w:t>
            </w:r>
          </w:p>
        </w:tc>
        <w:tc>
          <w:tcPr>
            <w:tcW w:w="6777" w:type="dxa"/>
            <w:vAlign w:val="center"/>
          </w:tcPr>
          <w:p>
            <w:pPr>
              <w:pStyle w:val="25"/>
              <w:keepNext w:val="0"/>
              <w:keepLines w:val="0"/>
              <w:pageBreakBefore w:val="0"/>
              <w:widowControl w:val="0"/>
              <w:kinsoku/>
              <w:wordWrap/>
              <w:overflowPunct/>
              <w:topLinePunct w:val="0"/>
              <w:autoSpaceDE w:val="0"/>
              <w:autoSpaceDN w:val="0"/>
              <w:bidi w:val="0"/>
              <w:adjustRightInd/>
              <w:snapToGrid/>
              <w:spacing w:line="240" w:lineRule="auto"/>
              <w:ind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随机抽选特定数量的监控设备、人车卡口，根据设备名称、安装地址、经纬度等档案信息，从一机一档和一杆一档系统，人工核验设备、卡口或立杆的经纬度标注情况，经抽查设备、卡口和立杆经纬度无偏离的，判定为经纬度标注准确。填报抽查准确的数量</w:t>
            </w:r>
            <w:r>
              <w:rPr>
                <w:rFonts w:hint="eastAsia" w:ascii="仿宋" w:hAnsi="仿宋" w:eastAsia="仿宋" w:cs="仿宋"/>
                <w:color w:val="auto"/>
                <w:sz w:val="21"/>
                <w:szCs w:val="21"/>
                <w:highlight w:val="none"/>
                <w:lang w:eastAsia="zh-CN"/>
              </w:rPr>
              <w:t>。</w:t>
            </w:r>
          </w:p>
        </w:tc>
        <w:tc>
          <w:tcPr>
            <w:tcW w:w="1378" w:type="dxa"/>
            <w:vAlign w:val="center"/>
          </w:tcPr>
          <w:p>
            <w:pPr>
              <w:pStyle w:val="25"/>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pPr>
              <w:pStyle w:val="25"/>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w:t>
            </w:r>
          </w:p>
        </w:tc>
        <w:tc>
          <w:tcPr>
            <w:tcW w:w="1309" w:type="dxa"/>
            <w:vAlign w:val="center"/>
          </w:tcPr>
          <w:p>
            <w:pPr>
              <w:pStyle w:val="25"/>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联网率（系统）</w:t>
            </w:r>
          </w:p>
        </w:tc>
        <w:tc>
          <w:tcPr>
            <w:tcW w:w="6777" w:type="dxa"/>
            <w:vAlign w:val="center"/>
          </w:tcPr>
          <w:p>
            <w:pPr>
              <w:pStyle w:val="25"/>
              <w:keepNext w:val="0"/>
              <w:keepLines w:val="0"/>
              <w:pageBreakBefore w:val="0"/>
              <w:widowControl w:val="0"/>
              <w:kinsoku/>
              <w:wordWrap/>
              <w:overflowPunct/>
              <w:topLinePunct w:val="0"/>
              <w:autoSpaceDE w:val="0"/>
              <w:autoSpaceDN w:val="0"/>
              <w:bidi w:val="0"/>
              <w:adjustRightInd/>
              <w:snapToGrid/>
              <w:spacing w:line="240" w:lineRule="auto"/>
              <w:ind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定期从</w:t>
            </w:r>
            <w:r>
              <w:rPr>
                <w:rFonts w:hint="eastAsia"/>
                <w:highlight w:val="none"/>
                <w:lang w:val="en-US" w:eastAsia="zh-CN"/>
              </w:rPr>
              <w:t>人像</w:t>
            </w:r>
            <w:r>
              <w:rPr>
                <w:rFonts w:hint="eastAsia" w:ascii="仿宋" w:hAnsi="仿宋" w:eastAsia="仿宋" w:cs="仿宋"/>
                <w:color w:val="auto"/>
                <w:sz w:val="21"/>
                <w:szCs w:val="21"/>
                <w:highlight w:val="none"/>
              </w:rPr>
              <w:t>平台抽取已联网设备清单，已建档绑杆、档案设备状态为正常且已推送市</w:t>
            </w:r>
            <w:r>
              <w:rPr>
                <w:rFonts w:hint="eastAsia"/>
                <w:highlight w:val="none"/>
                <w:lang w:val="en-US" w:eastAsia="zh-CN"/>
              </w:rPr>
              <w:t>人像</w:t>
            </w:r>
            <w:r>
              <w:rPr>
                <w:rFonts w:hint="eastAsia" w:ascii="仿宋" w:hAnsi="仿宋" w:eastAsia="仿宋" w:cs="仿宋"/>
                <w:color w:val="auto"/>
                <w:sz w:val="21"/>
                <w:szCs w:val="21"/>
                <w:highlight w:val="none"/>
              </w:rPr>
              <w:t>平台的设备视为已联网。对比2021年</w:t>
            </w:r>
            <w:r>
              <w:rPr>
                <w:rFonts w:hint="eastAsia"/>
                <w:highlight w:val="none"/>
                <w:lang w:val="en-US" w:eastAsia="zh-CN"/>
              </w:rPr>
              <w:t>人像</w:t>
            </w:r>
            <w:r>
              <w:rPr>
                <w:rFonts w:hint="eastAsia" w:ascii="仿宋" w:hAnsi="仿宋" w:eastAsia="仿宋" w:cs="仿宋"/>
                <w:color w:val="auto"/>
                <w:sz w:val="21"/>
                <w:szCs w:val="21"/>
                <w:highlight w:val="none"/>
              </w:rPr>
              <w:t>卡口建设任务，检测各</w:t>
            </w:r>
            <w:r>
              <w:rPr>
                <w:rFonts w:hint="eastAsia" w:ascii="仿宋" w:hAnsi="仿宋" w:eastAsia="仿宋" w:cs="仿宋"/>
                <w:color w:val="auto"/>
                <w:sz w:val="21"/>
                <w:szCs w:val="21"/>
                <w:highlight w:val="none"/>
                <w:lang w:eastAsia="zh-CN"/>
              </w:rPr>
              <w:t>公安分局</w:t>
            </w:r>
            <w:r>
              <w:rPr>
                <w:rFonts w:hint="eastAsia"/>
                <w:highlight w:val="none"/>
                <w:lang w:val="en-US" w:eastAsia="zh-CN"/>
              </w:rPr>
              <w:t>人像</w:t>
            </w:r>
            <w:r>
              <w:rPr>
                <w:rFonts w:hint="eastAsia" w:ascii="仿宋" w:hAnsi="仿宋" w:eastAsia="仿宋" w:cs="仿宋"/>
                <w:color w:val="auto"/>
                <w:sz w:val="21"/>
                <w:szCs w:val="21"/>
                <w:highlight w:val="none"/>
              </w:rPr>
              <w:t>卡口联网率是否达标。卡口联网率=已联网数/建档总数（包括状态为“正常”、“故障”、“停用”设备）</w:t>
            </w:r>
            <w:r>
              <w:rPr>
                <w:rFonts w:hint="eastAsia" w:ascii="仿宋" w:hAnsi="仿宋" w:eastAsia="仿宋" w:cs="仿宋"/>
                <w:color w:val="auto"/>
                <w:sz w:val="21"/>
                <w:szCs w:val="21"/>
                <w:highlight w:val="none"/>
                <w:lang w:eastAsia="zh-CN"/>
              </w:rPr>
              <w:t>。</w:t>
            </w:r>
          </w:p>
        </w:tc>
        <w:tc>
          <w:tcPr>
            <w:tcW w:w="1378" w:type="dxa"/>
            <w:vAlign w:val="center"/>
          </w:tcPr>
          <w:p>
            <w:pPr>
              <w:pStyle w:val="25"/>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rPr>
              <w:t>≥</w:t>
            </w:r>
            <w:r>
              <w:rPr>
                <w:rFonts w:hint="eastAsia" w:ascii="仿宋" w:hAnsi="仿宋" w:eastAsia="仿宋" w:cs="仿宋"/>
                <w:color w:val="auto"/>
                <w:sz w:val="21"/>
                <w:szCs w:val="21"/>
                <w:highlight w:val="none"/>
              </w:rPr>
              <w:t>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pPr>
              <w:pStyle w:val="25"/>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w:t>
            </w:r>
          </w:p>
        </w:tc>
        <w:tc>
          <w:tcPr>
            <w:tcW w:w="1309" w:type="dxa"/>
            <w:vAlign w:val="center"/>
          </w:tcPr>
          <w:p>
            <w:pPr>
              <w:pStyle w:val="25"/>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在线率（系统）</w:t>
            </w:r>
          </w:p>
        </w:tc>
        <w:tc>
          <w:tcPr>
            <w:tcW w:w="6777" w:type="dxa"/>
            <w:vAlign w:val="center"/>
          </w:tcPr>
          <w:p>
            <w:pPr>
              <w:pStyle w:val="25"/>
              <w:keepNext w:val="0"/>
              <w:keepLines w:val="0"/>
              <w:pageBreakBefore w:val="0"/>
              <w:widowControl w:val="0"/>
              <w:kinsoku/>
              <w:wordWrap/>
              <w:overflowPunct/>
              <w:topLinePunct w:val="0"/>
              <w:autoSpaceDE w:val="0"/>
              <w:autoSpaceDN w:val="0"/>
              <w:bidi w:val="0"/>
              <w:adjustRightInd/>
              <w:snapToGrid/>
              <w:spacing w:line="240" w:lineRule="auto"/>
              <w:ind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从</w:t>
            </w:r>
            <w:r>
              <w:rPr>
                <w:rFonts w:hint="eastAsia" w:ascii="仿宋" w:hAnsi="仿宋" w:eastAsia="仿宋" w:cs="仿宋"/>
                <w:color w:val="auto"/>
                <w:sz w:val="21"/>
                <w:szCs w:val="21"/>
                <w:highlight w:val="none"/>
                <w:lang w:val="en-US" w:eastAsia="zh-CN"/>
              </w:rPr>
              <w:t>东莞</w:t>
            </w:r>
            <w:r>
              <w:rPr>
                <w:rFonts w:hint="eastAsia" w:ascii="仿宋" w:hAnsi="仿宋" w:eastAsia="仿宋" w:cs="仿宋"/>
                <w:color w:val="auto"/>
                <w:sz w:val="21"/>
                <w:szCs w:val="21"/>
                <w:highlight w:val="none"/>
              </w:rPr>
              <w:t>市</w:t>
            </w:r>
            <w:r>
              <w:rPr>
                <w:rFonts w:hint="eastAsia" w:ascii="仿宋" w:hAnsi="仿宋" w:eastAsia="仿宋" w:cs="仿宋"/>
                <w:color w:val="auto"/>
                <w:sz w:val="21"/>
                <w:szCs w:val="21"/>
                <w:highlight w:val="none"/>
                <w:lang w:val="en-US" w:eastAsia="zh-CN"/>
              </w:rPr>
              <w:t>公安</w:t>
            </w:r>
            <w:r>
              <w:rPr>
                <w:rFonts w:hint="eastAsia" w:ascii="仿宋" w:hAnsi="仿宋" w:eastAsia="仿宋" w:cs="仿宋"/>
                <w:color w:val="auto"/>
                <w:sz w:val="21"/>
                <w:szCs w:val="21"/>
                <w:highlight w:val="none"/>
              </w:rPr>
              <w:t>局</w:t>
            </w:r>
            <w:r>
              <w:rPr>
                <w:rFonts w:hint="eastAsia"/>
                <w:highlight w:val="none"/>
                <w:lang w:val="en-US" w:eastAsia="zh-CN"/>
              </w:rPr>
              <w:t>人像</w:t>
            </w:r>
            <w:r>
              <w:rPr>
                <w:rFonts w:hint="eastAsia" w:ascii="仿宋" w:hAnsi="仿宋" w:eastAsia="仿宋" w:cs="仿宋"/>
                <w:color w:val="auto"/>
                <w:sz w:val="21"/>
                <w:szCs w:val="21"/>
                <w:highlight w:val="none"/>
              </w:rPr>
              <w:t>平台抽取所有联网的</w:t>
            </w:r>
            <w:r>
              <w:rPr>
                <w:rFonts w:hint="eastAsia"/>
                <w:highlight w:val="none"/>
                <w:lang w:val="en-US" w:eastAsia="zh-CN"/>
              </w:rPr>
              <w:t>人像</w:t>
            </w:r>
            <w:r>
              <w:rPr>
                <w:rFonts w:hint="eastAsia" w:ascii="仿宋" w:hAnsi="仿宋" w:eastAsia="仿宋" w:cs="仿宋"/>
                <w:color w:val="auto"/>
                <w:sz w:val="21"/>
                <w:szCs w:val="21"/>
                <w:highlight w:val="none"/>
              </w:rPr>
              <w:t>卡口进行检测，</w:t>
            </w:r>
            <w:r>
              <w:rPr>
                <w:rFonts w:hint="eastAsia"/>
                <w:highlight w:val="none"/>
                <w:lang w:val="en-US" w:eastAsia="zh-CN"/>
              </w:rPr>
              <w:t>人像</w:t>
            </w:r>
            <w:r>
              <w:rPr>
                <w:rFonts w:hint="eastAsia" w:ascii="仿宋" w:hAnsi="仿宋" w:eastAsia="仿宋" w:cs="仿宋"/>
                <w:color w:val="auto"/>
                <w:sz w:val="21"/>
                <w:szCs w:val="21"/>
                <w:highlight w:val="none"/>
              </w:rPr>
              <w:t>卡口24小时内至少抓拍1张</w:t>
            </w:r>
            <w:r>
              <w:rPr>
                <w:rFonts w:hint="eastAsia"/>
                <w:highlight w:val="none"/>
                <w:lang w:val="en-US" w:eastAsia="zh-CN"/>
              </w:rPr>
              <w:t>人像</w:t>
            </w:r>
            <w:r>
              <w:rPr>
                <w:rFonts w:hint="eastAsia" w:ascii="仿宋" w:hAnsi="仿宋" w:eastAsia="仿宋" w:cs="仿宋"/>
                <w:color w:val="auto"/>
                <w:sz w:val="21"/>
                <w:szCs w:val="21"/>
                <w:highlight w:val="none"/>
              </w:rPr>
              <w:t>图片上传至</w:t>
            </w:r>
            <w:r>
              <w:rPr>
                <w:rFonts w:hint="eastAsia"/>
                <w:highlight w:val="none"/>
                <w:lang w:val="en-US" w:eastAsia="zh-CN"/>
              </w:rPr>
              <w:t>人像</w:t>
            </w:r>
            <w:r>
              <w:rPr>
                <w:rFonts w:hint="eastAsia" w:ascii="仿宋" w:hAnsi="仿宋" w:eastAsia="仿宋" w:cs="仿宋"/>
                <w:color w:val="auto"/>
                <w:sz w:val="21"/>
                <w:szCs w:val="21"/>
                <w:highlight w:val="none"/>
              </w:rPr>
              <w:t>库，则判定为在线，否则判定为离线。卡口在线率=联网</w:t>
            </w:r>
            <w:r>
              <w:rPr>
                <w:rFonts w:hint="eastAsia"/>
                <w:highlight w:val="none"/>
                <w:lang w:val="en-US" w:eastAsia="zh-CN"/>
              </w:rPr>
              <w:t>人像</w:t>
            </w:r>
            <w:r>
              <w:rPr>
                <w:rFonts w:hint="eastAsia" w:ascii="仿宋" w:hAnsi="仿宋" w:eastAsia="仿宋" w:cs="仿宋"/>
                <w:color w:val="auto"/>
                <w:sz w:val="21"/>
                <w:szCs w:val="21"/>
                <w:highlight w:val="none"/>
              </w:rPr>
              <w:t>卡口在线数/联网清单卡口总数</w:t>
            </w:r>
            <w:r>
              <w:rPr>
                <w:rFonts w:hint="eastAsia" w:ascii="仿宋" w:hAnsi="仿宋" w:eastAsia="仿宋" w:cs="仿宋"/>
                <w:color w:val="auto"/>
                <w:sz w:val="21"/>
                <w:szCs w:val="21"/>
                <w:highlight w:val="none"/>
                <w:lang w:eastAsia="zh-CN"/>
              </w:rPr>
              <w:t>。</w:t>
            </w:r>
          </w:p>
        </w:tc>
        <w:tc>
          <w:tcPr>
            <w:tcW w:w="1378" w:type="dxa"/>
            <w:vAlign w:val="center"/>
          </w:tcPr>
          <w:p>
            <w:pPr>
              <w:pStyle w:val="25"/>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rPr>
              <w:t>≥</w:t>
            </w:r>
            <w:r>
              <w:rPr>
                <w:rFonts w:hint="eastAsia" w:ascii="仿宋" w:hAnsi="仿宋" w:eastAsia="仿宋" w:cs="仿宋"/>
                <w:color w:val="auto"/>
                <w:sz w:val="21"/>
                <w:szCs w:val="21"/>
                <w:highlight w:val="none"/>
                <w:lang w:val="en-US" w:eastAsia="zh-CN"/>
              </w:rPr>
              <w:t>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pPr>
              <w:pStyle w:val="25"/>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5</w:t>
            </w:r>
          </w:p>
        </w:tc>
        <w:tc>
          <w:tcPr>
            <w:tcW w:w="1309" w:type="dxa"/>
            <w:vAlign w:val="center"/>
          </w:tcPr>
          <w:p>
            <w:pPr>
              <w:pStyle w:val="25"/>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数据及时率（系统）</w:t>
            </w:r>
          </w:p>
        </w:tc>
        <w:tc>
          <w:tcPr>
            <w:tcW w:w="6777" w:type="dxa"/>
            <w:vAlign w:val="center"/>
          </w:tcPr>
          <w:p>
            <w:pPr>
              <w:pStyle w:val="25"/>
              <w:keepNext w:val="0"/>
              <w:keepLines w:val="0"/>
              <w:pageBreakBefore w:val="0"/>
              <w:widowControl w:val="0"/>
              <w:numPr>
                <w:ilvl w:val="0"/>
                <w:numId w:val="5"/>
              </w:numPr>
              <w:kinsoku/>
              <w:wordWrap/>
              <w:overflowPunct/>
              <w:topLinePunct w:val="0"/>
              <w:autoSpaceDE w:val="0"/>
              <w:autoSpaceDN w:val="0"/>
              <w:bidi w:val="0"/>
              <w:adjustRightInd/>
              <w:snapToGrid/>
              <w:spacing w:line="240" w:lineRule="auto"/>
              <w:ind w:firstLine="420" w:firstLineChars="200"/>
              <w:jc w:val="left"/>
              <w:textAlignment w:val="auto"/>
              <w:rPr>
                <w:rFonts w:hint="eastAsia" w:ascii="仿宋" w:hAnsi="仿宋" w:eastAsia="仿宋" w:cs="仿宋"/>
                <w:color w:val="auto"/>
                <w:sz w:val="21"/>
                <w:szCs w:val="21"/>
                <w:highlight w:val="none"/>
                <w:lang w:eastAsia="zh-CN"/>
              </w:rPr>
            </w:pPr>
            <w:r>
              <w:rPr>
                <w:rFonts w:hint="eastAsia"/>
                <w:highlight w:val="none"/>
                <w:lang w:val="en-US" w:eastAsia="zh-CN"/>
              </w:rPr>
              <w:t>人像</w:t>
            </w:r>
            <w:r>
              <w:rPr>
                <w:rFonts w:hint="eastAsia" w:ascii="仿宋" w:hAnsi="仿宋" w:eastAsia="仿宋" w:cs="仿宋"/>
                <w:color w:val="auto"/>
                <w:sz w:val="21"/>
                <w:szCs w:val="21"/>
                <w:highlight w:val="none"/>
                <w:lang w:val="en-US" w:eastAsia="zh-CN"/>
              </w:rPr>
              <w:t>采集：</w:t>
            </w:r>
            <w:r>
              <w:rPr>
                <w:rFonts w:hint="eastAsia" w:ascii="仿宋" w:hAnsi="仿宋" w:eastAsia="仿宋" w:cs="仿宋"/>
                <w:color w:val="auto"/>
                <w:sz w:val="21"/>
                <w:szCs w:val="21"/>
                <w:highlight w:val="none"/>
              </w:rPr>
              <w:t>对</w:t>
            </w:r>
            <w:r>
              <w:rPr>
                <w:rFonts w:hint="eastAsia"/>
                <w:highlight w:val="none"/>
                <w:lang w:val="en-US" w:eastAsia="zh-CN"/>
              </w:rPr>
              <w:t>人像</w:t>
            </w:r>
            <w:r>
              <w:rPr>
                <w:rFonts w:hint="eastAsia" w:ascii="仿宋" w:hAnsi="仿宋" w:eastAsia="仿宋" w:cs="仿宋"/>
                <w:color w:val="auto"/>
                <w:sz w:val="21"/>
                <w:szCs w:val="21"/>
                <w:highlight w:val="none"/>
              </w:rPr>
              <w:t>卡口上传的所有抓拍数据进行检测，若数据的抓拍时间小于小图公安网入库接收时间且时间30秒以内的，则判定为上传及时，否则判定为上传超时（含因时钟未校准，导致时间差为负数的）。通过抓拍数据的抽查情况推算</w:t>
            </w:r>
            <w:r>
              <w:rPr>
                <w:rFonts w:hint="eastAsia"/>
                <w:highlight w:val="none"/>
                <w:lang w:val="en-US" w:eastAsia="zh-CN"/>
              </w:rPr>
              <w:t>人像</w:t>
            </w:r>
            <w:r>
              <w:rPr>
                <w:rFonts w:hint="eastAsia" w:ascii="仿宋" w:hAnsi="仿宋" w:eastAsia="仿宋" w:cs="仿宋"/>
                <w:color w:val="auto"/>
                <w:sz w:val="21"/>
                <w:szCs w:val="21"/>
                <w:highlight w:val="none"/>
              </w:rPr>
              <w:t>卡口数据上传及时性情况，若</w:t>
            </w:r>
            <w:r>
              <w:rPr>
                <w:rFonts w:hint="eastAsia"/>
                <w:highlight w:val="none"/>
                <w:lang w:val="en-US" w:eastAsia="zh-CN"/>
              </w:rPr>
              <w:t>人像</w:t>
            </w:r>
            <w:r>
              <w:rPr>
                <w:rFonts w:hint="eastAsia" w:ascii="仿宋" w:hAnsi="仿宋" w:eastAsia="仿宋" w:cs="仿宋"/>
                <w:color w:val="auto"/>
                <w:sz w:val="21"/>
                <w:szCs w:val="21"/>
                <w:highlight w:val="none"/>
              </w:rPr>
              <w:t>卡口上传的数据中有超过90%（不含等于）的数据是及时的，则判定</w:t>
            </w:r>
            <w:r>
              <w:rPr>
                <w:rFonts w:hint="eastAsia"/>
                <w:highlight w:val="none"/>
                <w:lang w:val="en-US" w:eastAsia="zh-CN"/>
              </w:rPr>
              <w:t>人像</w:t>
            </w:r>
            <w:r>
              <w:rPr>
                <w:rFonts w:hint="eastAsia" w:ascii="仿宋" w:hAnsi="仿宋" w:eastAsia="仿宋" w:cs="仿宋"/>
                <w:color w:val="auto"/>
                <w:sz w:val="21"/>
                <w:szCs w:val="21"/>
                <w:highlight w:val="none"/>
              </w:rPr>
              <w:t>卡口上传及时。数据上传及时率=上传及时的</w:t>
            </w:r>
            <w:r>
              <w:rPr>
                <w:rFonts w:hint="eastAsia"/>
                <w:highlight w:val="none"/>
                <w:lang w:val="en-US" w:eastAsia="zh-CN"/>
              </w:rPr>
              <w:t>人像</w:t>
            </w:r>
            <w:r>
              <w:rPr>
                <w:rFonts w:hint="eastAsia" w:ascii="仿宋" w:hAnsi="仿宋" w:eastAsia="仿宋" w:cs="仿宋"/>
                <w:color w:val="auto"/>
                <w:sz w:val="21"/>
                <w:szCs w:val="21"/>
                <w:highlight w:val="none"/>
              </w:rPr>
              <w:t>卡口数量/所有在线</w:t>
            </w:r>
            <w:r>
              <w:rPr>
                <w:rFonts w:hint="eastAsia"/>
                <w:highlight w:val="none"/>
                <w:lang w:val="en-US" w:eastAsia="zh-CN"/>
              </w:rPr>
              <w:t>人像</w:t>
            </w:r>
            <w:r>
              <w:rPr>
                <w:rFonts w:hint="eastAsia" w:ascii="仿宋" w:hAnsi="仿宋" w:eastAsia="仿宋" w:cs="仿宋"/>
                <w:color w:val="auto"/>
                <w:sz w:val="21"/>
                <w:szCs w:val="21"/>
                <w:highlight w:val="none"/>
              </w:rPr>
              <w:t>卡口数量</w:t>
            </w:r>
            <w:r>
              <w:rPr>
                <w:rFonts w:hint="eastAsia" w:ascii="仿宋" w:hAnsi="仿宋" w:eastAsia="仿宋" w:cs="仿宋"/>
                <w:color w:val="auto"/>
                <w:sz w:val="21"/>
                <w:szCs w:val="21"/>
                <w:highlight w:val="none"/>
                <w:lang w:eastAsia="zh-CN"/>
              </w:rPr>
              <w:t>。</w:t>
            </w:r>
          </w:p>
          <w:p>
            <w:pPr>
              <w:pStyle w:val="25"/>
              <w:keepNext w:val="0"/>
              <w:keepLines w:val="0"/>
              <w:pageBreakBefore w:val="0"/>
              <w:widowControl w:val="0"/>
              <w:numPr>
                <w:ilvl w:val="0"/>
                <w:numId w:val="5"/>
              </w:numPr>
              <w:kinsoku/>
              <w:wordWrap/>
              <w:overflowPunct/>
              <w:topLinePunct w:val="0"/>
              <w:autoSpaceDE w:val="0"/>
              <w:autoSpaceDN w:val="0"/>
              <w:bidi w:val="0"/>
              <w:adjustRightInd/>
              <w:snapToGrid/>
              <w:spacing w:line="240" w:lineRule="auto"/>
              <w:ind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车辆卡口：数据上传及时率=上传及时的车辆卡口数/在线的车辆卡口数</w:t>
            </w:r>
          </w:p>
        </w:tc>
        <w:tc>
          <w:tcPr>
            <w:tcW w:w="1378" w:type="dxa"/>
            <w:vAlign w:val="center"/>
          </w:tcPr>
          <w:p>
            <w:pPr>
              <w:pStyle w:val="25"/>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rPr>
              <w:t>≥</w:t>
            </w:r>
            <w:r>
              <w:rPr>
                <w:rFonts w:hint="eastAsia" w:ascii="仿宋" w:hAnsi="仿宋" w:eastAsia="仿宋" w:cs="仿宋"/>
                <w:color w:val="auto"/>
                <w:sz w:val="21"/>
                <w:szCs w:val="21"/>
                <w:highlight w:val="none"/>
              </w:rPr>
              <w:t>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pPr>
              <w:pStyle w:val="25"/>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6</w:t>
            </w:r>
          </w:p>
        </w:tc>
        <w:tc>
          <w:tcPr>
            <w:tcW w:w="1309" w:type="dxa"/>
            <w:vAlign w:val="center"/>
          </w:tcPr>
          <w:p>
            <w:pPr>
              <w:pStyle w:val="25"/>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识别率准确率（抽查）</w:t>
            </w:r>
          </w:p>
        </w:tc>
        <w:tc>
          <w:tcPr>
            <w:tcW w:w="6777" w:type="dxa"/>
            <w:vAlign w:val="center"/>
          </w:tcPr>
          <w:p>
            <w:pPr>
              <w:pStyle w:val="25"/>
              <w:keepNext w:val="0"/>
              <w:keepLines w:val="0"/>
              <w:pageBreakBefore w:val="0"/>
              <w:widowControl w:val="0"/>
              <w:numPr>
                <w:ilvl w:val="0"/>
                <w:numId w:val="6"/>
              </w:numPr>
              <w:kinsoku/>
              <w:wordWrap/>
              <w:overflowPunct/>
              <w:topLinePunct w:val="0"/>
              <w:autoSpaceDE w:val="0"/>
              <w:autoSpaceDN w:val="0"/>
              <w:bidi w:val="0"/>
              <w:adjustRightInd/>
              <w:snapToGrid/>
              <w:spacing w:line="240" w:lineRule="auto"/>
              <w:ind w:firstLine="420" w:firstLineChars="200"/>
              <w:jc w:val="left"/>
              <w:textAlignment w:val="auto"/>
              <w:rPr>
                <w:rFonts w:hint="eastAsia" w:ascii="仿宋" w:hAnsi="仿宋" w:eastAsia="仿宋" w:cs="仿宋"/>
                <w:color w:val="auto"/>
                <w:sz w:val="21"/>
                <w:szCs w:val="21"/>
                <w:highlight w:val="none"/>
              </w:rPr>
            </w:pPr>
            <w:r>
              <w:rPr>
                <w:rFonts w:hint="eastAsia"/>
                <w:highlight w:val="none"/>
                <w:lang w:val="en-US" w:eastAsia="zh-CN"/>
              </w:rPr>
              <w:t>人像</w:t>
            </w:r>
            <w:r>
              <w:rPr>
                <w:rFonts w:hint="eastAsia" w:ascii="仿宋" w:hAnsi="仿宋" w:eastAsia="仿宋" w:cs="仿宋"/>
                <w:color w:val="auto"/>
                <w:sz w:val="21"/>
                <w:szCs w:val="21"/>
                <w:highlight w:val="none"/>
                <w:lang w:val="en-US" w:eastAsia="zh-CN"/>
              </w:rPr>
              <w:t>采集：</w:t>
            </w:r>
            <w:r>
              <w:rPr>
                <w:rFonts w:hint="eastAsia" w:ascii="仿宋" w:hAnsi="仿宋" w:eastAsia="仿宋" w:cs="仿宋"/>
                <w:color w:val="auto"/>
                <w:sz w:val="21"/>
                <w:szCs w:val="21"/>
                <w:highlight w:val="none"/>
              </w:rPr>
              <w:t>在视综平台对前端抓拍的小图随机抽取一定数量进行检测，检查标准为判断抓拍小图是否为清晰的</w:t>
            </w:r>
            <w:r>
              <w:rPr>
                <w:rFonts w:hint="eastAsia"/>
                <w:highlight w:val="none"/>
                <w:lang w:val="en-US" w:eastAsia="zh-CN"/>
              </w:rPr>
              <w:t>人像</w:t>
            </w:r>
            <w:r>
              <w:rPr>
                <w:rFonts w:hint="eastAsia" w:ascii="仿宋" w:hAnsi="仿宋" w:eastAsia="仿宋" w:cs="仿宋"/>
                <w:color w:val="auto"/>
                <w:sz w:val="21"/>
                <w:szCs w:val="21"/>
                <w:highlight w:val="none"/>
              </w:rPr>
              <w:t>。抓拍小图</w:t>
            </w:r>
            <w:r>
              <w:rPr>
                <w:rFonts w:hint="eastAsia"/>
                <w:highlight w:val="none"/>
                <w:lang w:val="en-US" w:eastAsia="zh-CN"/>
              </w:rPr>
              <w:t>人像</w:t>
            </w:r>
            <w:r>
              <w:rPr>
                <w:rFonts w:hint="eastAsia" w:ascii="仿宋" w:hAnsi="仿宋" w:eastAsia="仿宋" w:cs="仿宋"/>
                <w:color w:val="auto"/>
                <w:sz w:val="21"/>
                <w:szCs w:val="21"/>
                <w:highlight w:val="none"/>
              </w:rPr>
              <w:t>可清晰辨认五官（包括带口罩、帽子、墨镜等）的判定为合格，地面、轮胎、动物、后脑勺等非</w:t>
            </w:r>
            <w:r>
              <w:rPr>
                <w:rFonts w:hint="eastAsia"/>
                <w:highlight w:val="none"/>
                <w:lang w:val="en-US" w:eastAsia="zh-CN"/>
              </w:rPr>
              <w:t>人像</w:t>
            </w:r>
            <w:r>
              <w:rPr>
                <w:rFonts w:hint="eastAsia" w:ascii="仿宋" w:hAnsi="仿宋" w:eastAsia="仿宋" w:cs="仿宋"/>
                <w:color w:val="auto"/>
                <w:sz w:val="21"/>
                <w:szCs w:val="21"/>
                <w:highlight w:val="none"/>
              </w:rPr>
              <w:t>和图片模糊或像素过低、曝光过度或光线过暗等无法辨认</w:t>
            </w:r>
            <w:r>
              <w:rPr>
                <w:rFonts w:hint="eastAsia"/>
                <w:highlight w:val="none"/>
                <w:lang w:val="en-US" w:eastAsia="zh-CN"/>
              </w:rPr>
              <w:t>人像</w:t>
            </w:r>
            <w:r>
              <w:rPr>
                <w:rFonts w:hint="eastAsia" w:ascii="仿宋" w:hAnsi="仿宋" w:eastAsia="仿宋" w:cs="仿宋"/>
                <w:color w:val="auto"/>
                <w:sz w:val="21"/>
                <w:szCs w:val="21"/>
                <w:highlight w:val="none"/>
              </w:rPr>
              <w:t>五官的判定为不及格，半张脸、海报广告</w:t>
            </w:r>
            <w:r>
              <w:rPr>
                <w:rFonts w:hint="eastAsia"/>
                <w:highlight w:val="none"/>
                <w:lang w:val="en-US" w:eastAsia="zh-CN"/>
              </w:rPr>
              <w:t>人像</w:t>
            </w:r>
            <w:r>
              <w:rPr>
                <w:rFonts w:hint="eastAsia" w:ascii="仿宋" w:hAnsi="仿宋" w:eastAsia="仿宋" w:cs="仿宋"/>
                <w:color w:val="auto"/>
                <w:sz w:val="21"/>
                <w:szCs w:val="21"/>
                <w:highlight w:val="none"/>
              </w:rPr>
              <w:t>等判定为基本合格。识别准确率=（识别合格总数+识别基本合格总数×0.6）/抽查总数（需抽查白天和晚上时段）</w:t>
            </w:r>
          </w:p>
          <w:p>
            <w:pPr>
              <w:pStyle w:val="25"/>
              <w:keepNext w:val="0"/>
              <w:keepLines w:val="0"/>
              <w:pageBreakBefore w:val="0"/>
              <w:widowControl w:val="0"/>
              <w:numPr>
                <w:ilvl w:val="0"/>
                <w:numId w:val="6"/>
              </w:numPr>
              <w:kinsoku/>
              <w:wordWrap/>
              <w:overflowPunct/>
              <w:topLinePunct w:val="0"/>
              <w:autoSpaceDE w:val="0"/>
              <w:autoSpaceDN w:val="0"/>
              <w:bidi w:val="0"/>
              <w:adjustRightInd/>
              <w:snapToGrid/>
              <w:spacing w:line="24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车牌识别：车辆识别准确率=车辆识别准确率的卡口数量/在线的车辆卡口数</w:t>
            </w:r>
          </w:p>
        </w:tc>
        <w:tc>
          <w:tcPr>
            <w:tcW w:w="1378" w:type="dxa"/>
            <w:vAlign w:val="center"/>
          </w:tcPr>
          <w:p>
            <w:pPr>
              <w:pStyle w:val="25"/>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rPr>
              <w:t>≥</w:t>
            </w:r>
            <w:r>
              <w:rPr>
                <w:rFonts w:hint="eastAsia" w:ascii="仿宋" w:hAnsi="仿宋" w:eastAsia="仿宋" w:cs="仿宋"/>
                <w:color w:val="auto"/>
                <w:sz w:val="21"/>
                <w:szCs w:val="21"/>
                <w:highlight w:val="none"/>
                <w:lang w:val="en-US" w:eastAsia="zh-CN"/>
              </w:rPr>
              <w:t>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pPr>
              <w:pStyle w:val="25"/>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7</w:t>
            </w:r>
          </w:p>
        </w:tc>
        <w:tc>
          <w:tcPr>
            <w:tcW w:w="1309" w:type="dxa"/>
            <w:vAlign w:val="center"/>
          </w:tcPr>
          <w:p>
            <w:pPr>
              <w:pStyle w:val="25"/>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视频实时可用率</w:t>
            </w:r>
          </w:p>
        </w:tc>
        <w:tc>
          <w:tcPr>
            <w:tcW w:w="6777" w:type="dxa"/>
            <w:vAlign w:val="center"/>
          </w:tcPr>
          <w:p>
            <w:pPr>
              <w:pStyle w:val="25"/>
              <w:keepNext w:val="0"/>
              <w:keepLines w:val="0"/>
              <w:pageBreakBefore w:val="0"/>
              <w:widowControl w:val="0"/>
              <w:kinsoku/>
              <w:wordWrap/>
              <w:overflowPunct/>
              <w:topLinePunct w:val="0"/>
              <w:autoSpaceDE w:val="0"/>
              <w:autoSpaceDN w:val="0"/>
              <w:bidi w:val="0"/>
              <w:adjustRightInd/>
              <w:snapToGrid/>
              <w:spacing w:line="24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1.下级在8s内发流</w:t>
            </w:r>
          </w:p>
          <w:p>
            <w:pPr>
              <w:pStyle w:val="25"/>
              <w:keepNext w:val="0"/>
              <w:keepLines w:val="0"/>
              <w:pageBreakBefore w:val="0"/>
              <w:widowControl w:val="0"/>
              <w:kinsoku/>
              <w:wordWrap/>
              <w:overflowPunct/>
              <w:topLinePunct w:val="0"/>
              <w:autoSpaceDE w:val="0"/>
              <w:autoSpaceDN w:val="0"/>
              <w:bidi w:val="0"/>
              <w:adjustRightInd/>
              <w:snapToGrid/>
              <w:spacing w:line="24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2.上级收到的码流符合国标规范并且可以正常解码。</w:t>
            </w:r>
          </w:p>
          <w:p>
            <w:pPr>
              <w:pStyle w:val="25"/>
              <w:keepNext w:val="0"/>
              <w:keepLines w:val="0"/>
              <w:pageBreakBefore w:val="0"/>
              <w:widowControl w:val="0"/>
              <w:kinsoku/>
              <w:wordWrap/>
              <w:overflowPunct/>
              <w:topLinePunct w:val="0"/>
              <w:autoSpaceDE w:val="0"/>
              <w:autoSpaceDN w:val="0"/>
              <w:bidi w:val="0"/>
              <w:adjustRightInd/>
              <w:snapToGrid/>
              <w:spacing w:line="24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3.上级收到的流正常解码后帧数大于20帧。</w:t>
            </w:r>
          </w:p>
        </w:tc>
        <w:tc>
          <w:tcPr>
            <w:tcW w:w="1378" w:type="dxa"/>
            <w:vAlign w:val="center"/>
          </w:tcPr>
          <w:p>
            <w:pPr>
              <w:pStyle w:val="25"/>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rPr>
              <w:t>≥</w:t>
            </w:r>
            <w:r>
              <w:rPr>
                <w:rFonts w:hint="eastAsia" w:ascii="仿宋" w:hAnsi="仿宋" w:eastAsia="仿宋" w:cs="仿宋"/>
                <w:color w:val="auto"/>
                <w:sz w:val="21"/>
                <w:szCs w:val="21"/>
                <w:highlight w:val="none"/>
                <w:lang w:val="en-US" w:eastAsia="zh-CN"/>
              </w:rPr>
              <w:t>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pPr>
              <w:pStyle w:val="25"/>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8</w:t>
            </w:r>
          </w:p>
        </w:tc>
        <w:tc>
          <w:tcPr>
            <w:tcW w:w="1309" w:type="dxa"/>
            <w:vAlign w:val="center"/>
          </w:tcPr>
          <w:p>
            <w:pPr>
              <w:pStyle w:val="25"/>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视频录像</w:t>
            </w:r>
          </w:p>
        </w:tc>
        <w:tc>
          <w:tcPr>
            <w:tcW w:w="6777" w:type="dxa"/>
            <w:vAlign w:val="center"/>
          </w:tcPr>
          <w:p>
            <w:pPr>
              <w:pStyle w:val="25"/>
              <w:keepNext w:val="0"/>
              <w:keepLines w:val="0"/>
              <w:pageBreakBefore w:val="0"/>
              <w:widowControl w:val="0"/>
              <w:kinsoku/>
              <w:wordWrap/>
              <w:overflowPunct/>
              <w:topLinePunct w:val="0"/>
              <w:autoSpaceDE w:val="0"/>
              <w:autoSpaceDN w:val="0"/>
              <w:bidi w:val="0"/>
              <w:adjustRightInd/>
              <w:snapToGrid/>
              <w:spacing w:line="24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1.在指定时间内可以查询到录像片段。</w:t>
            </w:r>
          </w:p>
          <w:p>
            <w:pPr>
              <w:pStyle w:val="25"/>
              <w:keepNext w:val="0"/>
              <w:keepLines w:val="0"/>
              <w:pageBreakBefore w:val="0"/>
              <w:widowControl w:val="0"/>
              <w:kinsoku/>
              <w:wordWrap/>
              <w:overflowPunct/>
              <w:topLinePunct w:val="0"/>
              <w:autoSpaceDE w:val="0"/>
              <w:autoSpaceDN w:val="0"/>
              <w:bidi w:val="0"/>
              <w:adjustRightInd/>
              <w:snapToGrid/>
              <w:spacing w:line="240" w:lineRule="auto"/>
              <w:ind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2.下级在15s内发流</w:t>
            </w:r>
            <w:r>
              <w:rPr>
                <w:rFonts w:hint="eastAsia" w:ascii="仿宋" w:hAnsi="仿宋" w:eastAsia="仿宋" w:cs="仿宋"/>
                <w:color w:val="auto"/>
                <w:sz w:val="21"/>
                <w:szCs w:val="21"/>
                <w:highlight w:val="none"/>
                <w:lang w:eastAsia="zh-CN"/>
              </w:rPr>
              <w:t>。</w:t>
            </w:r>
          </w:p>
          <w:p>
            <w:pPr>
              <w:pStyle w:val="25"/>
              <w:keepNext w:val="0"/>
              <w:keepLines w:val="0"/>
              <w:pageBreakBefore w:val="0"/>
              <w:widowControl w:val="0"/>
              <w:kinsoku/>
              <w:wordWrap/>
              <w:overflowPunct/>
              <w:topLinePunct w:val="0"/>
              <w:autoSpaceDE w:val="0"/>
              <w:autoSpaceDN w:val="0"/>
              <w:bidi w:val="0"/>
              <w:adjustRightInd/>
              <w:snapToGrid/>
              <w:spacing w:line="24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3.上级收到的码流符合国标规范，并且可以正常解码。</w:t>
            </w:r>
          </w:p>
          <w:p>
            <w:pPr>
              <w:pStyle w:val="25"/>
              <w:keepNext w:val="0"/>
              <w:keepLines w:val="0"/>
              <w:pageBreakBefore w:val="0"/>
              <w:widowControl w:val="0"/>
              <w:kinsoku/>
              <w:wordWrap/>
              <w:overflowPunct/>
              <w:topLinePunct w:val="0"/>
              <w:autoSpaceDE w:val="0"/>
              <w:autoSpaceDN w:val="0"/>
              <w:bidi w:val="0"/>
              <w:adjustRightInd/>
              <w:snapToGrid/>
              <w:spacing w:line="24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4.上级收到的流正常解码后帧数大于20帧。</w:t>
            </w:r>
          </w:p>
        </w:tc>
        <w:tc>
          <w:tcPr>
            <w:tcW w:w="1378" w:type="dxa"/>
            <w:vAlign w:val="center"/>
          </w:tcPr>
          <w:p>
            <w:pPr>
              <w:pStyle w:val="25"/>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rPr>
              <w:t>≥</w:t>
            </w:r>
            <w:r>
              <w:rPr>
                <w:rFonts w:hint="eastAsia" w:ascii="仿宋" w:hAnsi="仿宋" w:eastAsia="仿宋" w:cs="仿宋"/>
                <w:color w:val="auto"/>
                <w:sz w:val="21"/>
                <w:szCs w:val="21"/>
                <w:highlight w:val="none"/>
                <w:lang w:val="en-US" w:eastAsia="zh-CN"/>
              </w:rPr>
              <w:t>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pPr>
              <w:pStyle w:val="25"/>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9</w:t>
            </w:r>
          </w:p>
        </w:tc>
        <w:tc>
          <w:tcPr>
            <w:tcW w:w="1309" w:type="dxa"/>
            <w:vAlign w:val="center"/>
          </w:tcPr>
          <w:p>
            <w:pPr>
              <w:pStyle w:val="25"/>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数据唯一率</w:t>
            </w:r>
          </w:p>
        </w:tc>
        <w:tc>
          <w:tcPr>
            <w:tcW w:w="6777" w:type="dxa"/>
            <w:vAlign w:val="center"/>
          </w:tcPr>
          <w:p>
            <w:pPr>
              <w:pStyle w:val="25"/>
              <w:keepNext w:val="0"/>
              <w:keepLines w:val="0"/>
              <w:pageBreakBefore w:val="0"/>
              <w:widowControl w:val="0"/>
              <w:kinsoku/>
              <w:wordWrap/>
              <w:overflowPunct/>
              <w:topLinePunct w:val="0"/>
              <w:autoSpaceDE w:val="0"/>
              <w:autoSpaceDN w:val="0"/>
              <w:bidi w:val="0"/>
              <w:adjustRightInd/>
              <w:snapToGrid/>
              <w:spacing w:line="24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检测视图库各</w:t>
            </w:r>
            <w:r>
              <w:rPr>
                <w:rFonts w:hint="eastAsia" w:ascii="仿宋" w:hAnsi="仿宋" w:eastAsia="仿宋" w:cs="仿宋"/>
                <w:color w:val="auto"/>
                <w:sz w:val="21"/>
                <w:szCs w:val="21"/>
                <w:highlight w:val="none"/>
                <w:lang w:eastAsia="zh-CN"/>
              </w:rPr>
              <w:t>公安分局</w:t>
            </w:r>
            <w:r>
              <w:rPr>
                <w:rFonts w:hint="eastAsia" w:ascii="仿宋" w:hAnsi="仿宋" w:eastAsia="仿宋" w:cs="仿宋"/>
                <w:color w:val="auto"/>
                <w:sz w:val="21"/>
                <w:szCs w:val="21"/>
                <w:highlight w:val="none"/>
              </w:rPr>
              <w:t>所有车辆卡口上传的抓拍数据是否唯一：对车辆卡口上传的抓拍数据进行全量检测。如果某两条(或以上)抓拍数据的重点业务属性数据项(不含设备属性字段)完全一致，则判定该两条数据为不唯一数据。</w:t>
            </w:r>
          </w:p>
        </w:tc>
        <w:tc>
          <w:tcPr>
            <w:tcW w:w="1378" w:type="dxa"/>
            <w:vAlign w:val="center"/>
          </w:tcPr>
          <w:p>
            <w:pPr>
              <w:pStyle w:val="25"/>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rPr>
              <w:t>≥</w:t>
            </w:r>
            <w:r>
              <w:rPr>
                <w:rFonts w:hint="eastAsia" w:ascii="仿宋" w:hAnsi="仿宋" w:eastAsia="仿宋" w:cs="仿宋"/>
                <w:color w:val="auto"/>
                <w:sz w:val="21"/>
                <w:szCs w:val="21"/>
                <w:highlight w:val="none"/>
              </w:rPr>
              <w:t>98%</w:t>
            </w:r>
          </w:p>
        </w:tc>
      </w:tr>
    </w:tbl>
    <w:p>
      <w:pPr>
        <w:bidi w:val="0"/>
        <w:rPr>
          <w:rFonts w:hint="eastAsia"/>
          <w:highlight w:val="none"/>
          <w:lang w:val="en-US" w:eastAsia="zh-CN"/>
        </w:rPr>
      </w:pPr>
      <w:r>
        <w:rPr>
          <w:rFonts w:hint="eastAsia"/>
          <w:highlight w:val="none"/>
          <w:lang w:val="en-US" w:eastAsia="zh-CN"/>
        </w:rPr>
        <w:t>备注：具体考核指标，以当年东莞市公安局下发的考核要求为准。</w:t>
      </w:r>
    </w:p>
    <w:p>
      <w:pPr>
        <w:bidi w:val="0"/>
        <w:rPr>
          <w:rFonts w:hint="eastAsia"/>
          <w:highlight w:val="none"/>
          <w:lang w:val="en-US" w:eastAsia="zh-CN"/>
        </w:rPr>
      </w:pPr>
      <w:r>
        <w:rPr>
          <w:rFonts w:hint="eastAsia"/>
          <w:highlight w:val="none"/>
          <w:lang w:val="en-US" w:eastAsia="zh-CN"/>
        </w:rPr>
        <w:t>3、</w:t>
      </w:r>
      <w:r>
        <w:rPr>
          <w:rFonts w:hint="default"/>
          <w:highlight w:val="none"/>
          <w:lang w:val="en-US" w:eastAsia="zh-CN"/>
        </w:rPr>
        <w:t>在</w:t>
      </w:r>
      <w:r>
        <w:rPr>
          <w:rFonts w:hint="eastAsia"/>
          <w:highlight w:val="none"/>
          <w:lang w:val="en-US" w:eastAsia="zh-CN"/>
        </w:rPr>
        <w:t>质保期内，中标人负责整个项目的运维，中标人需提供7*24小时</w:t>
      </w:r>
      <w:r>
        <w:rPr>
          <w:rFonts w:hint="default"/>
          <w:highlight w:val="none"/>
          <w:lang w:val="en-US" w:eastAsia="zh-CN"/>
        </w:rPr>
        <w:t>售后</w:t>
      </w:r>
      <w:r>
        <w:rPr>
          <w:rFonts w:hint="eastAsia"/>
          <w:highlight w:val="none"/>
          <w:lang w:val="en-US" w:eastAsia="zh-CN"/>
        </w:rPr>
        <w:t>服务热线</w:t>
      </w:r>
      <w:r>
        <w:rPr>
          <w:rFonts w:hint="default"/>
          <w:highlight w:val="none"/>
          <w:lang w:val="en-US" w:eastAsia="zh-CN"/>
        </w:rPr>
        <w:t>电话，中标人接到采购人的</w:t>
      </w:r>
      <w:r>
        <w:rPr>
          <w:rFonts w:hint="eastAsia"/>
          <w:highlight w:val="none"/>
          <w:lang w:val="en-US" w:eastAsia="zh-CN"/>
        </w:rPr>
        <w:t>故</w:t>
      </w:r>
      <w:r>
        <w:rPr>
          <w:rFonts w:hint="default"/>
          <w:highlight w:val="none"/>
          <w:lang w:val="en-US" w:eastAsia="zh-CN"/>
        </w:rPr>
        <w:t>（报）</w:t>
      </w:r>
      <w:r>
        <w:rPr>
          <w:rFonts w:hint="eastAsia"/>
          <w:highlight w:val="none"/>
          <w:lang w:val="en-US" w:eastAsia="zh-CN"/>
        </w:rPr>
        <w:t>障通知</w:t>
      </w:r>
      <w:r>
        <w:rPr>
          <w:rFonts w:hint="default"/>
          <w:highlight w:val="none"/>
          <w:lang w:val="en-US" w:eastAsia="zh-CN"/>
        </w:rPr>
        <w:t>后，须按以下分类等级，在对应时限内完成修复：</w:t>
      </w:r>
    </w:p>
    <w:p>
      <w:pPr>
        <w:bidi w:val="0"/>
        <w:rPr>
          <w:rFonts w:hint="eastAsia"/>
          <w:highlight w:val="none"/>
          <w:lang w:val="en-US" w:eastAsia="zh-CN"/>
        </w:rPr>
      </w:pPr>
      <w:r>
        <w:rPr>
          <w:rFonts w:hint="default"/>
          <w:highlight w:val="none"/>
          <w:lang w:val="en-US" w:eastAsia="zh-CN"/>
        </w:rPr>
        <w:t>第一级：常规故障。中标人采用更换零配件的方式维修后可保证现场设备正常运行的，须保证</w:t>
      </w:r>
      <w:r>
        <w:rPr>
          <w:rFonts w:hint="eastAsia"/>
          <w:highlight w:val="none"/>
          <w:lang w:val="en-US" w:eastAsia="zh-CN"/>
        </w:rPr>
        <w:t>在接到故</w:t>
      </w:r>
      <w:r>
        <w:rPr>
          <w:rFonts w:hint="default"/>
          <w:highlight w:val="none"/>
          <w:lang w:val="en-US" w:eastAsia="zh-CN"/>
        </w:rPr>
        <w:t>（报）</w:t>
      </w:r>
      <w:r>
        <w:rPr>
          <w:rFonts w:hint="eastAsia"/>
          <w:highlight w:val="none"/>
          <w:lang w:val="en-US" w:eastAsia="zh-CN"/>
        </w:rPr>
        <w:t>障通知后30分钟内响应，2小时内赶到现场处理故障，</w:t>
      </w:r>
      <w:r>
        <w:rPr>
          <w:rFonts w:hint="default"/>
          <w:highlight w:val="none"/>
          <w:lang w:val="en-US" w:eastAsia="zh-CN"/>
        </w:rPr>
        <w:t>4小时内</w:t>
      </w:r>
      <w:r>
        <w:rPr>
          <w:rFonts w:hint="eastAsia"/>
          <w:highlight w:val="none"/>
          <w:lang w:val="en-US" w:eastAsia="zh-CN"/>
        </w:rPr>
        <w:t>恢复正常</w:t>
      </w:r>
      <w:r>
        <w:rPr>
          <w:rFonts w:hint="default"/>
          <w:highlight w:val="none"/>
          <w:lang w:val="en-US" w:eastAsia="zh-CN"/>
        </w:rPr>
        <w:t>；如属夜间故障则需在次日中午12点前排除故障</w:t>
      </w:r>
      <w:r>
        <w:rPr>
          <w:rFonts w:hint="eastAsia"/>
          <w:highlight w:val="none"/>
          <w:lang w:val="en-US" w:eastAsia="zh-CN"/>
        </w:rPr>
        <w:t>，如硬件无法在24小时内修复完毕的，需提供不低于故障设备规格型号档次的备用设备给采购人使用</w:t>
      </w:r>
      <w:r>
        <w:rPr>
          <w:rFonts w:hint="default"/>
          <w:highlight w:val="none"/>
          <w:lang w:val="en-US" w:eastAsia="zh-CN"/>
        </w:rPr>
        <w:t>；</w:t>
      </w:r>
      <w:r>
        <w:rPr>
          <w:rFonts w:hint="eastAsia"/>
          <w:highlight w:val="none"/>
          <w:lang w:val="en-US" w:eastAsia="zh-CN"/>
        </w:rPr>
        <w:t>如中标人在规定时间内无法解决故障问题</w:t>
      </w:r>
      <w:r>
        <w:rPr>
          <w:rFonts w:hint="default"/>
          <w:highlight w:val="none"/>
          <w:lang w:val="en-US" w:eastAsia="zh-CN"/>
        </w:rPr>
        <w:t>且</w:t>
      </w:r>
      <w:r>
        <w:rPr>
          <w:rFonts w:hint="eastAsia"/>
          <w:highlight w:val="none"/>
          <w:lang w:val="en-US" w:eastAsia="zh-CN"/>
        </w:rPr>
        <w:t>无正当理由的，采购人可邀请第三方专业公司进行维修，所需费用由中标人承担。</w:t>
      </w:r>
    </w:p>
    <w:p>
      <w:pPr>
        <w:bidi w:val="0"/>
        <w:rPr>
          <w:rFonts w:hint="eastAsia"/>
          <w:highlight w:val="none"/>
          <w:lang w:val="en-US" w:eastAsia="zh-CN"/>
        </w:rPr>
      </w:pPr>
      <w:r>
        <w:rPr>
          <w:rFonts w:hint="default"/>
          <w:highlight w:val="none"/>
          <w:lang w:val="en-US" w:eastAsia="zh-CN"/>
        </w:rPr>
        <w:t>第二级：线路、取电等涉及线路</w:t>
      </w:r>
      <w:r>
        <w:rPr>
          <w:rFonts w:hint="eastAsia"/>
          <w:highlight w:val="none"/>
          <w:lang w:val="en-US" w:eastAsia="zh-CN"/>
        </w:rPr>
        <w:t>的</w:t>
      </w:r>
      <w:r>
        <w:rPr>
          <w:rFonts w:hint="default"/>
          <w:highlight w:val="none"/>
          <w:lang w:val="en-US" w:eastAsia="zh-CN"/>
        </w:rPr>
        <w:t>故障。经中标人与报障人员确认故障信息后，需在48小时内完成修复；因视频点位围蔽施工、道路改造等原因导致无法修复的，中标人需提供故障原因、无法修复原因及至少三张现场图片，并汇总上报采购人；同时，中标人须及时关注受围蔽施工、道路改造的视频点位施工的进展情况，并与相关施工单位的负责人保持联系，协调施工单位尽快修复故障</w:t>
      </w:r>
      <w:r>
        <w:rPr>
          <w:rFonts w:hint="eastAsia"/>
          <w:highlight w:val="none"/>
          <w:lang w:val="en-US" w:eastAsia="zh-CN"/>
        </w:rPr>
        <w:t>。</w:t>
      </w:r>
    </w:p>
    <w:p>
      <w:pPr>
        <w:bidi w:val="0"/>
        <w:rPr>
          <w:rFonts w:hint="eastAsia"/>
          <w:highlight w:val="none"/>
          <w:lang w:val="en-US" w:eastAsia="zh-CN"/>
        </w:rPr>
      </w:pPr>
      <w:r>
        <w:rPr>
          <w:rFonts w:hint="default"/>
          <w:highlight w:val="none"/>
          <w:lang w:val="en-US" w:eastAsia="zh-CN"/>
        </w:rPr>
        <w:t>第三级：基础、地下管道施工等需要报批修复的故障。经中标人与报障人员确认，具备恢复条件并取得审批许可后，需在7天内修复故障，如果修复涉及必须消耗的时间（如倒基础必须等水泥干后才能下一步施工等情况），可根据实际情况适当延长修复时间，但中标人必须提供恢复进度报告等书面说明情况；同时需提供故障原因、无法修复原因及现场图片至少三张。</w:t>
      </w:r>
    </w:p>
    <w:p>
      <w:pPr>
        <w:bidi w:val="0"/>
        <w:rPr>
          <w:rFonts w:hint="eastAsia" w:ascii="仿宋" w:hAnsi="仿宋" w:eastAsia="仿宋" w:cs="仿宋"/>
          <w:highlight w:val="none"/>
          <w:lang w:val="en-US" w:eastAsia="zh-CN"/>
        </w:rPr>
      </w:pPr>
      <w:r>
        <w:rPr>
          <w:rFonts w:hint="eastAsia" w:ascii="仿宋" w:hAnsi="仿宋" w:eastAsia="仿宋" w:cs="仿宋"/>
          <w:highlight w:val="none"/>
          <w:lang w:val="en-US" w:eastAsia="zh-CN"/>
        </w:rPr>
        <w:t>第四级：</w:t>
      </w:r>
      <w:r>
        <w:rPr>
          <w:rFonts w:hint="eastAsia" w:ascii="仿宋" w:hAnsi="仿宋" w:eastAsia="仿宋" w:cs="仿宋"/>
          <w:sz w:val="24"/>
          <w:szCs w:val="24"/>
          <w:highlight w:val="none"/>
        </w:rPr>
        <w:t>遇紧急安全情况（交通事故损坏、设备掉落等造成现场存在其他安全隐患的情况），施工单位接电话通知后，必须按上述时间要求到达现场处置，3小时内消除安全隐患，可以根据具体情况延长修复时间，但</w:t>
      </w:r>
      <w:r>
        <w:rPr>
          <w:rFonts w:hint="eastAsia" w:cs="仿宋"/>
          <w:sz w:val="24"/>
          <w:szCs w:val="24"/>
          <w:highlight w:val="none"/>
          <w:lang w:val="en-US" w:eastAsia="zh-CN"/>
        </w:rPr>
        <w:t>中标人</w:t>
      </w:r>
      <w:r>
        <w:rPr>
          <w:rFonts w:hint="eastAsia" w:ascii="仿宋" w:hAnsi="仿宋" w:eastAsia="仿宋" w:cs="仿宋"/>
          <w:sz w:val="24"/>
          <w:szCs w:val="24"/>
          <w:highlight w:val="none"/>
        </w:rPr>
        <w:t>必须提供施工的进度报告说明情况。</w:t>
      </w:r>
    </w:p>
    <w:p>
      <w:pPr>
        <w:bidi w:val="0"/>
        <w:rPr>
          <w:rFonts w:hint="eastAsia"/>
          <w:highlight w:val="none"/>
          <w:lang w:val="en-US" w:eastAsia="zh-CN"/>
        </w:rPr>
      </w:pPr>
      <w:r>
        <w:rPr>
          <w:rFonts w:hint="eastAsia"/>
          <w:highlight w:val="none"/>
          <w:lang w:val="en-US" w:eastAsia="zh-CN"/>
        </w:rPr>
        <w:t>4、中标人须为采购人每年至少</w:t>
      </w:r>
      <w:r>
        <w:rPr>
          <w:rFonts w:hint="default"/>
          <w:highlight w:val="none"/>
          <w:lang w:val="en-US" w:eastAsia="zh-CN"/>
        </w:rPr>
        <w:t>提供</w:t>
      </w:r>
      <w:r>
        <w:rPr>
          <w:rFonts w:hint="eastAsia"/>
          <w:highlight w:val="none"/>
          <w:lang w:val="en-US" w:eastAsia="zh-CN"/>
        </w:rPr>
        <w:t>2次</w:t>
      </w:r>
      <w:r>
        <w:rPr>
          <w:rFonts w:hint="default"/>
          <w:highlight w:val="none"/>
          <w:lang w:val="en-US" w:eastAsia="zh-CN"/>
        </w:rPr>
        <w:t>操作及维护的</w:t>
      </w:r>
      <w:r>
        <w:rPr>
          <w:rFonts w:hint="eastAsia"/>
          <w:highlight w:val="none"/>
          <w:lang w:val="en-US" w:eastAsia="zh-CN"/>
        </w:rPr>
        <w:t>培训</w:t>
      </w:r>
      <w:r>
        <w:rPr>
          <w:rFonts w:hint="default"/>
          <w:highlight w:val="none"/>
          <w:lang w:val="en-US" w:eastAsia="zh-CN"/>
        </w:rPr>
        <w:t>服务</w:t>
      </w:r>
      <w:r>
        <w:rPr>
          <w:rFonts w:hint="eastAsia"/>
          <w:highlight w:val="none"/>
          <w:lang w:val="en-US" w:eastAsia="zh-CN"/>
        </w:rPr>
        <w:t>，具体培训时间、人员名单、培训方式等根据实际情况由双方协商</w:t>
      </w:r>
      <w:r>
        <w:rPr>
          <w:rFonts w:hint="default"/>
          <w:highlight w:val="none"/>
          <w:lang w:val="en-US" w:eastAsia="zh-CN"/>
        </w:rPr>
        <w:t>。</w:t>
      </w:r>
      <w:r>
        <w:rPr>
          <w:rFonts w:hint="eastAsia"/>
          <w:highlight w:val="none"/>
          <w:lang w:val="en-US" w:eastAsia="zh-CN"/>
        </w:rPr>
        <w:t>培训主要内容为设备的基本结构、性能、主要部件的构造及原理，日常使用操作、保养与管理，常见故障的排除，紧急情况的处理等。</w:t>
      </w:r>
    </w:p>
    <w:p>
      <w:pPr>
        <w:bidi w:val="0"/>
        <w:rPr>
          <w:rFonts w:hint="eastAsia"/>
          <w:highlight w:val="none"/>
          <w:lang w:val="en-US" w:eastAsia="zh-CN"/>
        </w:rPr>
      </w:pPr>
      <w:r>
        <w:rPr>
          <w:rFonts w:hint="eastAsia"/>
          <w:highlight w:val="none"/>
          <w:lang w:val="en-US" w:eastAsia="zh-CN"/>
        </w:rPr>
        <w:t>5、</w:t>
      </w:r>
      <w:r>
        <w:rPr>
          <w:rFonts w:hint="default"/>
          <w:highlight w:val="none"/>
          <w:lang w:val="en-US" w:eastAsia="zh-CN"/>
        </w:rPr>
        <w:t>若</w:t>
      </w:r>
      <w:r>
        <w:rPr>
          <w:rFonts w:hint="eastAsia"/>
          <w:highlight w:val="none"/>
          <w:lang w:val="en-US" w:eastAsia="zh-CN"/>
        </w:rPr>
        <w:t>同一设备在一个月内发生3次以上的同类故障，中标人须更换新的设备及无法利旧的配套设施。</w:t>
      </w:r>
    </w:p>
    <w:p>
      <w:pPr>
        <w:bidi w:val="0"/>
        <w:rPr>
          <w:rFonts w:hint="eastAsia"/>
          <w:highlight w:val="none"/>
          <w:lang w:val="en-US" w:eastAsia="zh-CN"/>
        </w:rPr>
      </w:pPr>
      <w:r>
        <w:rPr>
          <w:rFonts w:hint="eastAsia"/>
          <w:highlight w:val="none"/>
          <w:lang w:val="en-US" w:eastAsia="zh-CN"/>
        </w:rPr>
        <w:t>6、监控点位的电源被停用</w:t>
      </w:r>
      <w:r>
        <w:rPr>
          <w:rFonts w:hint="default"/>
          <w:highlight w:val="none"/>
          <w:lang w:val="en-US" w:eastAsia="zh-CN"/>
        </w:rPr>
        <w:t>、切断或位置变更</w:t>
      </w:r>
      <w:r>
        <w:rPr>
          <w:rFonts w:hint="eastAsia"/>
          <w:highlight w:val="none"/>
          <w:lang w:val="en-US" w:eastAsia="zh-CN"/>
        </w:rPr>
        <w:t>的，中标人须在</w:t>
      </w:r>
      <w:r>
        <w:rPr>
          <w:rFonts w:hint="default"/>
          <w:highlight w:val="none"/>
          <w:lang w:val="en-US" w:eastAsia="zh-CN"/>
        </w:rPr>
        <w:t>7天内</w:t>
      </w:r>
      <w:r>
        <w:rPr>
          <w:rFonts w:hint="eastAsia"/>
          <w:highlight w:val="none"/>
          <w:lang w:val="en-US" w:eastAsia="zh-CN"/>
        </w:rPr>
        <w:t>恢复通电，过程中产生的费用由中标人负责。</w:t>
      </w:r>
    </w:p>
    <w:p>
      <w:pPr>
        <w:bidi w:val="0"/>
        <w:rPr>
          <w:rFonts w:hint="eastAsia"/>
          <w:highlight w:val="none"/>
          <w:lang w:val="en-US" w:eastAsia="zh-CN"/>
        </w:rPr>
      </w:pPr>
      <w:r>
        <w:rPr>
          <w:rFonts w:hint="eastAsia"/>
          <w:highlight w:val="none"/>
          <w:lang w:val="en-US" w:eastAsia="zh-CN"/>
        </w:rPr>
        <w:t>7、</w:t>
      </w:r>
      <w:r>
        <w:rPr>
          <w:rFonts w:hint="default"/>
          <w:highlight w:val="none"/>
          <w:lang w:val="en-US" w:eastAsia="zh-CN"/>
        </w:rPr>
        <w:t>在</w:t>
      </w:r>
      <w:r>
        <w:rPr>
          <w:rFonts w:hint="eastAsia"/>
          <w:highlight w:val="none"/>
          <w:lang w:val="en-US" w:eastAsia="zh-CN"/>
        </w:rPr>
        <w:t>质保期</w:t>
      </w:r>
      <w:r>
        <w:rPr>
          <w:rFonts w:hint="default"/>
          <w:highlight w:val="none"/>
          <w:lang w:val="en-US" w:eastAsia="zh-CN"/>
        </w:rPr>
        <w:t>内</w:t>
      </w:r>
      <w:r>
        <w:rPr>
          <w:rFonts w:hint="eastAsia"/>
          <w:highlight w:val="none"/>
          <w:lang w:val="en-US" w:eastAsia="zh-CN"/>
        </w:rPr>
        <w:t>，中标人须每</w:t>
      </w:r>
      <w:r>
        <w:rPr>
          <w:rFonts w:hint="default"/>
          <w:highlight w:val="none"/>
          <w:lang w:val="en-US" w:eastAsia="zh-CN"/>
        </w:rPr>
        <w:t>季度</w:t>
      </w:r>
      <w:r>
        <w:rPr>
          <w:rFonts w:hint="eastAsia"/>
          <w:highlight w:val="none"/>
          <w:lang w:val="en-US" w:eastAsia="zh-CN"/>
        </w:rPr>
        <w:t>至少对所有设备进行一次巡检，并出具书面巡检报告。巡检范围包括查看基础设施（基础、立杆、机箱等）、设备有无遭到损坏（被车磕、撞、碰、绊等）和人为破坏（被撬、砸、拆、偷）及</w:t>
      </w:r>
      <w:r>
        <w:rPr>
          <w:rFonts w:hint="default"/>
          <w:highlight w:val="none"/>
          <w:lang w:val="en-US" w:eastAsia="zh-CN"/>
        </w:rPr>
        <w:t>检查</w:t>
      </w:r>
      <w:r>
        <w:rPr>
          <w:rFonts w:hint="eastAsia"/>
          <w:highlight w:val="none"/>
          <w:lang w:val="en-US" w:eastAsia="zh-CN"/>
        </w:rPr>
        <w:t>是否完整、整洁</w:t>
      </w:r>
      <w:r>
        <w:rPr>
          <w:rFonts w:hint="default"/>
          <w:highlight w:val="none"/>
          <w:lang w:val="en-US" w:eastAsia="zh-CN"/>
        </w:rPr>
        <w:t>等情况</w:t>
      </w:r>
      <w:r>
        <w:rPr>
          <w:rFonts w:hint="eastAsia"/>
          <w:highlight w:val="none"/>
          <w:lang w:val="en-US" w:eastAsia="zh-CN"/>
        </w:rPr>
        <w:t>，做好巡检记录。具体内容：</w:t>
      </w:r>
    </w:p>
    <w:p>
      <w:pPr>
        <w:bidi w:val="0"/>
        <w:rPr>
          <w:rFonts w:hint="eastAsia"/>
          <w:highlight w:val="none"/>
          <w:lang w:val="en-US" w:eastAsia="zh-CN"/>
        </w:rPr>
      </w:pPr>
      <w:r>
        <w:rPr>
          <w:rFonts w:hint="eastAsia"/>
          <w:highlight w:val="none"/>
          <w:lang w:val="en-US" w:eastAsia="zh-CN"/>
        </w:rPr>
        <w:t>（1）监控杆安装牢固、垂直，坚固件无松动，垂直安装的倾斜不得超过杆体长度1%。监控杆、信号箱清洁干净，无污染、无生锈变形，机械强度满足要求；</w:t>
      </w:r>
    </w:p>
    <w:p>
      <w:pPr>
        <w:bidi w:val="0"/>
        <w:rPr>
          <w:rFonts w:hint="eastAsia"/>
          <w:highlight w:val="none"/>
          <w:lang w:val="en-US" w:eastAsia="zh-CN"/>
        </w:rPr>
      </w:pPr>
      <w:r>
        <w:rPr>
          <w:rFonts w:hint="eastAsia"/>
          <w:highlight w:val="none"/>
          <w:lang w:val="en-US" w:eastAsia="zh-CN"/>
        </w:rPr>
        <w:t>（2）对被盗窃、线路断线、老化、绝缘不符合要求的电缆，中标人应免费予以更换；</w:t>
      </w:r>
    </w:p>
    <w:p>
      <w:pPr>
        <w:bidi w:val="0"/>
        <w:rPr>
          <w:rFonts w:hint="eastAsia"/>
          <w:highlight w:val="none"/>
          <w:lang w:val="en-US" w:eastAsia="zh-CN"/>
        </w:rPr>
      </w:pPr>
      <w:r>
        <w:rPr>
          <w:rFonts w:hint="eastAsia"/>
          <w:highlight w:val="none"/>
          <w:lang w:val="en-US" w:eastAsia="zh-CN"/>
        </w:rPr>
        <w:t>（3）监控画面有树林或其他障碍物遮挡视线时，应马上组织人员进行修剪，对涉及万江街道其他职能部门（如城建等部门）职责范围内的，需上报采购人，由采购人协调相关部门后进行清理。</w:t>
      </w:r>
    </w:p>
    <w:p>
      <w:pPr>
        <w:bidi w:val="0"/>
        <w:rPr>
          <w:rFonts w:hint="eastAsia"/>
          <w:highlight w:val="none"/>
          <w:lang w:val="en-US" w:eastAsia="zh-CN"/>
        </w:rPr>
      </w:pPr>
      <w:r>
        <w:rPr>
          <w:rFonts w:hint="eastAsia"/>
          <w:highlight w:val="none"/>
          <w:lang w:val="en-US" w:eastAsia="zh-CN"/>
        </w:rPr>
        <w:t>8、</w:t>
      </w:r>
      <w:r>
        <w:rPr>
          <w:rFonts w:hint="default"/>
          <w:highlight w:val="none"/>
          <w:lang w:val="en-US" w:eastAsia="zh-CN"/>
        </w:rPr>
        <w:t>在</w:t>
      </w:r>
      <w:r>
        <w:rPr>
          <w:rFonts w:hint="eastAsia"/>
          <w:highlight w:val="none"/>
          <w:lang w:val="en-US" w:eastAsia="zh-CN"/>
        </w:rPr>
        <w:t>质保期内</w:t>
      </w:r>
      <w:r>
        <w:rPr>
          <w:rFonts w:hint="default"/>
          <w:highlight w:val="none"/>
          <w:lang w:val="en-US" w:eastAsia="zh-CN"/>
        </w:rPr>
        <w:t>，</w:t>
      </w:r>
      <w:r>
        <w:rPr>
          <w:rFonts w:hint="eastAsia"/>
          <w:highlight w:val="none"/>
          <w:lang w:val="en-US" w:eastAsia="zh-CN"/>
        </w:rPr>
        <w:t>如因第三方原因导致前端设备设施损坏的，由中标人负责先行修复并向第三方追偿，维修所产生的费用由中标人与第三方协调处理，采购人负责配合协调；</w:t>
      </w:r>
    </w:p>
    <w:p>
      <w:pPr>
        <w:bidi w:val="0"/>
        <w:rPr>
          <w:rFonts w:hint="eastAsia"/>
          <w:highlight w:val="none"/>
          <w:lang w:val="en-US" w:eastAsia="zh-CN"/>
        </w:rPr>
      </w:pPr>
      <w:r>
        <w:rPr>
          <w:rFonts w:hint="eastAsia"/>
          <w:highlight w:val="none"/>
          <w:lang w:val="en-US" w:eastAsia="zh-CN"/>
        </w:rPr>
        <w:t>9、</w:t>
      </w:r>
      <w:r>
        <w:rPr>
          <w:rFonts w:hint="default"/>
          <w:highlight w:val="none"/>
          <w:lang w:val="en-US" w:eastAsia="zh-CN"/>
        </w:rPr>
        <w:t>中标人需负责</w:t>
      </w:r>
      <w:r>
        <w:rPr>
          <w:rFonts w:hint="eastAsia"/>
          <w:highlight w:val="none"/>
          <w:lang w:val="en-US" w:eastAsia="zh-CN"/>
        </w:rPr>
        <w:t>对构成系统的所有建筑设施、硬件、网络、供电设备、防雷设施、第三方软件、应用软件等的维护、维修、更换故障设备和产品升级；</w:t>
      </w:r>
    </w:p>
    <w:p>
      <w:pPr>
        <w:bidi w:val="0"/>
        <w:rPr>
          <w:rFonts w:hint="eastAsia"/>
          <w:highlight w:val="none"/>
          <w:lang w:val="en-US" w:eastAsia="zh-CN"/>
        </w:rPr>
      </w:pPr>
      <w:r>
        <w:rPr>
          <w:rFonts w:hint="eastAsia"/>
          <w:highlight w:val="none"/>
          <w:lang w:val="en-US" w:eastAsia="zh-CN"/>
        </w:rPr>
        <w:t>10、</w:t>
      </w:r>
      <w:r>
        <w:rPr>
          <w:rFonts w:hint="default"/>
          <w:highlight w:val="none"/>
          <w:lang w:val="en-US" w:eastAsia="zh-CN"/>
        </w:rPr>
        <w:t>在</w:t>
      </w:r>
      <w:r>
        <w:rPr>
          <w:rFonts w:hint="eastAsia"/>
          <w:highlight w:val="none"/>
          <w:lang w:val="en-US" w:eastAsia="zh-CN"/>
        </w:rPr>
        <w:t>质保期内，中标人负责对所承包系统范围内的设备及所有配件进行维护保养，保证每个设备及其配件完好无损、正常运行。中标人以</w:t>
      </w:r>
      <w:r>
        <w:rPr>
          <w:rFonts w:hint="default"/>
          <w:highlight w:val="none"/>
          <w:lang w:val="en-US" w:eastAsia="zh-CN"/>
        </w:rPr>
        <w:t>季度</w:t>
      </w:r>
      <w:r>
        <w:rPr>
          <w:rFonts w:hint="eastAsia"/>
          <w:highlight w:val="none"/>
          <w:lang w:val="en-US" w:eastAsia="zh-CN"/>
        </w:rPr>
        <w:t>为一个保养周期，对机箱里电气设备进行清尘、清洁和检查；对前端监控设备采取擦拭防护罩、清理前视玻璃的灰尘等工序。及时发现故障、隐患并及时处理，把故障消灭在萌芽状态，避免扩大故障范围；对发现的问题及时处理，以保证系统持续、稳定、安全地运行。服务期间，采购人不再支付费用。</w:t>
      </w:r>
    </w:p>
    <w:p>
      <w:pPr>
        <w:bidi w:val="0"/>
        <w:rPr>
          <w:rFonts w:hint="eastAsia"/>
          <w:highlight w:val="none"/>
          <w:lang w:val="en-US" w:eastAsia="zh-CN"/>
        </w:rPr>
      </w:pPr>
      <w:r>
        <w:rPr>
          <w:rFonts w:hint="eastAsia"/>
          <w:highlight w:val="none"/>
          <w:lang w:val="en-US" w:eastAsia="zh-CN"/>
        </w:rPr>
        <w:t>11、中标人须主动配合采购人对监控设施进行抽查。对抽查中发现的问题马上进行返工并追究维护责任人的责任</w:t>
      </w:r>
      <w:r>
        <w:rPr>
          <w:rFonts w:hint="default"/>
          <w:highlight w:val="none"/>
          <w:lang w:val="en-US" w:eastAsia="zh-CN"/>
        </w:rPr>
        <w:t>，同时中标人须按故障等级的要求进行修复。</w:t>
      </w:r>
    </w:p>
    <w:p>
      <w:pPr>
        <w:bidi w:val="0"/>
        <w:rPr>
          <w:rFonts w:hint="eastAsia"/>
          <w:highlight w:val="none"/>
          <w:lang w:val="en-US" w:eastAsia="zh-CN"/>
        </w:rPr>
      </w:pPr>
      <w:r>
        <w:rPr>
          <w:rFonts w:hint="eastAsia"/>
          <w:highlight w:val="none"/>
          <w:lang w:val="en-US" w:eastAsia="zh-CN"/>
        </w:rPr>
        <w:t>12、性能测试：以三个月为一周期，对各类电器设备进行检测、并做好参数记录。在每年的3月份雷雨季节来临前，检查所有监控点的避雷是否正常，检查各接地线是否正常。以保证避免在雷雨季节避雷器被击而造成设备损坏。依据接地电阻测试要求，对接地电阻六个月为一个测试周期。</w:t>
      </w:r>
    </w:p>
    <w:p>
      <w:pPr>
        <w:bidi w:val="0"/>
        <w:rPr>
          <w:rFonts w:hint="default"/>
          <w:highlight w:val="none"/>
          <w:lang w:val="en-US" w:eastAsia="zh-CN"/>
        </w:rPr>
      </w:pPr>
      <w:r>
        <w:rPr>
          <w:rFonts w:hint="eastAsia"/>
          <w:highlight w:val="none"/>
          <w:lang w:val="en-US" w:eastAsia="zh-CN"/>
        </w:rPr>
        <w:t>13、</w:t>
      </w:r>
      <w:r>
        <w:rPr>
          <w:rFonts w:hint="default"/>
          <w:highlight w:val="none"/>
          <w:lang w:val="en-US" w:eastAsia="zh-CN"/>
        </w:rPr>
        <w:t>质保期内，采购人如发现中标人未按本项目售后服务的要求，对修复故障、系统范围内的设备及所有配件进行维护保养与检测，或不配合采购人对设备设施及其运行状态进行抽查的，采购人发现第一次对中标人进行书面警告；从第二次开始，采购人有权邀请第三方专业公司开展相关工作，所需费用由中标人承担。</w:t>
      </w:r>
    </w:p>
    <w:p>
      <w:pPr>
        <w:bidi w:val="0"/>
        <w:rPr>
          <w:rFonts w:hint="default"/>
          <w:highlight w:val="none"/>
          <w:lang w:val="en-US" w:eastAsia="zh-CN"/>
        </w:rPr>
      </w:pPr>
      <w:r>
        <w:rPr>
          <w:rFonts w:hint="eastAsia"/>
          <w:highlight w:val="none"/>
          <w:lang w:val="en-US" w:eastAsia="zh-CN"/>
        </w:rPr>
        <w:t>14、</w:t>
      </w:r>
      <w:r>
        <w:rPr>
          <w:rFonts w:hint="default"/>
          <w:highlight w:val="none"/>
          <w:lang w:val="en-US" w:eastAsia="zh-CN"/>
        </w:rPr>
        <w:t>在合同最终结算前，采购人对完成设备清点，如发生设备缺失或者损坏未修复的，中标人需按设备价值赔偿。</w:t>
      </w:r>
    </w:p>
    <w:p>
      <w:pPr>
        <w:bidi w:val="0"/>
        <w:rPr>
          <w:rFonts w:hint="default"/>
          <w:color w:val="0000FF"/>
          <w:highlight w:val="none"/>
          <w:lang w:val="en-US" w:eastAsia="zh-CN"/>
        </w:rPr>
      </w:pPr>
      <w:r>
        <w:rPr>
          <w:rFonts w:hint="eastAsia" w:ascii="仿宋" w:hAnsi="仿宋" w:eastAsia="仿宋" w:cs="仿宋"/>
          <w:color w:val="0000FF"/>
          <w:sz w:val="21"/>
          <w:szCs w:val="21"/>
          <w:highlight w:val="none"/>
          <w:lang w:val="en-US" w:eastAsia="zh-CN"/>
        </w:rPr>
        <w:t>★</w:t>
      </w:r>
      <w:r>
        <w:rPr>
          <w:rFonts w:hint="eastAsia"/>
          <w:color w:val="0000FF"/>
          <w:highlight w:val="none"/>
          <w:lang w:val="en-US" w:eastAsia="zh-CN"/>
        </w:rPr>
        <w:t>15、</w:t>
      </w:r>
      <w:r>
        <w:rPr>
          <w:rFonts w:hint="default"/>
          <w:color w:val="0000FF"/>
          <w:highlight w:val="none"/>
          <w:lang w:val="en-US" w:eastAsia="zh-CN"/>
        </w:rPr>
        <w:t>质保期内，如中标人不能达到</w:t>
      </w:r>
      <w:r>
        <w:rPr>
          <w:rStyle w:val="22"/>
          <w:rFonts w:hint="eastAsia"/>
          <w:strike w:val="0"/>
          <w:highlight w:val="none"/>
          <w:lang w:val="en-US" w:eastAsia="zh-CN"/>
        </w:rPr>
        <w:t>当年上级公安机关</w:t>
      </w:r>
      <w:r>
        <w:rPr>
          <w:rFonts w:hint="eastAsia"/>
          <w:color w:val="0000FF"/>
          <w:highlight w:val="none"/>
          <w:lang w:val="en-US" w:eastAsia="zh-CN"/>
        </w:rPr>
        <w:t>“视图数据整理治理考核”的标准</w:t>
      </w:r>
      <w:r>
        <w:rPr>
          <w:rFonts w:hint="default"/>
          <w:color w:val="0000FF"/>
          <w:highlight w:val="none"/>
          <w:lang w:val="en-US" w:eastAsia="zh-CN"/>
        </w:rPr>
        <w:t>，致使采购人在上级部门的考核中排名靠后，且中标人经过整改仍无法达到标准的，采购人有权邀请第三方公司开展相关工作，产生的费用由中标人负责解决。（投标人须提供承诺函承诺，格式自拟。）</w:t>
      </w:r>
    </w:p>
    <w:p>
      <w:pPr>
        <w:bidi w:val="0"/>
        <w:rPr>
          <w:rFonts w:hint="default"/>
          <w:highlight w:val="none"/>
          <w:lang w:val="en-US" w:eastAsia="zh-CN"/>
        </w:rPr>
      </w:pPr>
      <w:r>
        <w:rPr>
          <w:rFonts w:hint="eastAsia"/>
          <w:highlight w:val="none"/>
          <w:lang w:val="en-US" w:eastAsia="zh-CN"/>
        </w:rPr>
        <w:t>16、</w:t>
      </w:r>
      <w:r>
        <w:rPr>
          <w:rFonts w:hint="default"/>
          <w:highlight w:val="none"/>
          <w:lang w:val="en-US" w:eastAsia="zh-CN"/>
        </w:rPr>
        <w:t>违约责任</w:t>
      </w:r>
    </w:p>
    <w:p>
      <w:pPr>
        <w:bidi w:val="0"/>
        <w:rPr>
          <w:rFonts w:hint="eastAsia"/>
          <w:highlight w:val="none"/>
          <w:lang w:val="en-US" w:eastAsia="zh-CN"/>
        </w:rPr>
      </w:pPr>
      <w:r>
        <w:rPr>
          <w:rFonts w:hint="eastAsia"/>
          <w:highlight w:val="none"/>
          <w:lang w:val="en-US" w:eastAsia="zh-CN"/>
        </w:rPr>
        <w:t>（1）</w:t>
      </w:r>
      <w:r>
        <w:rPr>
          <w:rFonts w:hint="default"/>
          <w:highlight w:val="none"/>
          <w:lang w:val="en-US" w:eastAsia="zh-CN"/>
        </w:rPr>
        <w:t>视频信号推送至</w:t>
      </w:r>
      <w:r>
        <w:rPr>
          <w:rFonts w:hint="eastAsia"/>
          <w:highlight w:val="none"/>
          <w:lang w:val="en-US" w:eastAsia="zh-CN"/>
        </w:rPr>
        <w:t>东莞市公安局</w:t>
      </w:r>
      <w:r>
        <w:rPr>
          <w:rFonts w:hint="default"/>
          <w:highlight w:val="none"/>
          <w:lang w:val="en-US" w:eastAsia="zh-CN"/>
        </w:rPr>
        <w:t>两网双平台后，</w:t>
      </w:r>
      <w:r>
        <w:rPr>
          <w:rFonts w:hint="eastAsia"/>
          <w:highlight w:val="none"/>
          <w:lang w:val="en-US" w:eastAsia="zh-CN"/>
        </w:rPr>
        <w:t>中标人</w:t>
      </w:r>
      <w:r>
        <w:rPr>
          <w:rFonts w:hint="default"/>
          <w:highlight w:val="none"/>
          <w:lang w:val="en-US" w:eastAsia="zh-CN"/>
        </w:rPr>
        <w:t>未能在</w:t>
      </w:r>
      <w:r>
        <w:rPr>
          <w:rFonts w:hint="eastAsia"/>
          <w:highlight w:val="none"/>
          <w:lang w:val="en-US" w:eastAsia="zh-CN"/>
        </w:rPr>
        <w:t>所规定时间</w:t>
      </w:r>
      <w:r>
        <w:rPr>
          <w:rFonts w:hint="default"/>
          <w:highlight w:val="none"/>
          <w:lang w:val="en-US" w:eastAsia="zh-CN"/>
        </w:rPr>
        <w:t>内履行故障修复要求的，每新增一次违约需扣减人民币1000元，同时每延迟修复一日需扣减人民币200元，违约金的扣减在本次合同</w:t>
      </w:r>
      <w:r>
        <w:rPr>
          <w:rFonts w:hint="eastAsia"/>
          <w:highlight w:val="none"/>
          <w:lang w:val="en-US" w:eastAsia="zh-CN"/>
        </w:rPr>
        <w:t>最终结算</w:t>
      </w:r>
      <w:r>
        <w:rPr>
          <w:rFonts w:hint="default"/>
          <w:highlight w:val="none"/>
          <w:lang w:val="en-US" w:eastAsia="zh-CN"/>
        </w:rPr>
        <w:t>时执行。合同最终结算前必须完成设备清点，如发生设备缺失或损坏未修复的，</w:t>
      </w:r>
      <w:r>
        <w:rPr>
          <w:rFonts w:hint="eastAsia"/>
          <w:highlight w:val="none"/>
          <w:lang w:val="en-US" w:eastAsia="zh-CN"/>
        </w:rPr>
        <w:t>中标人</w:t>
      </w:r>
      <w:r>
        <w:rPr>
          <w:rFonts w:hint="default"/>
          <w:highlight w:val="none"/>
          <w:lang w:val="en-US" w:eastAsia="zh-CN"/>
        </w:rPr>
        <w:t>需按设备价值赔偿。</w:t>
      </w:r>
    </w:p>
    <w:p>
      <w:pPr>
        <w:bidi w:val="0"/>
        <w:rPr>
          <w:rFonts w:hint="eastAsia"/>
          <w:highlight w:val="none"/>
          <w:lang w:val="en-US" w:eastAsia="zh-CN"/>
        </w:rPr>
      </w:pPr>
      <w:r>
        <w:rPr>
          <w:rFonts w:hint="eastAsia"/>
          <w:highlight w:val="none"/>
          <w:lang w:val="en-US" w:eastAsia="zh-CN"/>
        </w:rPr>
        <w:t>（2）针对本项目设备，中标人未能按6.2条“运维要求”的标准做好建档工作，导致采购人被通报的，每通报一路罚款人民币1000元，以每月东莞市公安局下发的关于信息化建设及运维管理工作情况通报为准，违约金的</w:t>
      </w:r>
      <w:r>
        <w:rPr>
          <w:rFonts w:hint="default"/>
          <w:highlight w:val="none"/>
          <w:lang w:val="en-US" w:eastAsia="zh-CN"/>
        </w:rPr>
        <w:t>扣减在本次合同</w:t>
      </w:r>
      <w:r>
        <w:rPr>
          <w:rFonts w:hint="eastAsia"/>
          <w:highlight w:val="none"/>
          <w:lang w:val="en-US" w:eastAsia="zh-CN"/>
        </w:rPr>
        <w:t>最终结算</w:t>
      </w:r>
      <w:r>
        <w:rPr>
          <w:rFonts w:hint="default"/>
          <w:highlight w:val="none"/>
          <w:lang w:val="en-US" w:eastAsia="zh-CN"/>
        </w:rPr>
        <w:t>时执行</w:t>
      </w:r>
      <w:r>
        <w:rPr>
          <w:rFonts w:hint="eastAsia"/>
          <w:highlight w:val="none"/>
          <w:lang w:val="en-US" w:eastAsia="zh-CN"/>
        </w:rPr>
        <w:t>。</w:t>
      </w:r>
    </w:p>
    <w:p>
      <w:pPr>
        <w:bidi w:val="0"/>
        <w:rPr>
          <w:rFonts w:hint="eastAsia"/>
          <w:highlight w:val="none"/>
          <w:lang w:val="en-US" w:eastAsia="zh-CN"/>
        </w:rPr>
      </w:pPr>
      <w:r>
        <w:rPr>
          <w:rFonts w:hint="eastAsia"/>
          <w:highlight w:val="none"/>
          <w:lang w:val="en-US" w:eastAsia="zh-CN"/>
        </w:rPr>
        <w:t>（3）中标人未遵守公安网络安全规定，发生安全事件的（包括但不限于违规外联、两网互通等），发生一起罚款人民币10000元，违约金的</w:t>
      </w:r>
      <w:r>
        <w:rPr>
          <w:rFonts w:hint="default"/>
          <w:highlight w:val="none"/>
          <w:lang w:val="en-US" w:eastAsia="zh-CN"/>
        </w:rPr>
        <w:t>扣减在本次合同</w:t>
      </w:r>
      <w:r>
        <w:rPr>
          <w:rFonts w:hint="eastAsia"/>
          <w:highlight w:val="none"/>
          <w:lang w:val="en-US" w:eastAsia="zh-CN"/>
        </w:rPr>
        <w:t>最终结算</w:t>
      </w:r>
      <w:r>
        <w:rPr>
          <w:rFonts w:hint="default"/>
          <w:highlight w:val="none"/>
          <w:lang w:val="en-US" w:eastAsia="zh-CN"/>
        </w:rPr>
        <w:t>时执行</w:t>
      </w:r>
      <w:r>
        <w:rPr>
          <w:rFonts w:hint="eastAsia"/>
          <w:highlight w:val="none"/>
          <w:lang w:val="en-US" w:eastAsia="zh-CN"/>
        </w:rPr>
        <w:t>；情节严重，构成犯罪的，移送相关职能部门处理。</w:t>
      </w:r>
    </w:p>
    <w:p>
      <w:pPr>
        <w:bidi w:val="0"/>
        <w:rPr>
          <w:rFonts w:hint="eastAsia"/>
          <w:highlight w:val="none"/>
          <w:lang w:val="en-US" w:eastAsia="zh-CN"/>
        </w:rPr>
      </w:pPr>
      <w:r>
        <w:rPr>
          <w:rFonts w:hint="eastAsia"/>
          <w:highlight w:val="none"/>
          <w:lang w:val="en-US" w:eastAsia="zh-CN"/>
        </w:rPr>
        <w:t>（4）中标人未按规定开展维护工作的，包括但不限于按要求开展巡检、对设备进行保养维护、更换损坏设备、巡检发现问题未采取补救措施等，采购人每发现一起罚扣人民币2000元，违约金的</w:t>
      </w:r>
      <w:r>
        <w:rPr>
          <w:rFonts w:hint="default"/>
          <w:highlight w:val="none"/>
          <w:lang w:val="en-US" w:eastAsia="zh-CN"/>
        </w:rPr>
        <w:t>扣减在本次合同</w:t>
      </w:r>
      <w:r>
        <w:rPr>
          <w:rFonts w:hint="eastAsia"/>
          <w:highlight w:val="none"/>
          <w:lang w:val="en-US" w:eastAsia="zh-CN"/>
        </w:rPr>
        <w:t>最终结算</w:t>
      </w:r>
      <w:r>
        <w:rPr>
          <w:rFonts w:hint="default"/>
          <w:highlight w:val="none"/>
          <w:lang w:val="en-US" w:eastAsia="zh-CN"/>
        </w:rPr>
        <w:t>时执行</w:t>
      </w:r>
      <w:r>
        <w:rPr>
          <w:rFonts w:hint="eastAsia"/>
          <w:highlight w:val="none"/>
          <w:lang w:val="en-US" w:eastAsia="zh-CN"/>
        </w:rPr>
        <w:t>。</w:t>
      </w:r>
    </w:p>
    <w:p>
      <w:pPr>
        <w:bidi w:val="0"/>
        <w:rPr>
          <w:rFonts w:hint="default"/>
          <w:highlight w:val="none"/>
          <w:lang w:val="en-US" w:eastAsia="zh-CN"/>
        </w:rPr>
      </w:pPr>
      <w:r>
        <w:rPr>
          <w:rFonts w:hint="eastAsia"/>
          <w:highlight w:val="none"/>
          <w:lang w:val="en-US" w:eastAsia="zh-CN"/>
        </w:rPr>
        <w:t>（5）中标人因维护工作开展不到位，导致采购人被上级部门通报/投诉的，每一次罚扣人民币2000元，违约金的</w:t>
      </w:r>
      <w:r>
        <w:rPr>
          <w:rFonts w:hint="default"/>
          <w:highlight w:val="none"/>
          <w:lang w:val="en-US" w:eastAsia="zh-CN"/>
        </w:rPr>
        <w:t>扣减在本次合同</w:t>
      </w:r>
      <w:r>
        <w:rPr>
          <w:rFonts w:hint="eastAsia"/>
          <w:highlight w:val="none"/>
          <w:lang w:val="en-US" w:eastAsia="zh-CN"/>
        </w:rPr>
        <w:t>最终结算</w:t>
      </w:r>
      <w:r>
        <w:rPr>
          <w:rFonts w:hint="default"/>
          <w:highlight w:val="none"/>
          <w:lang w:val="en-US" w:eastAsia="zh-CN"/>
        </w:rPr>
        <w:t>时执行</w:t>
      </w:r>
      <w:r>
        <w:rPr>
          <w:rFonts w:hint="eastAsia"/>
          <w:highlight w:val="none"/>
          <w:lang w:val="en-US" w:eastAsia="zh-CN"/>
        </w:rPr>
        <w:t>。</w:t>
      </w:r>
    </w:p>
    <w:p>
      <w:pPr>
        <w:pStyle w:val="4"/>
        <w:bidi w:val="0"/>
        <w:rPr>
          <w:rFonts w:hint="eastAsia"/>
          <w:highlight w:val="none"/>
          <w:lang w:val="en-US" w:eastAsia="zh-CN"/>
        </w:rPr>
      </w:pPr>
      <w:r>
        <w:rPr>
          <w:rFonts w:hint="eastAsia"/>
          <w:highlight w:val="none"/>
          <w:lang w:val="en-US" w:eastAsia="zh-CN"/>
        </w:rPr>
        <w:t>保密安全要求</w:t>
      </w:r>
    </w:p>
    <w:p>
      <w:pPr>
        <w:bidi w:val="0"/>
        <w:rPr>
          <w:rFonts w:hint="eastAsia"/>
          <w:highlight w:val="none"/>
          <w:lang w:val="en-US" w:eastAsia="zh-CN"/>
        </w:rPr>
      </w:pPr>
      <w:r>
        <w:rPr>
          <w:rFonts w:hint="eastAsia"/>
          <w:highlight w:val="none"/>
          <w:lang w:val="en-US" w:eastAsia="zh-CN"/>
        </w:rPr>
        <w:t>中标人应具备完善的保密管理方案，包括但不限于下列要求：</w:t>
      </w:r>
    </w:p>
    <w:p>
      <w:pPr>
        <w:bidi w:val="0"/>
        <w:rPr>
          <w:rFonts w:hint="eastAsia"/>
          <w:highlight w:val="none"/>
          <w:lang w:val="en-US" w:eastAsia="zh-CN"/>
        </w:rPr>
      </w:pPr>
      <w:r>
        <w:rPr>
          <w:rFonts w:hint="eastAsia"/>
          <w:highlight w:val="none"/>
          <w:lang w:val="en-US" w:eastAsia="zh-CN"/>
        </w:rPr>
        <w:t>1、中标人须与采购人签署保密协议书，保证不向外泄露项目的所有资料及用作其他用途。中标人负责约束其所属员工。如维护服务人员发生泄密事件，一切后果由中标人承担。同时，采购人有权单方面取消合同。</w:t>
      </w:r>
    </w:p>
    <w:p>
      <w:pPr>
        <w:bidi w:val="0"/>
        <w:rPr>
          <w:rFonts w:hint="eastAsia"/>
          <w:highlight w:val="none"/>
          <w:lang w:val="en-US" w:eastAsia="zh-CN"/>
        </w:rPr>
      </w:pPr>
      <w:r>
        <w:rPr>
          <w:rFonts w:hint="eastAsia"/>
          <w:highlight w:val="none"/>
          <w:lang w:val="en-US" w:eastAsia="zh-CN"/>
        </w:rPr>
        <w:t>2、维护服务人员应严格遵守有关法规和政府内部规章制度，不得擅自翻阅、复制、传播所接触的用户资料或数据。</w:t>
      </w:r>
    </w:p>
    <w:p>
      <w:pPr>
        <w:bidi w:val="0"/>
        <w:rPr>
          <w:rFonts w:hint="eastAsia"/>
          <w:highlight w:val="none"/>
          <w:lang w:val="en-US" w:eastAsia="zh-CN"/>
        </w:rPr>
      </w:pPr>
      <w:bookmarkStart w:id="12" w:name="OLE_LINK2"/>
      <w:r>
        <w:rPr>
          <w:rFonts w:hint="eastAsia"/>
          <w:highlight w:val="none"/>
          <w:lang w:val="en-US" w:eastAsia="zh-CN"/>
        </w:rPr>
        <w:t>3、若需要更换设备，原设备需要先进行数据清洗，删除敏感数据后交由采购人处理。</w:t>
      </w:r>
    </w:p>
    <w:bookmarkEnd w:id="12"/>
    <w:p>
      <w:pPr>
        <w:bidi w:val="0"/>
        <w:rPr>
          <w:rFonts w:hint="eastAsia"/>
          <w:highlight w:val="none"/>
          <w:lang w:val="en-US" w:eastAsia="zh-CN"/>
        </w:rPr>
      </w:pPr>
      <w:r>
        <w:rPr>
          <w:rFonts w:hint="eastAsia"/>
          <w:highlight w:val="none"/>
          <w:lang w:val="en-US" w:eastAsia="zh-CN"/>
        </w:rPr>
        <w:t>4、中标人需要建立完善的项目安全保密管理制度，明确安全岗位责任，项目实施过程中，中标人需要严格遵守保密制度，加强对工作人员的管理，工作人员不得无故查看及讨论工作内容，不得以任何方式复制、下载、留存、持有、使用和向外人泄露采购人的任何档案信息，如发生遗失、复制、泄露等安全事故，全部由中标人负责。</w:t>
      </w:r>
    </w:p>
    <w:p>
      <w:pPr>
        <w:bidi w:val="0"/>
        <w:rPr>
          <w:rFonts w:hint="eastAsia"/>
          <w:highlight w:val="none"/>
          <w:lang w:val="en-US" w:eastAsia="zh-CN"/>
        </w:rPr>
      </w:pPr>
      <w:r>
        <w:rPr>
          <w:rFonts w:hint="eastAsia"/>
          <w:highlight w:val="none"/>
          <w:lang w:val="en-US" w:eastAsia="zh-CN"/>
        </w:rPr>
        <w:t>5、项目完成中标人撤离时，除留给采购人的备份数据外，服务器、工作站和其他设备上的信息需要在采购人工作人员现场监督下销毁。</w:t>
      </w:r>
    </w:p>
    <w:p>
      <w:pPr>
        <w:bidi w:val="0"/>
        <w:rPr>
          <w:rFonts w:hint="eastAsia"/>
          <w:highlight w:val="none"/>
          <w:lang w:val="en-US" w:eastAsia="zh-CN"/>
        </w:rPr>
      </w:pPr>
      <w:r>
        <w:rPr>
          <w:rFonts w:hint="eastAsia"/>
          <w:highlight w:val="none"/>
          <w:lang w:val="en-US" w:eastAsia="zh-CN"/>
        </w:rPr>
        <w:t>6、当发生非正常的重大事项时，需及时向采购人汇报，未能及时汇报或隐瞒的将给予严肃处理。</w:t>
      </w:r>
    </w:p>
    <w:p>
      <w:pPr>
        <w:bidi w:val="0"/>
        <w:rPr>
          <w:rFonts w:hint="eastAsia"/>
          <w:highlight w:val="none"/>
          <w:lang w:val="en-US" w:eastAsia="zh-CN"/>
        </w:rPr>
      </w:pPr>
      <w:r>
        <w:rPr>
          <w:rFonts w:hint="eastAsia"/>
          <w:highlight w:val="none"/>
          <w:lang w:val="en-US" w:eastAsia="zh-CN"/>
        </w:rPr>
        <w:t>7、中标人不得利用工作之便，进行任何非法或非本项目范围内的活动，特别是发布非法信息、留下系统后门等，离开服务场地需要先告知采购人。</w:t>
      </w:r>
    </w:p>
    <w:p>
      <w:pPr>
        <w:pStyle w:val="4"/>
        <w:bidi w:val="0"/>
        <w:rPr>
          <w:rFonts w:hint="eastAsia"/>
          <w:highlight w:val="none"/>
          <w:lang w:eastAsia="zh-CN"/>
        </w:rPr>
      </w:pPr>
      <w:r>
        <w:rPr>
          <w:highlight w:val="none"/>
        </w:rPr>
        <w:t>项目人员要求</w:t>
      </w:r>
    </w:p>
    <w:p>
      <w:pPr>
        <w:pStyle w:val="5"/>
        <w:bidi w:val="0"/>
        <w:rPr>
          <w:rFonts w:hint="eastAsia"/>
          <w:highlight w:val="none"/>
          <w:lang w:eastAsia="zh-CN"/>
        </w:rPr>
      </w:pPr>
      <w:r>
        <w:rPr>
          <w:highlight w:val="none"/>
        </w:rPr>
        <w:t>数量和岗位要求</w:t>
      </w:r>
    </w:p>
    <w:p>
      <w:pPr>
        <w:keepNext w:val="0"/>
        <w:keepLines w:val="0"/>
        <w:pageBreakBefore w:val="0"/>
        <w:widowControl w:val="0"/>
        <w:numPr>
          <w:ilvl w:val="0"/>
          <w:numId w:val="0"/>
        </w:numPr>
        <w:kinsoku/>
        <w:wordWrap/>
        <w:overflowPunct/>
        <w:topLinePunct w:val="0"/>
        <w:autoSpaceDE w:val="0"/>
        <w:autoSpaceDN w:val="0"/>
        <w:bidi w:val="0"/>
        <w:adjustRightInd/>
        <w:snapToGrid/>
        <w:ind w:firstLine="480" w:firstLineChars="200"/>
        <w:textAlignment w:val="auto"/>
        <w:rPr>
          <w:rFonts w:hint="eastAsia"/>
          <w:highlight w:val="none"/>
          <w:lang w:val="en-US" w:eastAsia="zh-CN"/>
        </w:rPr>
      </w:pPr>
      <w:r>
        <w:rPr>
          <w:rFonts w:hint="eastAsia"/>
          <w:highlight w:val="none"/>
          <w:lang w:val="en-US" w:eastAsia="zh-CN"/>
        </w:rPr>
        <w:t>1、需投入项目经理1人；</w:t>
      </w:r>
    </w:p>
    <w:p>
      <w:pPr>
        <w:keepNext w:val="0"/>
        <w:keepLines w:val="0"/>
        <w:pageBreakBefore w:val="0"/>
        <w:widowControl w:val="0"/>
        <w:numPr>
          <w:ilvl w:val="0"/>
          <w:numId w:val="0"/>
        </w:numPr>
        <w:kinsoku/>
        <w:wordWrap/>
        <w:overflowPunct/>
        <w:topLinePunct w:val="0"/>
        <w:autoSpaceDE w:val="0"/>
        <w:autoSpaceDN w:val="0"/>
        <w:bidi w:val="0"/>
        <w:adjustRightInd/>
        <w:snapToGrid/>
        <w:ind w:firstLine="480" w:firstLineChars="200"/>
        <w:textAlignment w:val="auto"/>
        <w:rPr>
          <w:rFonts w:hint="eastAsia"/>
          <w:highlight w:val="none"/>
          <w:lang w:eastAsia="zh-CN"/>
        </w:rPr>
      </w:pPr>
      <w:r>
        <w:rPr>
          <w:rFonts w:hint="eastAsia"/>
          <w:highlight w:val="none"/>
          <w:lang w:val="en-US" w:eastAsia="zh-CN"/>
        </w:rPr>
        <w:t>2、</w:t>
      </w:r>
      <w:r>
        <w:rPr>
          <w:highlight w:val="none"/>
        </w:rPr>
        <w:t>需投入技术负责人1人</w:t>
      </w:r>
      <w:r>
        <w:rPr>
          <w:rFonts w:hint="eastAsia"/>
          <w:highlight w:val="none"/>
          <w:lang w:eastAsia="zh-CN"/>
        </w:rPr>
        <w:t>；</w:t>
      </w:r>
    </w:p>
    <w:p>
      <w:pPr>
        <w:keepNext w:val="0"/>
        <w:keepLines w:val="0"/>
        <w:pageBreakBefore w:val="0"/>
        <w:widowControl w:val="0"/>
        <w:numPr>
          <w:ilvl w:val="0"/>
          <w:numId w:val="0"/>
        </w:numPr>
        <w:kinsoku/>
        <w:wordWrap/>
        <w:overflowPunct/>
        <w:topLinePunct w:val="0"/>
        <w:autoSpaceDE w:val="0"/>
        <w:autoSpaceDN w:val="0"/>
        <w:bidi w:val="0"/>
        <w:adjustRightInd/>
        <w:snapToGrid/>
        <w:ind w:firstLine="480" w:firstLineChars="200"/>
        <w:textAlignment w:val="auto"/>
        <w:rPr>
          <w:rFonts w:hint="eastAsia"/>
          <w:highlight w:val="none"/>
          <w:lang w:val="en-US" w:eastAsia="zh-CN"/>
        </w:rPr>
      </w:pPr>
      <w:r>
        <w:rPr>
          <w:rFonts w:hint="eastAsia"/>
          <w:highlight w:val="none"/>
          <w:lang w:val="en-US" w:eastAsia="zh-CN"/>
        </w:rPr>
        <w:t>3、自验收合格之日起中标人需要提供3名驻点技术员3年驻场服务。</w:t>
      </w:r>
    </w:p>
    <w:p>
      <w:pPr>
        <w:bidi w:val="0"/>
        <w:rPr>
          <w:highlight w:val="none"/>
        </w:rPr>
      </w:pPr>
      <w:r>
        <w:rPr>
          <w:highlight w:val="none"/>
        </w:rPr>
        <w:t>注：</w:t>
      </w:r>
    </w:p>
    <w:p>
      <w:pPr>
        <w:bidi w:val="0"/>
        <w:rPr>
          <w:rFonts w:hint="eastAsia"/>
          <w:highlight w:val="none"/>
          <w:lang w:eastAsia="zh-CN"/>
        </w:rPr>
      </w:pPr>
      <w:r>
        <w:rPr>
          <w:highlight w:val="none"/>
        </w:rPr>
        <w:t>（1）上述人员不能相互兼任</w:t>
      </w:r>
      <w:r>
        <w:rPr>
          <w:rFonts w:hint="eastAsia"/>
          <w:highlight w:val="none"/>
          <w:lang w:val="en-US" w:eastAsia="zh-CN"/>
        </w:rPr>
        <w:t>。</w:t>
      </w:r>
    </w:p>
    <w:p>
      <w:pPr>
        <w:bidi w:val="0"/>
        <w:rPr>
          <w:rFonts w:hint="eastAsia"/>
          <w:highlight w:val="none"/>
          <w:lang w:eastAsia="zh-CN"/>
        </w:rPr>
      </w:pPr>
      <w:r>
        <w:rPr>
          <w:highlight w:val="none"/>
        </w:rPr>
        <w:t>（2）项目投入人员必须是中标人的正式员工，人员上岗前须进行保密培训和签订保密协议，做好保密工作，在任何情况下未取得采购人的同意不得泄露本项目及采购人的任何资料信息，否则采购人将依据相关法律追究中标人相应的法律和经济责任。</w:t>
      </w:r>
    </w:p>
    <w:p>
      <w:pPr>
        <w:bidi w:val="0"/>
        <w:rPr>
          <w:rFonts w:hint="eastAsia"/>
          <w:highlight w:val="none"/>
          <w:lang w:eastAsia="zh-CN"/>
        </w:rPr>
      </w:pPr>
      <w:r>
        <w:rPr>
          <w:highlight w:val="none"/>
        </w:rPr>
        <w:t>（3）如遇到重大安保活动时，中标人需根据采购人的实际工作要求，指派</w:t>
      </w:r>
      <w:r>
        <w:rPr>
          <w:rFonts w:hint="eastAsia"/>
          <w:highlight w:val="none"/>
          <w:lang w:val="en-US" w:eastAsia="zh-CN"/>
        </w:rPr>
        <w:t>项目人员</w:t>
      </w:r>
      <w:r>
        <w:rPr>
          <w:highlight w:val="none"/>
        </w:rPr>
        <w:t>到场（或后台）提供技术支撑，所需费用均由中标人负责。</w:t>
      </w:r>
    </w:p>
    <w:p>
      <w:pPr>
        <w:bidi w:val="0"/>
        <w:rPr>
          <w:rFonts w:hint="eastAsia"/>
          <w:highlight w:val="none"/>
          <w:lang w:eastAsia="zh-CN"/>
        </w:rPr>
      </w:pPr>
      <w:r>
        <w:rPr>
          <w:highlight w:val="none"/>
        </w:rPr>
        <w:t>（4）将网络安全事故（一机两用、两网互通等）的责任和处罚纳入对项目人员的管理规定。对造成网络安全事件的人员或企业第一次处以</w:t>
      </w:r>
      <w:r>
        <w:rPr>
          <w:rFonts w:hint="eastAsia"/>
          <w:highlight w:val="none"/>
          <w:lang w:val="en-US" w:eastAsia="zh-CN"/>
        </w:rPr>
        <w:t>20</w:t>
      </w:r>
      <w:r>
        <w:rPr>
          <w:highlight w:val="none"/>
        </w:rPr>
        <w:t>000.00元罚款，第二次处以</w:t>
      </w:r>
      <w:r>
        <w:rPr>
          <w:rFonts w:hint="eastAsia"/>
          <w:highlight w:val="none"/>
          <w:lang w:val="en-US" w:eastAsia="zh-CN"/>
        </w:rPr>
        <w:t>5</w:t>
      </w:r>
      <w:r>
        <w:rPr>
          <w:highlight w:val="none"/>
        </w:rPr>
        <w:t>0000.00元罚款，中标人应在收到罚款通知后10个工作日内向采购人缴纳罚款</w:t>
      </w:r>
      <w:r>
        <w:rPr>
          <w:rFonts w:hint="eastAsia"/>
          <w:highlight w:val="none"/>
          <w:lang w:eastAsia="zh-CN"/>
        </w:rPr>
        <w:t>，</w:t>
      </w:r>
      <w:r>
        <w:rPr>
          <w:highlight w:val="none"/>
        </w:rPr>
        <w:t>对服务人员满两次或企业满三次后，采购人有权终止合同</w:t>
      </w:r>
      <w:r>
        <w:rPr>
          <w:rFonts w:hint="eastAsia"/>
          <w:highlight w:val="none"/>
          <w:lang w:eastAsia="zh-CN"/>
        </w:rPr>
        <w:t>；</w:t>
      </w:r>
      <w:r>
        <w:rPr>
          <w:rFonts w:hint="eastAsia"/>
          <w:highlight w:val="none"/>
          <w:lang w:val="en-US" w:eastAsia="zh-CN"/>
        </w:rPr>
        <w:t>情节严重的，将追究相关</w:t>
      </w:r>
      <w:r>
        <w:rPr>
          <w:highlight w:val="none"/>
        </w:rPr>
        <w:t>人员或企业</w:t>
      </w:r>
      <w:r>
        <w:rPr>
          <w:rFonts w:hint="eastAsia"/>
          <w:highlight w:val="none"/>
          <w:lang w:val="en-US" w:eastAsia="zh-CN"/>
        </w:rPr>
        <w:t>的刑事责任</w:t>
      </w:r>
      <w:r>
        <w:rPr>
          <w:highlight w:val="none"/>
        </w:rPr>
        <w:t>。</w:t>
      </w:r>
    </w:p>
    <w:p>
      <w:pPr>
        <w:pStyle w:val="5"/>
        <w:bidi w:val="0"/>
        <w:rPr>
          <w:rFonts w:hint="eastAsia"/>
          <w:highlight w:val="none"/>
          <w:lang w:eastAsia="zh-CN"/>
        </w:rPr>
      </w:pPr>
      <w:r>
        <w:rPr>
          <w:highlight w:val="none"/>
        </w:rPr>
        <w:t>驻点技术员</w:t>
      </w:r>
    </w:p>
    <w:p>
      <w:pPr>
        <w:bidi w:val="0"/>
        <w:rPr>
          <w:rFonts w:hint="eastAsia"/>
          <w:highlight w:val="none"/>
          <w:lang w:eastAsia="zh-CN"/>
        </w:rPr>
      </w:pPr>
      <w:r>
        <w:rPr>
          <w:highlight w:val="none"/>
        </w:rPr>
        <w:t>1、驻点技术人员需具有大专或以上学历以及良好的沟通表达能力，上岗前须通过采购人的面试和审核。</w:t>
      </w:r>
    </w:p>
    <w:p>
      <w:pPr>
        <w:bidi w:val="0"/>
        <w:rPr>
          <w:rFonts w:hint="eastAsia"/>
          <w:highlight w:val="none"/>
          <w:lang w:eastAsia="zh-CN"/>
        </w:rPr>
      </w:pPr>
      <w:r>
        <w:rPr>
          <w:highlight w:val="none"/>
        </w:rPr>
        <w:t>2、主要工作内容：</w:t>
      </w:r>
    </w:p>
    <w:p>
      <w:pPr>
        <w:bidi w:val="0"/>
        <w:rPr>
          <w:rFonts w:hint="eastAsia"/>
          <w:highlight w:val="none"/>
          <w:lang w:eastAsia="zh-CN"/>
        </w:rPr>
      </w:pPr>
      <w:r>
        <w:rPr>
          <w:highlight w:val="none"/>
        </w:rPr>
        <w:t>（1）驻点技术人员日常在采购人指定的地点办公，遵循采购人正常的办公时间在岗在位，开展驻场服务保障工作，在特殊防护（疫）期间需服从采购人的工作安排；</w:t>
      </w:r>
    </w:p>
    <w:p>
      <w:pPr>
        <w:bidi w:val="0"/>
        <w:rPr>
          <w:rFonts w:hint="eastAsia"/>
          <w:highlight w:val="none"/>
          <w:lang w:eastAsia="zh-CN"/>
        </w:rPr>
      </w:pPr>
      <w:r>
        <w:rPr>
          <w:highlight w:val="none"/>
        </w:rPr>
        <w:t>（2）驻点技术人员负责项目的监控点前端设备、传输链路，中心设备的巡查，及时发现并解决问题；如无法现场解决，须联系专业维修人员到场协助处理；</w:t>
      </w:r>
    </w:p>
    <w:p>
      <w:pPr>
        <w:bidi w:val="0"/>
        <w:rPr>
          <w:rFonts w:hint="eastAsia"/>
          <w:highlight w:val="none"/>
          <w:lang w:eastAsia="zh-CN"/>
        </w:rPr>
      </w:pPr>
      <w:r>
        <w:rPr>
          <w:highlight w:val="none"/>
        </w:rPr>
        <w:t>（3）根据实际工作要求和任务，配合做好各类应急通信保障工作；</w:t>
      </w:r>
    </w:p>
    <w:p>
      <w:pPr>
        <w:bidi w:val="0"/>
        <w:rPr>
          <w:rFonts w:hint="eastAsia"/>
          <w:highlight w:val="none"/>
          <w:lang w:eastAsia="zh-CN"/>
        </w:rPr>
      </w:pPr>
      <w:r>
        <w:rPr>
          <w:highlight w:val="none"/>
        </w:rPr>
        <w:t>（4）做好中心设备范围内各设备的基础运维数据的建档工作，同时做好定期运维记录和基础台账。</w:t>
      </w:r>
    </w:p>
    <w:p>
      <w:pPr>
        <w:bidi w:val="0"/>
        <w:rPr>
          <w:rFonts w:hint="eastAsia"/>
          <w:highlight w:val="none"/>
          <w:lang w:eastAsia="zh-CN"/>
        </w:rPr>
      </w:pPr>
      <w:r>
        <w:rPr>
          <w:highlight w:val="none"/>
        </w:rPr>
        <w:t>3、管理、调配要求：</w:t>
      </w:r>
    </w:p>
    <w:p>
      <w:pPr>
        <w:bidi w:val="0"/>
        <w:rPr>
          <w:rFonts w:hint="eastAsia"/>
          <w:highlight w:val="none"/>
          <w:lang w:eastAsia="zh-CN"/>
        </w:rPr>
      </w:pPr>
      <w:r>
        <w:rPr>
          <w:highlight w:val="none"/>
        </w:rPr>
        <w:t>（1）驻点技术人员的工作和管理由采购人安排，安全管理和薪酬福利待遇由中标人负责。</w:t>
      </w:r>
    </w:p>
    <w:p>
      <w:pPr>
        <w:bidi w:val="0"/>
        <w:rPr>
          <w:rFonts w:hint="eastAsia"/>
          <w:highlight w:val="none"/>
          <w:lang w:eastAsia="zh-CN"/>
        </w:rPr>
      </w:pPr>
      <w:r>
        <w:rPr>
          <w:highlight w:val="none"/>
        </w:rPr>
        <w:t>（2）采购人对驻点技术人员具有更换权和工作调度权，中标人应积极配合；中标人调动或更换驻点技术人员的，须经采购人书面同意后方可调换；驻点技术人员如离职的，须提前5个工作日向采购人提出书面申请，同时中标人应积极开展招聘、调配等工作，保证两周内配齐缺失的人员，否则超时一天罚款人民币</w:t>
      </w:r>
      <w:r>
        <w:rPr>
          <w:rFonts w:hint="eastAsia"/>
          <w:highlight w:val="none"/>
          <w:lang w:val="en-US" w:eastAsia="zh-CN"/>
        </w:rPr>
        <w:t>10</w:t>
      </w:r>
      <w:r>
        <w:rPr>
          <w:highlight w:val="none"/>
        </w:rPr>
        <w:t>00</w:t>
      </w:r>
      <w:r>
        <w:rPr>
          <w:rFonts w:hint="eastAsia"/>
          <w:highlight w:val="none"/>
          <w:lang w:val="en-US" w:eastAsia="zh-CN"/>
        </w:rPr>
        <w:t>.00</w:t>
      </w:r>
      <w:r>
        <w:rPr>
          <w:highlight w:val="none"/>
        </w:rPr>
        <w:t>元。项目范围内，如采购人因驻点技术员的缺失而造成的损失，均由中标人负责；同时，采购人可聘请第三方技术人员对项目开展驻点维护工作，所产生的费用由中标人承担。</w:t>
      </w:r>
    </w:p>
    <w:p>
      <w:pPr>
        <w:pStyle w:val="5"/>
        <w:bidi w:val="0"/>
        <w:rPr>
          <w:rFonts w:hint="eastAsia"/>
          <w:highlight w:val="none"/>
          <w:lang w:eastAsia="zh-CN"/>
        </w:rPr>
      </w:pPr>
      <w:r>
        <w:rPr>
          <w:highlight w:val="none"/>
        </w:rPr>
        <w:t>项目经理</w:t>
      </w:r>
    </w:p>
    <w:p>
      <w:pPr>
        <w:bidi w:val="0"/>
        <w:rPr>
          <w:rFonts w:hint="eastAsia"/>
          <w:highlight w:val="none"/>
          <w:lang w:eastAsia="zh-CN"/>
        </w:rPr>
      </w:pPr>
      <w:r>
        <w:rPr>
          <w:highlight w:val="none"/>
        </w:rPr>
        <w:t>1、项目经理：具备大专或以上学历，计算机、网络、</w:t>
      </w:r>
      <w:r>
        <w:rPr>
          <w:rFonts w:hint="eastAsia"/>
          <w:highlight w:val="none"/>
          <w:lang w:val="en-US" w:eastAsia="zh-CN"/>
        </w:rPr>
        <w:t>通信</w:t>
      </w:r>
      <w:r>
        <w:rPr>
          <w:highlight w:val="none"/>
        </w:rPr>
        <w:t>等相关方面专业。</w:t>
      </w:r>
    </w:p>
    <w:p>
      <w:pPr>
        <w:bidi w:val="0"/>
        <w:rPr>
          <w:rFonts w:hint="eastAsia"/>
          <w:highlight w:val="none"/>
          <w:lang w:eastAsia="zh-CN"/>
        </w:rPr>
      </w:pPr>
      <w:r>
        <w:rPr>
          <w:highlight w:val="none"/>
        </w:rPr>
        <w:t>2、项目管理人员（含固定、后备的管理人员）：具备大专或以上学历，计算机、网络、通信等相关方面专业；同时具有良好的沟通表达能力。</w:t>
      </w:r>
    </w:p>
    <w:p>
      <w:pPr>
        <w:bidi w:val="0"/>
        <w:rPr>
          <w:rFonts w:hint="eastAsia"/>
          <w:highlight w:val="none"/>
          <w:lang w:eastAsia="zh-CN"/>
        </w:rPr>
      </w:pPr>
      <w:r>
        <w:rPr>
          <w:highlight w:val="none"/>
        </w:rPr>
        <w:t>3、工作内容：</w:t>
      </w:r>
    </w:p>
    <w:p>
      <w:pPr>
        <w:bidi w:val="0"/>
        <w:rPr>
          <w:rFonts w:hint="eastAsia"/>
          <w:highlight w:val="none"/>
          <w:lang w:eastAsia="zh-CN"/>
        </w:rPr>
      </w:pPr>
      <w:r>
        <w:rPr>
          <w:highlight w:val="none"/>
        </w:rPr>
        <w:t>（1）工作地点、时间由中标人自行安排，开展项目相关工作；</w:t>
      </w:r>
    </w:p>
    <w:p>
      <w:pPr>
        <w:bidi w:val="0"/>
        <w:rPr>
          <w:rFonts w:hint="eastAsia"/>
          <w:highlight w:val="none"/>
          <w:lang w:eastAsia="zh-CN"/>
        </w:rPr>
      </w:pPr>
      <w:r>
        <w:rPr>
          <w:highlight w:val="none"/>
        </w:rPr>
        <w:t>（2）工作内容：根据项目实施进度表及方案，安排人员按实际情况开展工作，同时负责现场配合监理等人员，开展相关工作；统筹整理、汇总系统各阶段的运行数据、运维记录等，并形成文档；负责智能化项目报验、资料汇总移交；项目开展过程中，协调社区、各职能部门，同时根据项目实施需要，如需破路安装、敷设管道线路等，对接相关职能部门，提供对应材料，做好报建工作，保障项目建设进度。</w:t>
      </w:r>
    </w:p>
    <w:p>
      <w:pPr>
        <w:bidi w:val="0"/>
        <w:rPr>
          <w:rFonts w:hint="eastAsia"/>
          <w:highlight w:val="none"/>
          <w:lang w:eastAsia="zh-CN"/>
        </w:rPr>
      </w:pPr>
      <w:r>
        <w:rPr>
          <w:highlight w:val="none"/>
        </w:rPr>
        <w:t>4、管理、调配要求：</w:t>
      </w:r>
    </w:p>
    <w:p>
      <w:pPr>
        <w:bidi w:val="0"/>
        <w:rPr>
          <w:rFonts w:hint="eastAsia"/>
          <w:highlight w:val="none"/>
          <w:lang w:eastAsia="zh-CN"/>
        </w:rPr>
      </w:pPr>
      <w:r>
        <w:rPr>
          <w:highlight w:val="none"/>
        </w:rPr>
        <w:t>（1）项目管理人员的工作和管理由采购人安排，安全管理和薪酬福利待遇由中标人负责；</w:t>
      </w:r>
    </w:p>
    <w:p>
      <w:pPr>
        <w:bidi w:val="0"/>
        <w:rPr>
          <w:rFonts w:hint="eastAsia"/>
          <w:highlight w:val="none"/>
          <w:lang w:eastAsia="zh-CN"/>
        </w:rPr>
      </w:pPr>
      <w:r>
        <w:rPr>
          <w:highlight w:val="none"/>
        </w:rPr>
        <w:t>（2）采购人对项目管理人员具有更换权和工作调度权，中标人应积极配合；中标人调动或更换管理人员的，须经采购人书面同意后方可调换；常驻项目管理人员如出现休假、调动、离职等情况，后备管理人员须无缝接替常驻管理人员的工作。</w:t>
      </w:r>
    </w:p>
    <w:p>
      <w:pPr>
        <w:pStyle w:val="5"/>
        <w:bidi w:val="0"/>
        <w:rPr>
          <w:rFonts w:hint="eastAsia"/>
          <w:highlight w:val="none"/>
          <w:lang w:eastAsia="zh-CN"/>
        </w:rPr>
      </w:pPr>
      <w:r>
        <w:rPr>
          <w:highlight w:val="none"/>
        </w:rPr>
        <w:t>技术负责人</w:t>
      </w:r>
    </w:p>
    <w:p>
      <w:pPr>
        <w:bidi w:val="0"/>
        <w:rPr>
          <w:rFonts w:hint="eastAsia"/>
          <w:highlight w:val="none"/>
          <w:lang w:eastAsia="zh-CN"/>
        </w:rPr>
      </w:pPr>
      <w:r>
        <w:rPr>
          <w:highlight w:val="none"/>
        </w:rPr>
        <w:t>1、资质要求：具备大专或以上学历，计算机、网络、通信等相关方面专业；较强的组织、协调及沟通能力，有良好的职业素养及合作意识，责任心强。</w:t>
      </w:r>
    </w:p>
    <w:p>
      <w:pPr>
        <w:bidi w:val="0"/>
        <w:rPr>
          <w:rFonts w:hint="eastAsia"/>
          <w:highlight w:val="none"/>
          <w:lang w:eastAsia="zh-CN"/>
        </w:rPr>
      </w:pPr>
      <w:r>
        <w:rPr>
          <w:highlight w:val="none"/>
        </w:rPr>
        <w:t>2、工作内容</w:t>
      </w:r>
    </w:p>
    <w:p>
      <w:pPr>
        <w:bidi w:val="0"/>
        <w:rPr>
          <w:rFonts w:hint="eastAsia"/>
          <w:highlight w:val="none"/>
          <w:lang w:eastAsia="zh-CN"/>
        </w:rPr>
      </w:pPr>
      <w:r>
        <w:rPr>
          <w:highlight w:val="none"/>
        </w:rPr>
        <w:t>（1）工作地点、工作时间由中标人自行安排，开展项目相关工作；</w:t>
      </w:r>
    </w:p>
    <w:p>
      <w:pPr>
        <w:bidi w:val="0"/>
        <w:rPr>
          <w:rFonts w:hint="eastAsia"/>
          <w:highlight w:val="none"/>
          <w:lang w:eastAsia="zh-CN"/>
        </w:rPr>
      </w:pPr>
      <w:r>
        <w:rPr>
          <w:highlight w:val="none"/>
        </w:rPr>
        <w:t>（2）主要负责项目的技术问题，包括但不限于排查解决本项目各级线路、中心设备的故障，修复或替换设备的安装与调试，中心机房软件系统故障的排除，技术文档的撰写等。</w:t>
      </w:r>
    </w:p>
    <w:p>
      <w:pPr>
        <w:bidi w:val="0"/>
        <w:rPr>
          <w:rFonts w:hint="eastAsia"/>
          <w:highlight w:val="none"/>
          <w:lang w:eastAsia="zh-CN"/>
        </w:rPr>
      </w:pPr>
      <w:r>
        <w:rPr>
          <w:highlight w:val="none"/>
        </w:rPr>
        <w:t>3.管理、调配要求</w:t>
      </w:r>
    </w:p>
    <w:p>
      <w:pPr>
        <w:bidi w:val="0"/>
        <w:rPr>
          <w:rFonts w:hint="eastAsia"/>
          <w:highlight w:val="none"/>
          <w:lang w:eastAsia="zh-CN"/>
        </w:rPr>
      </w:pPr>
      <w:r>
        <w:rPr>
          <w:highlight w:val="none"/>
        </w:rPr>
        <w:t>（1）技术负责人的工作和管理由采购人安排，安全管理和薪酬福利待遇由中标人负责；对于采购人提出的技术支撑需求，如可远程操作的，技术负责人须在一小时内响应处理；如无法远程处理或远程操作处理的，须在三小时内到达现场处理。</w:t>
      </w:r>
    </w:p>
    <w:p>
      <w:pPr>
        <w:bidi w:val="0"/>
        <w:rPr>
          <w:highlight w:val="none"/>
        </w:rPr>
      </w:pPr>
      <w:r>
        <w:rPr>
          <w:highlight w:val="none"/>
        </w:rPr>
        <w:t>（2）采购人对技术负责人具有更换权和工作调度权，中标人应积极配合；中标人若调动或更换技术负责人的，须经采购人同意后方可调换；技术负责人如出现休假、调动、离职等情况，中标人须安排人员无缝对接工作。</w:t>
      </w:r>
    </w:p>
    <w:p>
      <w:pPr>
        <w:keepNext w:val="0"/>
        <w:keepLines w:val="0"/>
        <w:pageBreakBefore w:val="0"/>
        <w:widowControl w:val="0"/>
        <w:kinsoku/>
        <w:wordWrap/>
        <w:overflowPunct/>
        <w:topLinePunct w:val="0"/>
        <w:autoSpaceDE w:val="0"/>
        <w:autoSpaceDN w:val="0"/>
        <w:bidi w:val="0"/>
        <w:adjustRightInd/>
        <w:snapToGrid/>
        <w:ind w:firstLine="420" w:firstLineChars="200"/>
        <w:textAlignment w:val="auto"/>
        <w:rPr>
          <w:rFonts w:hint="eastAsia" w:ascii="仿宋" w:hAnsi="仿宋" w:eastAsia="仿宋" w:cs="仿宋"/>
          <w:sz w:val="21"/>
          <w:szCs w:val="21"/>
          <w:highlight w:val="none"/>
          <w:lang w:val="en-US" w:eastAsia="zh-CN"/>
        </w:rPr>
      </w:pPr>
    </w:p>
    <w:p>
      <w:pPr>
        <w:bidi w:val="0"/>
        <w:ind w:left="0" w:leftChars="0" w:firstLine="0" w:firstLineChars="0"/>
        <w:outlineLvl w:val="1"/>
        <w:rPr>
          <w:rFonts w:hint="default" w:ascii="仿宋" w:hAnsi="仿宋" w:eastAsia="仿宋" w:cs="仿宋"/>
          <w:b/>
          <w:bCs/>
          <w:color w:val="auto"/>
          <w:highlight w:val="none"/>
          <w:lang w:val="en-US" w:eastAsia="zh-CN"/>
        </w:rPr>
      </w:pPr>
      <w:r>
        <w:rPr>
          <w:rFonts w:hint="eastAsia" w:ascii="仿宋" w:hAnsi="仿宋" w:eastAsia="仿宋" w:cs="仿宋"/>
          <w:b/>
          <w:bCs/>
          <w:color w:val="auto"/>
          <w:highlight w:val="none"/>
        </w:rPr>
        <w:t>技术标准与要求</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lang w:val="en-US" w:eastAsia="zh-CN"/>
        </w:rPr>
        <w:t>采购包1</w:t>
      </w:r>
      <w:r>
        <w:rPr>
          <w:rFonts w:hint="eastAsia" w:cs="仿宋"/>
          <w:b/>
          <w:bCs/>
          <w:color w:val="auto"/>
          <w:highlight w:val="none"/>
          <w:lang w:val="en-US" w:eastAsia="zh-CN"/>
        </w:rPr>
        <w:t>：</w:t>
      </w:r>
      <w:r>
        <w:rPr>
          <w:rFonts w:hint="eastAsia" w:ascii="仿宋" w:hAnsi="仿宋" w:eastAsia="仿宋" w:cs="仿宋"/>
          <w:b/>
          <w:bCs/>
          <w:color w:val="auto"/>
          <w:highlight w:val="none"/>
          <w:lang w:val="en-US" w:eastAsia="zh-CN"/>
        </w:rPr>
        <w:t>万江街道新村片区智慧城市改造工程项目二期）</w:t>
      </w:r>
    </w:p>
    <w:tbl>
      <w:tblPr>
        <w:tblStyle w:val="16"/>
        <w:tblW w:w="929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36"/>
        <w:gridCol w:w="818"/>
        <w:gridCol w:w="1467"/>
        <w:gridCol w:w="1118"/>
        <w:gridCol w:w="600"/>
        <w:gridCol w:w="573"/>
        <w:gridCol w:w="1298"/>
        <w:gridCol w:w="1364"/>
        <w:gridCol w:w="706"/>
        <w:gridCol w:w="91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序号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核心产品要求（“△”）</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品目名称</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标的名称</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单位</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数量</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分项预算单价（元）</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分项预算总价（元）</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所属</w:t>
            </w:r>
          </w:p>
          <w:p>
            <w:pPr>
              <w:keepNext w:val="0"/>
              <w:keepLines w:val="0"/>
              <w:pageBreakBefore w:val="0"/>
              <w:widowControl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行业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技术</w:t>
            </w:r>
          </w:p>
          <w:p>
            <w:pPr>
              <w:keepNext w:val="0"/>
              <w:keepLines w:val="0"/>
              <w:pageBreakBefore w:val="0"/>
              <w:widowControl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生态反向卡口一体化抓拍单元</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highlight w:val="none"/>
                <w:u w:val="none"/>
                <w:lang w:val="en-US" w:eastAsia="zh-CN" w:bidi="ar"/>
              </w:rPr>
              <w:t>台</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89</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12689.71</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1129384.19</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sz w:val="24"/>
                <w:szCs w:val="24"/>
                <w:highlight w:val="none"/>
                <w:lang w:val="en-US" w:eastAsia="zh-CN"/>
              </w:rPr>
              <w:t>2</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高清镜头</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台</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89</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1473.64</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131153.96</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sz w:val="24"/>
                <w:szCs w:val="24"/>
                <w:highlight w:val="none"/>
                <w:lang w:val="en-US" w:eastAsia="zh-CN"/>
              </w:rPr>
              <w:t>3</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移动违法取证抓拍球机</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ab/>
            </w:r>
            <w:r>
              <w:rPr>
                <w:rFonts w:hint="eastAsia" w:ascii="仿宋" w:hAnsi="仿宋" w:eastAsia="仿宋" w:cs="仿宋"/>
                <w:i w:val="0"/>
                <w:iCs w:val="0"/>
                <w:color w:val="000000"/>
                <w:kern w:val="0"/>
                <w:sz w:val="24"/>
                <w:szCs w:val="24"/>
                <w:highlight w:val="none"/>
                <w:u w:val="none"/>
                <w:lang w:val="en-US" w:eastAsia="zh-CN" w:bidi="ar"/>
              </w:rPr>
              <w:t>台</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89</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22923.34</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2040177.26</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详见“附表一”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全方位视觉感知球机</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台</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140</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10888.59</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1524402.6</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移动布控球</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台</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10</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24560.73</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245607.3</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双舱感知人像抓拍摄像机</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台</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12</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7368.22</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88418.64</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智能高清摄像机</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台</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116</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3684.11</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427356.76</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详见“附表一”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8</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智慧管控终端</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台</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48</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7777.56</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373322.88</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详见“附表一”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9</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智慧管控终端</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台</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2</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9824.29</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19648.58</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10</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智能车辆感知一体机</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台</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5</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23742.03</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118710.15</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生态光学补光灯</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台</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127</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1514.58</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192351.66</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12</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生态频闪补光灯</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台</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5</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2210.47</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11052.35</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13</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多合1生态智能补光灯</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台</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155</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2783.55</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431450.25</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14</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壁装横臂</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根</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120</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459.29</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55114.8</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15</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标线</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m</w:t>
            </w:r>
            <w:r>
              <w:rPr>
                <w:rFonts w:hint="eastAsia" w:ascii="仿宋" w:hAnsi="仿宋" w:eastAsia="仿宋" w:cs="仿宋"/>
                <w:i w:val="0"/>
                <w:iCs w:val="0"/>
                <w:color w:val="000000"/>
                <w:kern w:val="0"/>
                <w:sz w:val="24"/>
                <w:szCs w:val="24"/>
                <w:highlight w:val="none"/>
                <w:u w:val="none"/>
                <w:vertAlign w:val="superscript"/>
                <w:lang w:val="en-US" w:eastAsia="zh-CN" w:bidi="ar"/>
              </w:rPr>
              <w:t>2</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14240</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42.57</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606196.8</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16</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补光设备绝缘导线</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米</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4350</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3.68</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16008</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17</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穿线手井</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个</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88</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769.57</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67722.16</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18</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电表</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个</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114</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85.14</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9705.96</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19</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电表箱</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个</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114</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85.14</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9705.96</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20</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电警管理平台软件授权</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项</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89</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11052.33</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983657.37</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交通违法抓拍警示牌</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个</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285</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1350.84</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384989.4</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22</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电气配管</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米</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23850</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10.64</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253764</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23</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杆件雷电防护地网</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套</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88</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654.95</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57635.6</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24</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感知设备绝缘导线</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米</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5275</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5.57</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29381.75</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25</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高能锂电模块</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块</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178</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3274.76</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582907.28</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26</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高清视频监控3.5米支撑杆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套</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8</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2362.74</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18901.92</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27</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高清视频监控3.5米支撑杆地脚笼</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套</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8</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324.2</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2593.6</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28</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高清视频监控3.5米支撑杆基础</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套</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8</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1424.52</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11396.16</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29</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高清视频监控6米支撑杆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套</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43</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4322.69</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185875.67</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30</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高清视频监控6米支撑杆地脚笼</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套</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43</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432.27</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18587.61</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高清视频监控6米支撑杆基础</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套</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43</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3076.97</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132309.71</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32</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电警6.5米*10-12米支撑杆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套</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13</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9169.34</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119201.42</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33</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电警6.5米*10-12米支撑杆地脚笼</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套</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13</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432.27</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5619.51</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34</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电警6.5米*10-12米支撑杆基础</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套</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13</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5075.88</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65986.44</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35</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电警6.5米*14-16-18米支撑杆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套</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17560.92</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17560.92</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36</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电警6.5米*14-16-18米支撑杆地脚笼</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套</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1170.73</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1170.73</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37</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电警6.5米*14-16-18米支撑杆基础</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套</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11052.33</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11052.33</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38</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电警6.5米*6米支撑杆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套</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5</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5043.14</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25215.7</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39</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电警6.5米*6米支撑杆地脚笼</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套</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5</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432.27</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2161.35</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40</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电警6.5米*6米支撑杆基础</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套</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5</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3111.03</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15555.15</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光纤</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米</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750</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9.82</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7365</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42</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互联通信模块</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个</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89</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2456.07</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218590.23</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43</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集中式终端控制器</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台</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5</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9824.29</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49121.45</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44</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接地线</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米</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980</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26.2</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25676</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45</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接线端子</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个</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247</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64.68</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15975.96</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46</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禁停牌</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个</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178</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409.35</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72864.3</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47</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警示牌立杆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套</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5</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951.32</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4756.6</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48</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警示牌立杆基础</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套</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5</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900.56</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4502.8</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49</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绝缘导线RVV3*4</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米</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25550</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9.01</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230205.5</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50</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六类非屏蔽双绞线</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米</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3225</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4.5</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14512.5</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配电自动重合闸开关</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个</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247</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234.96</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58035.12</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52</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球机适配支架</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个</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140</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243.15</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34041</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53</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市政引入敷设开挖</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米</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23950</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147.36</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3529272</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54</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数据通信卡</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项</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89</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3890.42</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346247.38</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55</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水晶头</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个</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1830</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0.82</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1500.6</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56</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太阳能光伏板（含一体化支架）</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块</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178</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6549.53</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1165816.34</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57</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万向支架</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个</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531</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81.05</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43037.55</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58</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引上布管</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米</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2400</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17.19</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41256</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59</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智能射频识别天线</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台</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10</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1637.38</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16373.8</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60</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智能综合落地柜</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套</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50</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4748.41</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237420.5</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智能综合落地柜基础</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个</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50</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695.89</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34794.5</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62</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智能综合一体柜</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套</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178</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3029.16</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539190.48</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详见“附表一”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63</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工业级网管交换机</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台</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235</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1228.04</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288589.4</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64</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汇聚交换机</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台</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2</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4830.28</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9660.56</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65</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视频图像存储服务器</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台</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3</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135493.33</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406479.99</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66</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企业级高性能硬盘</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片</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84</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4830.28</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405743.52</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67</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万兆光模块</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块</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6</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214.5</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1287</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68</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本级监控通道数</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路</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600</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65.5</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39300</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69</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cs="仿宋"/>
                <w:i w:val="0"/>
                <w:iCs w:val="0"/>
                <w:color w:val="000000"/>
                <w:kern w:val="0"/>
                <w:sz w:val="24"/>
                <w:szCs w:val="24"/>
                <w:u w:val="none"/>
                <w:lang w:val="en-US" w:eastAsia="zh-CN" w:bidi="ar"/>
              </w:rPr>
              <w:t>3年</w:t>
            </w:r>
            <w:r>
              <w:rPr>
                <w:rFonts w:hint="eastAsia" w:ascii="仿宋" w:hAnsi="仿宋" w:eastAsia="仿宋" w:cs="仿宋"/>
                <w:i w:val="0"/>
                <w:iCs w:val="0"/>
                <w:color w:val="000000"/>
                <w:kern w:val="0"/>
                <w:sz w:val="24"/>
                <w:szCs w:val="24"/>
                <w:u w:val="none"/>
                <w:lang w:val="en-US" w:eastAsia="zh-CN" w:bidi="ar"/>
              </w:rPr>
              <w:t>数据传输链路</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条</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97</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15228</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1477116</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70</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3年运营电费</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点</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113</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2340</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264420</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cs="仿宋"/>
                <w:i w:val="0"/>
                <w:iCs w:val="0"/>
                <w:color w:val="000000"/>
                <w:kern w:val="0"/>
                <w:sz w:val="24"/>
                <w:szCs w:val="24"/>
                <w:u w:val="none"/>
                <w:lang w:val="en-US" w:eastAsia="zh-CN" w:bidi="ar"/>
              </w:rPr>
              <w:t>3名</w:t>
            </w:r>
            <w:r>
              <w:rPr>
                <w:rFonts w:hint="eastAsia" w:ascii="仿宋" w:hAnsi="仿宋" w:eastAsia="仿宋" w:cs="仿宋"/>
                <w:i w:val="0"/>
                <w:iCs w:val="0"/>
                <w:color w:val="000000"/>
                <w:kern w:val="0"/>
                <w:sz w:val="24"/>
                <w:szCs w:val="24"/>
                <w:u w:val="none"/>
                <w:lang w:val="en-US" w:eastAsia="zh-CN" w:bidi="ar"/>
              </w:rPr>
              <w:t>驻点人员运维费</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left="0" w:leftChars="0" w:firstLine="0" w:firstLineChars="0"/>
              <w:jc w:val="left"/>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年</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374400</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374400</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72</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信号灯</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套</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32</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1864.5</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59664</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73</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主机兼容技术服务费</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路口</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4</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1000</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4000</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74</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高空作业车</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台班</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4</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1550</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6200</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75</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管道预埋</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m</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80</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72.5</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5800</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both"/>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76</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配管</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m</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80</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33.9</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2712</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77</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配线</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套</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254</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7.54</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1915.16</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78</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标杆【单立柱φ89×6×3000单牌标志杆】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套</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2</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1073.5</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2147</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79</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标杆基础【单立柱φ89×6×3000单牌标志杆】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m</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2</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1073.5</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2147</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80</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信号灯</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套</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2</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1356</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2712</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工业</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rPr>
            </w:pPr>
          </w:p>
        </w:tc>
      </w:tr>
    </w:tbl>
    <w:p>
      <w:pPr>
        <w:bidi w:val="0"/>
        <w:rPr>
          <w:rFonts w:hint="eastAsia"/>
          <w:b/>
          <w:bCs/>
          <w:highlight w:val="none"/>
          <w:lang w:val="en-US" w:eastAsia="zh-CN"/>
        </w:rPr>
      </w:pPr>
    </w:p>
    <w:p>
      <w:pPr>
        <w:bidi w:val="0"/>
        <w:outlineLvl w:val="2"/>
        <w:rPr>
          <w:rFonts w:hint="default"/>
          <w:b/>
          <w:bCs/>
          <w:highlight w:val="none"/>
          <w:lang w:val="en-US" w:eastAsia="zh-CN"/>
        </w:rPr>
      </w:pPr>
      <w:r>
        <w:rPr>
          <w:rFonts w:hint="eastAsia"/>
          <w:b/>
          <w:bCs/>
          <w:highlight w:val="none"/>
          <w:lang w:val="en-US" w:eastAsia="zh-CN"/>
        </w:rPr>
        <w:t>附表一：</w:t>
      </w:r>
      <w:r>
        <w:rPr>
          <w:rFonts w:hint="eastAsia" w:ascii="仿宋" w:hAnsi="仿宋" w:eastAsia="仿宋" w:cs="仿宋"/>
          <w:b/>
          <w:bCs/>
          <w:color w:val="auto"/>
          <w:highlight w:val="none"/>
          <w:lang w:val="en-US" w:eastAsia="zh-CN"/>
        </w:rPr>
        <w:t>万江街道新村片区智慧城市改造工程项目二期</w:t>
      </w:r>
    </w:p>
    <w:tbl>
      <w:tblPr>
        <w:tblStyle w:val="16"/>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813"/>
        <w:gridCol w:w="750"/>
        <w:gridCol w:w="878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13" w:type="dxa"/>
            <w:vAlign w:val="center"/>
          </w:tcPr>
          <w:p>
            <w:pPr>
              <w:pStyle w:val="25"/>
              <w:bidi w:val="0"/>
              <w:rPr>
                <w:rFonts w:hint="eastAsia"/>
                <w:highlight w:val="none"/>
              </w:rPr>
            </w:pPr>
            <w:r>
              <w:rPr>
                <w:rFonts w:hint="eastAsia"/>
                <w:highlight w:val="none"/>
              </w:rPr>
              <w:t>参数性质</w:t>
            </w:r>
          </w:p>
        </w:tc>
        <w:tc>
          <w:tcPr>
            <w:tcW w:w="750" w:type="dxa"/>
            <w:tcBorders>
              <w:bottom w:val="single" w:color="auto" w:sz="4" w:space="0"/>
            </w:tcBorders>
            <w:vAlign w:val="center"/>
          </w:tcPr>
          <w:p>
            <w:pPr>
              <w:pStyle w:val="25"/>
              <w:bidi w:val="0"/>
              <w:rPr>
                <w:rFonts w:hint="eastAsia"/>
                <w:highlight w:val="none"/>
              </w:rPr>
            </w:pPr>
            <w:r>
              <w:rPr>
                <w:rFonts w:hint="eastAsia"/>
                <w:highlight w:val="none"/>
              </w:rPr>
              <w:t>序号</w:t>
            </w:r>
          </w:p>
        </w:tc>
        <w:tc>
          <w:tcPr>
            <w:tcW w:w="8782" w:type="dxa"/>
            <w:tcBorders>
              <w:bottom w:val="single" w:color="auto" w:sz="4" w:space="0"/>
            </w:tcBorders>
            <w:vAlign w:val="center"/>
          </w:tcPr>
          <w:p>
            <w:pPr>
              <w:pStyle w:val="25"/>
              <w:bidi w:val="0"/>
              <w:rPr>
                <w:rFonts w:hint="eastAsia"/>
                <w:highlight w:val="none"/>
              </w:rPr>
            </w:pPr>
            <w:r>
              <w:rPr>
                <w:rFonts w:hint="eastAsia"/>
                <w:highlight w:val="none"/>
              </w:rPr>
              <w:t>具体技术(参数)要求</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13" w:type="dxa"/>
            <w:tcBorders>
              <w:right w:val="single" w:color="auto" w:sz="4" w:space="0"/>
            </w:tcBorders>
            <w:vAlign w:val="center"/>
          </w:tcPr>
          <w:p>
            <w:pPr>
              <w:pStyle w:val="25"/>
              <w:bidi w:val="0"/>
              <w:rPr>
                <w:rFonts w:hint="eastAsia"/>
                <w:highlight w:val="none"/>
              </w:rPr>
            </w:pPr>
          </w:p>
        </w:tc>
        <w:tc>
          <w:tcPr>
            <w:tcW w:w="750" w:type="dxa"/>
            <w:tcBorders>
              <w:top w:val="single" w:color="auto" w:sz="4" w:space="0"/>
              <w:left w:val="single" w:color="auto" w:sz="4" w:space="0"/>
              <w:bottom w:val="single" w:color="auto" w:sz="4" w:space="0"/>
            </w:tcBorders>
            <w:vAlign w:val="center"/>
          </w:tcPr>
          <w:p>
            <w:pPr>
              <w:pStyle w:val="25"/>
              <w:bidi w:val="0"/>
              <w:rPr>
                <w:rFonts w:hint="eastAsia"/>
                <w:highlight w:val="none"/>
              </w:rPr>
            </w:pPr>
            <w:r>
              <w:rPr>
                <w:rFonts w:hint="eastAsia"/>
                <w:highlight w:val="none"/>
              </w:rPr>
              <w:t>1</w:t>
            </w:r>
          </w:p>
        </w:tc>
        <w:tc>
          <w:tcPr>
            <w:tcW w:w="8782" w:type="dxa"/>
            <w:tcBorders>
              <w:top w:val="single" w:color="auto" w:sz="4" w:space="0"/>
              <w:bottom w:val="single" w:color="auto" w:sz="4" w:space="0"/>
              <w:right w:val="single" w:color="auto" w:sz="4" w:space="0"/>
            </w:tcBorders>
          </w:tcPr>
          <w:tbl>
            <w:tblPr>
              <w:tblStyle w:val="17"/>
              <w:tblW w:w="85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07"/>
              <w:gridCol w:w="1110"/>
              <w:gridCol w:w="67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8" w:hRule="atLeast"/>
                <w:jc w:val="center"/>
              </w:trPr>
              <w:tc>
                <w:tcPr>
                  <w:tcW w:w="707" w:type="dxa"/>
                  <w:shd w:val="clear" w:color="auto" w:fill="auto"/>
                  <w:vAlign w:val="center"/>
                </w:tcPr>
                <w:p>
                  <w:pPr>
                    <w:pStyle w:val="25"/>
                    <w:keepNext w:val="0"/>
                    <w:keepLines w:val="0"/>
                    <w:pageBreakBefore w:val="0"/>
                    <w:kinsoku/>
                    <w:wordWrap w:val="0"/>
                    <w:overflowPunct/>
                    <w:topLinePunct w:val="0"/>
                    <w:autoSpaceDE w:val="0"/>
                    <w:autoSpaceDN w:val="0"/>
                    <w:bidi w:val="0"/>
                    <w:adjustRightInd/>
                    <w:snapToGrid/>
                    <w:ind w:firstLine="0" w:firstLineChars="0"/>
                    <w:textAlignment w:val="auto"/>
                    <w:rPr>
                      <w:rFonts w:hint="eastAsia"/>
                      <w:highlight w:val="none"/>
                      <w:lang w:val="en-US" w:eastAsia="zh-CN"/>
                    </w:rPr>
                  </w:pPr>
                  <w:r>
                    <w:rPr>
                      <w:rFonts w:hint="eastAsia"/>
                      <w:highlight w:val="none"/>
                      <w:lang w:val="en-US" w:eastAsia="zh-CN"/>
                    </w:rPr>
                    <w:t>1</w:t>
                  </w:r>
                </w:p>
              </w:tc>
              <w:tc>
                <w:tcPr>
                  <w:tcW w:w="1110" w:type="dxa"/>
                  <w:shd w:val="clear" w:color="auto" w:fill="auto"/>
                  <w:vAlign w:val="center"/>
                </w:tcPr>
                <w:p>
                  <w:pPr>
                    <w:pStyle w:val="25"/>
                    <w:keepNext w:val="0"/>
                    <w:keepLines w:val="0"/>
                    <w:pageBreakBefore w:val="0"/>
                    <w:kinsoku/>
                    <w:wordWrap w:val="0"/>
                    <w:overflowPunct/>
                    <w:topLinePunct w:val="0"/>
                    <w:autoSpaceDE w:val="0"/>
                    <w:autoSpaceDN w:val="0"/>
                    <w:bidi w:val="0"/>
                    <w:adjustRightInd/>
                    <w:snapToGrid/>
                    <w:ind w:firstLine="0" w:firstLineChars="0"/>
                    <w:textAlignment w:val="auto"/>
                    <w:rPr>
                      <w:rFonts w:hint="eastAsia"/>
                      <w:highlight w:val="none"/>
                      <w:lang w:val="en-US" w:eastAsia="zh-CN"/>
                    </w:rPr>
                  </w:pPr>
                  <w:r>
                    <w:rPr>
                      <w:rFonts w:hint="eastAsia"/>
                      <w:highlight w:val="none"/>
                    </w:rPr>
                    <w:t>智能高清摄像机</w:t>
                  </w:r>
                </w:p>
              </w:tc>
              <w:tc>
                <w:tcPr>
                  <w:tcW w:w="6749" w:type="dxa"/>
                  <w:shd w:val="clear" w:color="auto" w:fill="auto"/>
                  <w:vAlign w:val="center"/>
                </w:tcPr>
                <w:p>
                  <w:pPr>
                    <w:keepNext w:val="0"/>
                    <w:keepLines w:val="0"/>
                    <w:pageBreakBefore w:val="0"/>
                    <w:widowControl/>
                    <w:kinsoku/>
                    <w:wordWrap w:val="0"/>
                    <w:overflowPunct/>
                    <w:topLinePunct w:val="0"/>
                    <w:autoSpaceDE w:val="0"/>
                    <w:autoSpaceDN w:val="0"/>
                    <w:bidi w:val="0"/>
                    <w:adjustRightInd/>
                    <w:snapToGrid/>
                    <w:spacing w:line="240" w:lineRule="auto"/>
                    <w:ind w:firstLine="400" w:firstLineChars="200"/>
                    <w:jc w:val="left"/>
                    <w:textAlignment w:val="auto"/>
                    <w:rPr>
                      <w:rFonts w:hint="eastAsia" w:ascii="仿宋" w:hAnsi="仿宋" w:eastAsia="仿宋" w:cs="宋体"/>
                      <w:kern w:val="0"/>
                      <w:sz w:val="20"/>
                      <w:szCs w:val="20"/>
                      <w:highlight w:val="none"/>
                      <w:lang w:val="en-US" w:eastAsia="zh-CN" w:bidi="ar-SA"/>
                    </w:rPr>
                  </w:pPr>
                  <w:r>
                    <w:rPr>
                      <w:rFonts w:hint="eastAsia" w:ascii="仿宋" w:hAnsi="仿宋" w:eastAsia="仿宋" w:cs="宋体"/>
                      <w:kern w:val="0"/>
                      <w:sz w:val="20"/>
                      <w:szCs w:val="20"/>
                      <w:highlight w:val="none"/>
                      <w:lang w:val="en-US" w:eastAsia="zh-CN" w:bidi="ar-SA"/>
                    </w:rPr>
                    <w:t>1.分辨率≥3840×2160；传感器靶面≥1/1.8"，镜头焦距≥2.8-12mm；</w:t>
                  </w:r>
                </w:p>
                <w:p>
                  <w:pPr>
                    <w:keepNext w:val="0"/>
                    <w:keepLines w:val="0"/>
                    <w:pageBreakBefore w:val="0"/>
                    <w:widowControl/>
                    <w:kinsoku/>
                    <w:wordWrap w:val="0"/>
                    <w:overflowPunct/>
                    <w:topLinePunct w:val="0"/>
                    <w:autoSpaceDE w:val="0"/>
                    <w:autoSpaceDN w:val="0"/>
                    <w:bidi w:val="0"/>
                    <w:adjustRightInd/>
                    <w:snapToGrid/>
                    <w:spacing w:line="240" w:lineRule="auto"/>
                    <w:ind w:firstLine="400" w:firstLineChars="200"/>
                    <w:jc w:val="left"/>
                    <w:textAlignment w:val="auto"/>
                    <w:rPr>
                      <w:rFonts w:hint="eastAsia" w:ascii="仿宋" w:hAnsi="仿宋" w:eastAsia="仿宋" w:cs="宋体"/>
                      <w:kern w:val="0"/>
                      <w:sz w:val="20"/>
                      <w:szCs w:val="20"/>
                      <w:highlight w:val="none"/>
                      <w:lang w:val="en-US" w:eastAsia="zh-CN" w:bidi="ar-SA"/>
                    </w:rPr>
                  </w:pPr>
                  <w:r>
                    <w:rPr>
                      <w:rFonts w:hint="eastAsia" w:ascii="仿宋" w:hAnsi="仿宋" w:eastAsia="仿宋" w:cs="宋体"/>
                      <w:kern w:val="0"/>
                      <w:sz w:val="20"/>
                      <w:szCs w:val="20"/>
                      <w:highlight w:val="none"/>
                      <w:lang w:val="en-US" w:eastAsia="zh-CN" w:bidi="ar-SA"/>
                    </w:rPr>
                    <w:t>2.内置</w:t>
                  </w:r>
                  <w:bookmarkStart w:id="13" w:name="_GoBack"/>
                  <w:r>
                    <w:rPr>
                      <w:rFonts w:hint="eastAsia" w:ascii="仿宋" w:hAnsi="仿宋" w:eastAsia="仿宋" w:cs="宋体"/>
                      <w:kern w:val="0"/>
                      <w:sz w:val="20"/>
                      <w:szCs w:val="20"/>
                      <w:highlight w:val="none"/>
                      <w:lang w:val="en-US" w:eastAsia="zh-CN" w:bidi="ar-SA"/>
                    </w:rPr>
                    <w:t>≥</w:t>
                  </w:r>
                  <w:bookmarkEnd w:id="13"/>
                  <w:r>
                    <w:rPr>
                      <w:rFonts w:hint="eastAsia" w:ascii="仿宋" w:hAnsi="仿宋" w:eastAsia="仿宋" w:cs="宋体"/>
                      <w:kern w:val="0"/>
                      <w:sz w:val="20"/>
                      <w:szCs w:val="20"/>
                      <w:highlight w:val="none"/>
                      <w:lang w:val="en-US" w:eastAsia="zh-CN" w:bidi="ar-SA"/>
                    </w:rPr>
                    <w:t>1个CPU、GPU、NPU—体化芯片；</w:t>
                  </w:r>
                </w:p>
                <w:p>
                  <w:pPr>
                    <w:keepNext w:val="0"/>
                    <w:keepLines w:val="0"/>
                    <w:pageBreakBefore w:val="0"/>
                    <w:widowControl/>
                    <w:kinsoku/>
                    <w:wordWrap w:val="0"/>
                    <w:overflowPunct/>
                    <w:topLinePunct w:val="0"/>
                    <w:autoSpaceDE w:val="0"/>
                    <w:autoSpaceDN w:val="0"/>
                    <w:bidi w:val="0"/>
                    <w:adjustRightInd/>
                    <w:snapToGrid/>
                    <w:spacing w:line="240" w:lineRule="auto"/>
                    <w:ind w:firstLine="400" w:firstLineChars="200"/>
                    <w:jc w:val="left"/>
                    <w:textAlignment w:val="auto"/>
                    <w:rPr>
                      <w:rFonts w:hint="eastAsia" w:ascii="仿宋" w:hAnsi="仿宋" w:eastAsia="仿宋" w:cs="宋体"/>
                      <w:kern w:val="0"/>
                      <w:sz w:val="20"/>
                      <w:szCs w:val="20"/>
                      <w:highlight w:val="none"/>
                      <w:lang w:val="en-US" w:eastAsia="zh-CN" w:bidi="ar-SA"/>
                    </w:rPr>
                  </w:pPr>
                  <w:r>
                    <w:rPr>
                      <w:rFonts w:hint="eastAsia" w:ascii="仿宋" w:hAnsi="仿宋" w:eastAsia="仿宋" w:cs="宋体"/>
                      <w:kern w:val="0"/>
                      <w:sz w:val="20"/>
                      <w:szCs w:val="20"/>
                      <w:highlight w:val="none"/>
                      <w:lang w:val="en-US" w:eastAsia="zh-CN" w:bidi="ar-SA"/>
                    </w:rPr>
                    <w:t>3.内置红外和柔光补光，红外补光距离≥50米，柔光≥30米；</w:t>
                  </w:r>
                </w:p>
                <w:p>
                  <w:pPr>
                    <w:keepNext w:val="0"/>
                    <w:keepLines w:val="0"/>
                    <w:pageBreakBefore w:val="0"/>
                    <w:widowControl/>
                    <w:kinsoku/>
                    <w:wordWrap w:val="0"/>
                    <w:overflowPunct/>
                    <w:topLinePunct w:val="0"/>
                    <w:autoSpaceDE w:val="0"/>
                    <w:autoSpaceDN w:val="0"/>
                    <w:bidi w:val="0"/>
                    <w:adjustRightInd/>
                    <w:snapToGrid/>
                    <w:spacing w:line="240" w:lineRule="auto"/>
                    <w:ind w:firstLine="400" w:firstLineChars="200"/>
                    <w:jc w:val="left"/>
                    <w:textAlignment w:val="auto"/>
                    <w:rPr>
                      <w:rFonts w:hint="eastAsia" w:ascii="仿宋" w:hAnsi="仿宋" w:eastAsia="仿宋" w:cs="宋体"/>
                      <w:kern w:val="0"/>
                      <w:sz w:val="20"/>
                      <w:szCs w:val="20"/>
                      <w:highlight w:val="none"/>
                      <w:lang w:val="en-US" w:eastAsia="zh-CN" w:bidi="ar-SA"/>
                    </w:rPr>
                  </w:pPr>
                  <w:r>
                    <w:rPr>
                      <w:rFonts w:hint="eastAsia" w:ascii="仿宋" w:hAnsi="仿宋" w:eastAsia="仿宋" w:cs="宋体"/>
                      <w:kern w:val="0"/>
                      <w:sz w:val="20"/>
                      <w:szCs w:val="20"/>
                      <w:highlight w:val="none"/>
                      <w:lang w:val="en-US" w:eastAsia="zh-CN" w:bidi="ar-SA"/>
                    </w:rPr>
                    <w:t>4.支持下面5种多算法切换运行：</w:t>
                  </w:r>
                </w:p>
                <w:p>
                  <w:pPr>
                    <w:keepNext w:val="0"/>
                    <w:keepLines w:val="0"/>
                    <w:pageBreakBefore w:val="0"/>
                    <w:widowControl/>
                    <w:kinsoku/>
                    <w:wordWrap w:val="0"/>
                    <w:overflowPunct/>
                    <w:topLinePunct w:val="0"/>
                    <w:autoSpaceDE w:val="0"/>
                    <w:autoSpaceDN w:val="0"/>
                    <w:bidi w:val="0"/>
                    <w:adjustRightInd/>
                    <w:snapToGrid/>
                    <w:spacing w:line="240" w:lineRule="auto"/>
                    <w:ind w:firstLine="400" w:firstLineChars="200"/>
                    <w:jc w:val="left"/>
                    <w:textAlignment w:val="auto"/>
                    <w:rPr>
                      <w:rFonts w:hint="eastAsia" w:ascii="仿宋" w:hAnsi="仿宋" w:eastAsia="仿宋" w:cs="宋体"/>
                      <w:kern w:val="0"/>
                      <w:sz w:val="20"/>
                      <w:szCs w:val="20"/>
                      <w:highlight w:val="none"/>
                      <w:lang w:val="en-US" w:eastAsia="zh-CN" w:bidi="ar-SA"/>
                    </w:rPr>
                  </w:pPr>
                  <w:r>
                    <w:rPr>
                      <w:rFonts w:hint="eastAsia" w:ascii="仿宋" w:hAnsi="仿宋" w:eastAsia="仿宋" w:cs="宋体"/>
                      <w:kern w:val="0"/>
                      <w:sz w:val="20"/>
                      <w:szCs w:val="20"/>
                      <w:highlight w:val="none"/>
                      <w:lang w:val="en-US" w:eastAsia="zh-CN" w:bidi="ar-SA"/>
                    </w:rPr>
                    <w:t>1）目标智能2）车辆智能3）行为分析智能4）态势分析智能5）普通事件分析</w:t>
                  </w:r>
                </w:p>
                <w:p>
                  <w:pPr>
                    <w:keepNext w:val="0"/>
                    <w:keepLines w:val="0"/>
                    <w:pageBreakBefore w:val="0"/>
                    <w:widowControl/>
                    <w:kinsoku/>
                    <w:wordWrap w:val="0"/>
                    <w:overflowPunct/>
                    <w:topLinePunct w:val="0"/>
                    <w:autoSpaceDE w:val="0"/>
                    <w:autoSpaceDN w:val="0"/>
                    <w:bidi w:val="0"/>
                    <w:adjustRightInd/>
                    <w:snapToGrid/>
                    <w:spacing w:line="240" w:lineRule="auto"/>
                    <w:ind w:firstLine="400" w:firstLineChars="200"/>
                    <w:jc w:val="left"/>
                    <w:textAlignment w:val="auto"/>
                    <w:rPr>
                      <w:rFonts w:hint="eastAsia" w:ascii="仿宋" w:hAnsi="仿宋" w:eastAsia="仿宋" w:cs="宋体"/>
                      <w:kern w:val="0"/>
                      <w:sz w:val="20"/>
                      <w:szCs w:val="20"/>
                      <w:highlight w:val="none"/>
                      <w:lang w:val="en-US" w:eastAsia="zh-CN" w:bidi="ar-SA"/>
                    </w:rPr>
                  </w:pPr>
                  <w:r>
                    <w:rPr>
                      <w:rFonts w:hint="eastAsia" w:ascii="仿宋" w:hAnsi="仿宋" w:eastAsia="仿宋" w:cs="宋体"/>
                      <w:kern w:val="0"/>
                      <w:sz w:val="20"/>
                      <w:szCs w:val="20"/>
                      <w:highlight w:val="none"/>
                      <w:lang w:val="en-US" w:eastAsia="zh-CN" w:bidi="ar-SA"/>
                    </w:rPr>
                    <w:t>5.支持多角度人脸检测功能，支持检出水平转动角不超过±90°，俯仰角不超过±60°，倾斜角不超过±45°姿态角度的人脸抓拍；支持对运动人脸进行检测、跟踪、抓拍、评分、筛选，输出最优的人脸抓拍图，最佳人脸抓拍模式支持单张或多张目标快照输出，人脸抓拍率≥99%，支持对最佳人脸抓拍图片筛选去重，重复率≤1%；</w:t>
                  </w:r>
                </w:p>
                <w:p>
                  <w:pPr>
                    <w:keepNext w:val="0"/>
                    <w:keepLines w:val="0"/>
                    <w:pageBreakBefore w:val="0"/>
                    <w:widowControl/>
                    <w:kinsoku/>
                    <w:wordWrap w:val="0"/>
                    <w:overflowPunct/>
                    <w:topLinePunct w:val="0"/>
                    <w:autoSpaceDE w:val="0"/>
                    <w:autoSpaceDN w:val="0"/>
                    <w:bidi w:val="0"/>
                    <w:adjustRightInd/>
                    <w:snapToGrid/>
                    <w:spacing w:line="240" w:lineRule="auto"/>
                    <w:ind w:firstLine="400" w:firstLineChars="200"/>
                    <w:jc w:val="left"/>
                    <w:textAlignment w:val="auto"/>
                    <w:rPr>
                      <w:rFonts w:hint="eastAsia" w:ascii="仿宋" w:hAnsi="仿宋" w:eastAsia="仿宋" w:cs="宋体"/>
                      <w:kern w:val="0"/>
                      <w:sz w:val="20"/>
                      <w:szCs w:val="20"/>
                      <w:highlight w:val="none"/>
                      <w:lang w:val="en-US" w:eastAsia="zh-CN" w:bidi="ar-SA"/>
                    </w:rPr>
                  </w:pPr>
                  <w:r>
                    <w:rPr>
                      <w:rFonts w:hint="eastAsia" w:ascii="仿宋" w:hAnsi="仿宋" w:eastAsia="仿宋" w:cs="宋体"/>
                      <w:kern w:val="0"/>
                      <w:sz w:val="20"/>
                      <w:szCs w:val="20"/>
                      <w:highlight w:val="none"/>
                      <w:lang w:val="en-US" w:eastAsia="zh-CN" w:bidi="ar-SA"/>
                    </w:rPr>
                    <w:t>6.支持对经过监控画面中的行人进行（自上而下，自下而上）的人流量统计，支持双向通行的人数统计，准确率≥99%，支持报表统计，支持日报表、周报表、月报表、年报表；</w:t>
                  </w:r>
                </w:p>
                <w:p>
                  <w:pPr>
                    <w:keepNext w:val="0"/>
                    <w:keepLines w:val="0"/>
                    <w:pageBreakBefore w:val="0"/>
                    <w:widowControl/>
                    <w:kinsoku/>
                    <w:wordWrap w:val="0"/>
                    <w:overflowPunct/>
                    <w:topLinePunct w:val="0"/>
                    <w:autoSpaceDE w:val="0"/>
                    <w:autoSpaceDN w:val="0"/>
                    <w:bidi w:val="0"/>
                    <w:adjustRightInd/>
                    <w:snapToGrid/>
                    <w:spacing w:line="240" w:lineRule="auto"/>
                    <w:ind w:firstLine="400" w:firstLineChars="200"/>
                    <w:jc w:val="left"/>
                    <w:textAlignment w:val="auto"/>
                    <w:rPr>
                      <w:rFonts w:hint="eastAsia" w:ascii="仿宋" w:hAnsi="仿宋" w:eastAsia="仿宋" w:cs="宋体"/>
                      <w:kern w:val="0"/>
                      <w:sz w:val="20"/>
                      <w:szCs w:val="20"/>
                      <w:highlight w:val="none"/>
                      <w:lang w:val="en-US" w:eastAsia="zh-CN" w:bidi="ar-SA"/>
                    </w:rPr>
                  </w:pPr>
                  <w:r>
                    <w:rPr>
                      <w:rFonts w:hint="eastAsia" w:ascii="仿宋" w:hAnsi="仿宋" w:eastAsia="仿宋" w:cs="宋体"/>
                      <w:color w:val="0000FF"/>
                      <w:kern w:val="0"/>
                      <w:sz w:val="20"/>
                      <w:szCs w:val="20"/>
                      <w:highlight w:val="none"/>
                    </w:rPr>
                    <w:t>▲</w:t>
                  </w:r>
                  <w:r>
                    <w:rPr>
                      <w:rFonts w:hint="eastAsia" w:ascii="仿宋" w:hAnsi="仿宋" w:eastAsia="仿宋" w:cs="宋体"/>
                      <w:kern w:val="0"/>
                      <w:sz w:val="20"/>
                      <w:szCs w:val="20"/>
                      <w:highlight w:val="none"/>
                      <w:lang w:val="en-US" w:eastAsia="zh-CN" w:bidi="ar-SA"/>
                    </w:rPr>
                    <w:t>7.具有智能分析功能（如：</w:t>
                  </w:r>
                  <w:r>
                    <w:rPr>
                      <w:rFonts w:hint="eastAsia" w:cs="宋体"/>
                      <w:kern w:val="0"/>
                      <w:sz w:val="20"/>
                      <w:szCs w:val="20"/>
                      <w:highlight w:val="none"/>
                      <w:lang w:val="en-US" w:eastAsia="zh-CN" w:bidi="ar-SA"/>
                    </w:rPr>
                    <w:t>人员聚集、过线统计、区域</w:t>
                  </w:r>
                  <w:r>
                    <w:rPr>
                      <w:rFonts w:hint="eastAsia" w:ascii="仿宋" w:hAnsi="仿宋" w:eastAsia="仿宋" w:cs="宋体"/>
                      <w:kern w:val="0"/>
                      <w:sz w:val="20"/>
                      <w:szCs w:val="20"/>
                      <w:highlight w:val="none"/>
                      <w:lang w:val="en-US" w:eastAsia="zh-CN" w:bidi="ar-SA"/>
                    </w:rPr>
                    <w:t>入侵检测、越线检测、视频遮挡、场景变更、</w:t>
                  </w:r>
                  <w:r>
                    <w:rPr>
                      <w:rFonts w:hint="eastAsia" w:cs="宋体"/>
                      <w:kern w:val="0"/>
                      <w:sz w:val="20"/>
                      <w:szCs w:val="20"/>
                      <w:highlight w:val="none"/>
                      <w:lang w:val="en-US" w:eastAsia="zh-CN" w:bidi="ar-SA"/>
                    </w:rPr>
                    <w:t>虚焦检测、</w:t>
                  </w:r>
                  <w:r>
                    <w:rPr>
                      <w:rFonts w:hint="eastAsia" w:ascii="仿宋" w:hAnsi="仿宋" w:eastAsia="仿宋" w:cs="宋体"/>
                      <w:kern w:val="0"/>
                      <w:sz w:val="20"/>
                      <w:szCs w:val="20"/>
                      <w:highlight w:val="none"/>
                      <w:lang w:val="en-US" w:eastAsia="zh-CN" w:bidi="ar-SA"/>
                    </w:rPr>
                    <w:t>徘徊检测、遗留检测、物品移走检测、移动侦测、区域进入/离开、停车侦测）支持将智能分析结果传递至客户端。平均捕获率≥99%，平均准确率≥99%；</w:t>
                  </w:r>
                  <w:r>
                    <w:rPr>
                      <w:rFonts w:hint="eastAsia" w:cs="宋体"/>
                      <w:kern w:val="0"/>
                      <w:sz w:val="20"/>
                      <w:szCs w:val="20"/>
                      <w:highlight w:val="none"/>
                      <w:lang w:val="en-US" w:eastAsia="zh-CN" w:bidi="ar-SA"/>
                    </w:rPr>
                    <w:t>（须提供CNAS或</w:t>
                  </w:r>
                  <w:r>
                    <w:rPr>
                      <w:rFonts w:hint="default" w:cs="宋体"/>
                      <w:kern w:val="0"/>
                      <w:sz w:val="20"/>
                      <w:szCs w:val="20"/>
                      <w:highlight w:val="none"/>
                      <w:lang w:val="en-US" w:eastAsia="zh-CN" w:bidi="ar-SA"/>
                    </w:rPr>
                    <w:t>CMA</w:t>
                  </w:r>
                  <w:r>
                    <w:rPr>
                      <w:rFonts w:hint="eastAsia" w:cs="宋体"/>
                      <w:kern w:val="0"/>
                      <w:sz w:val="20"/>
                      <w:szCs w:val="20"/>
                      <w:highlight w:val="none"/>
                      <w:lang w:val="en-US" w:eastAsia="zh-CN" w:bidi="ar-SA"/>
                    </w:rPr>
                    <w:t>有效认证的检测机构出具的检测（验）报告等复印件并加盖投标人公章。）</w:t>
                  </w:r>
                </w:p>
                <w:p>
                  <w:pPr>
                    <w:keepNext w:val="0"/>
                    <w:keepLines w:val="0"/>
                    <w:pageBreakBefore w:val="0"/>
                    <w:widowControl/>
                    <w:kinsoku/>
                    <w:wordWrap w:val="0"/>
                    <w:overflowPunct/>
                    <w:topLinePunct w:val="0"/>
                    <w:autoSpaceDE w:val="0"/>
                    <w:autoSpaceDN w:val="0"/>
                    <w:bidi w:val="0"/>
                    <w:adjustRightInd/>
                    <w:snapToGrid/>
                    <w:spacing w:line="240" w:lineRule="auto"/>
                    <w:ind w:firstLine="400" w:firstLineChars="200"/>
                    <w:jc w:val="left"/>
                    <w:textAlignment w:val="auto"/>
                    <w:rPr>
                      <w:rFonts w:hint="eastAsia" w:ascii="仿宋" w:hAnsi="仿宋" w:eastAsia="仿宋" w:cs="宋体"/>
                      <w:kern w:val="0"/>
                      <w:sz w:val="20"/>
                      <w:szCs w:val="20"/>
                      <w:highlight w:val="none"/>
                      <w:lang w:val="en-US" w:eastAsia="zh-CN" w:bidi="ar-SA"/>
                    </w:rPr>
                  </w:pPr>
                  <w:r>
                    <w:rPr>
                      <w:rFonts w:hint="eastAsia" w:ascii="仿宋" w:hAnsi="仿宋" w:eastAsia="仿宋" w:cs="宋体"/>
                      <w:kern w:val="0"/>
                      <w:sz w:val="20"/>
                      <w:szCs w:val="20"/>
                      <w:highlight w:val="none"/>
                      <w:lang w:val="en-US" w:eastAsia="zh-CN" w:bidi="ar-SA"/>
                    </w:rPr>
                    <w:t>8.支持机动车、非机动车、行人等目标检测功能，其中非机动车抓拍可对自行车、电瓶车、三轮车进行抓拍，支持摩托车抓拍功能。支持对非机动车的骑行人进行属性识别，机动车和非机动车及行人捕获率不低于99%</w:t>
                  </w:r>
                </w:p>
                <w:p>
                  <w:pPr>
                    <w:keepNext w:val="0"/>
                    <w:keepLines w:val="0"/>
                    <w:pageBreakBefore w:val="0"/>
                    <w:widowControl/>
                    <w:kinsoku/>
                    <w:wordWrap w:val="0"/>
                    <w:overflowPunct/>
                    <w:topLinePunct w:val="0"/>
                    <w:autoSpaceDE w:val="0"/>
                    <w:autoSpaceDN w:val="0"/>
                    <w:bidi w:val="0"/>
                    <w:adjustRightInd/>
                    <w:snapToGrid/>
                    <w:spacing w:line="240" w:lineRule="auto"/>
                    <w:ind w:firstLine="400" w:firstLineChars="200"/>
                    <w:jc w:val="left"/>
                    <w:textAlignment w:val="auto"/>
                    <w:rPr>
                      <w:rFonts w:hint="eastAsia" w:ascii="仿宋" w:hAnsi="仿宋" w:eastAsia="仿宋" w:cs="宋体"/>
                      <w:kern w:val="0"/>
                      <w:sz w:val="20"/>
                      <w:szCs w:val="20"/>
                      <w:highlight w:val="none"/>
                      <w:lang w:val="en-US" w:eastAsia="zh-CN" w:bidi="ar-SA"/>
                    </w:rPr>
                  </w:pPr>
                  <w:r>
                    <w:rPr>
                      <w:rFonts w:hint="eastAsia" w:ascii="仿宋" w:hAnsi="仿宋" w:eastAsia="仿宋" w:cs="宋体"/>
                      <w:kern w:val="0"/>
                      <w:sz w:val="20"/>
                      <w:szCs w:val="20"/>
                      <w:highlight w:val="none"/>
                      <w:lang w:val="en-US" w:eastAsia="zh-CN" w:bidi="ar-SA"/>
                    </w:rPr>
                    <w:t>9.具有不少于如下接口：1个RJ45为10M/100M/1000M自适应网络接口、1路音频输入、1路音频输出、2路告警输入、1路告警输出、内置双路MIC、内置扬声器；</w:t>
                  </w:r>
                </w:p>
                <w:p>
                  <w:pPr>
                    <w:keepNext w:val="0"/>
                    <w:keepLines w:val="0"/>
                    <w:pageBreakBefore w:val="0"/>
                    <w:widowControl/>
                    <w:kinsoku/>
                    <w:wordWrap w:val="0"/>
                    <w:overflowPunct/>
                    <w:topLinePunct w:val="0"/>
                    <w:autoSpaceDE w:val="0"/>
                    <w:autoSpaceDN w:val="0"/>
                    <w:bidi w:val="0"/>
                    <w:adjustRightInd/>
                    <w:snapToGrid/>
                    <w:spacing w:line="240" w:lineRule="auto"/>
                    <w:ind w:firstLine="400" w:firstLineChars="200"/>
                    <w:jc w:val="left"/>
                    <w:textAlignment w:val="auto"/>
                    <w:rPr>
                      <w:rFonts w:hint="eastAsia" w:ascii="仿宋" w:hAnsi="仿宋" w:eastAsia="仿宋" w:cs="宋体"/>
                      <w:kern w:val="0"/>
                      <w:sz w:val="20"/>
                      <w:szCs w:val="20"/>
                      <w:highlight w:val="none"/>
                      <w:lang w:val="en-US" w:eastAsia="zh-CN" w:bidi="ar-SA"/>
                    </w:rPr>
                  </w:pPr>
                  <w:r>
                    <w:rPr>
                      <w:rFonts w:hint="eastAsia" w:ascii="仿宋" w:hAnsi="仿宋" w:eastAsia="仿宋" w:cs="宋体"/>
                      <w:kern w:val="0"/>
                      <w:sz w:val="20"/>
                      <w:szCs w:val="20"/>
                      <w:highlight w:val="none"/>
                      <w:lang w:val="en-US" w:eastAsia="zh-CN" w:bidi="ar-SA"/>
                    </w:rPr>
                    <w:t>10.应能在DC12V±30%范围内正常工作，支持POE供电；防护等级：IP67；</w:t>
                  </w:r>
                </w:p>
                <w:p>
                  <w:pPr>
                    <w:keepNext w:val="0"/>
                    <w:keepLines w:val="0"/>
                    <w:pageBreakBefore w:val="0"/>
                    <w:widowControl/>
                    <w:kinsoku/>
                    <w:wordWrap w:val="0"/>
                    <w:overflowPunct/>
                    <w:topLinePunct w:val="0"/>
                    <w:autoSpaceDE w:val="0"/>
                    <w:autoSpaceDN w:val="0"/>
                    <w:bidi w:val="0"/>
                    <w:adjustRightInd/>
                    <w:snapToGrid/>
                    <w:spacing w:line="240" w:lineRule="auto"/>
                    <w:ind w:firstLine="400" w:firstLineChars="200"/>
                    <w:jc w:val="left"/>
                    <w:textAlignment w:val="auto"/>
                    <w:rPr>
                      <w:rFonts w:hint="eastAsia" w:ascii="仿宋" w:hAnsi="仿宋" w:eastAsia="仿宋" w:cs="宋体"/>
                      <w:kern w:val="0"/>
                      <w:sz w:val="20"/>
                      <w:szCs w:val="20"/>
                      <w:highlight w:val="none"/>
                      <w:lang w:val="en-US" w:eastAsia="zh-CN" w:bidi="ar-SA"/>
                    </w:rPr>
                  </w:pPr>
                  <w:r>
                    <w:rPr>
                      <w:rFonts w:hint="eastAsia" w:ascii="仿宋" w:hAnsi="仿宋" w:eastAsia="仿宋" w:cs="宋体"/>
                      <w:kern w:val="0"/>
                      <w:sz w:val="20"/>
                      <w:szCs w:val="20"/>
                      <w:highlight w:val="none"/>
                      <w:lang w:val="en-US" w:eastAsia="zh-CN" w:bidi="ar-SA"/>
                    </w:rPr>
                    <w:t>11.设备搭载国产化操作系统。</w:t>
                  </w:r>
                </w:p>
                <w:p>
                  <w:pPr>
                    <w:keepNext w:val="0"/>
                    <w:keepLines w:val="0"/>
                    <w:pageBreakBefore w:val="0"/>
                    <w:widowControl/>
                    <w:suppressLineNumbers w:val="0"/>
                    <w:kinsoku/>
                    <w:overflowPunct/>
                    <w:topLinePunct w:val="0"/>
                    <w:autoSpaceDE w:val="0"/>
                    <w:autoSpaceDN w:val="0"/>
                    <w:bidi w:val="0"/>
                    <w:adjustRightInd/>
                    <w:snapToGrid/>
                    <w:spacing w:line="240" w:lineRule="auto"/>
                    <w:jc w:val="left"/>
                    <w:textAlignment w:val="auto"/>
                    <w:rPr>
                      <w:rFonts w:hint="default"/>
                      <w:highlight w:val="none"/>
                      <w:lang w:val="en-US" w:eastAsia="zh-CN"/>
                    </w:rPr>
                  </w:pPr>
                  <w:r>
                    <w:rPr>
                      <w:rFonts w:hint="eastAsia" w:ascii="仿宋" w:hAnsi="仿宋" w:eastAsia="仿宋" w:cs="宋体"/>
                      <w:color w:val="0000FF"/>
                      <w:kern w:val="0"/>
                      <w:sz w:val="20"/>
                      <w:szCs w:val="20"/>
                      <w:highlight w:val="none"/>
                    </w:rPr>
                    <w:t>▲</w:t>
                  </w:r>
                  <w:r>
                    <w:rPr>
                      <w:rFonts w:hint="eastAsia" w:cs="宋体"/>
                      <w:kern w:val="0"/>
                      <w:sz w:val="20"/>
                      <w:szCs w:val="20"/>
                      <w:highlight w:val="none"/>
                      <w:lang w:val="en-US" w:eastAsia="zh-CN" w:bidi="ar-SA"/>
                    </w:rPr>
                    <w:t>12、支持自动识别背光、运动速度、雾（雨）天、正常等场景，并能在&lt;1S的时间内快速自适应调整响应的图像参数。（须提供CNAS或</w:t>
                  </w:r>
                  <w:r>
                    <w:rPr>
                      <w:rFonts w:hint="default" w:cs="宋体"/>
                      <w:kern w:val="0"/>
                      <w:sz w:val="20"/>
                      <w:szCs w:val="20"/>
                      <w:highlight w:val="none"/>
                      <w:lang w:val="en-US" w:eastAsia="zh-CN" w:bidi="ar-SA"/>
                    </w:rPr>
                    <w:t>CMA</w:t>
                  </w:r>
                  <w:r>
                    <w:rPr>
                      <w:rFonts w:hint="eastAsia" w:cs="宋体"/>
                      <w:kern w:val="0"/>
                      <w:sz w:val="20"/>
                      <w:szCs w:val="20"/>
                      <w:highlight w:val="none"/>
                      <w:lang w:val="en-US" w:eastAsia="zh-CN" w:bidi="ar-SA"/>
                    </w:rPr>
                    <w:t>有效认证的检测机构出具的检测（验）报告等复印件并加盖投标人公章。）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07" w:type="dxa"/>
                  <w:shd w:val="clear" w:color="auto" w:fill="auto"/>
                  <w:vAlign w:val="center"/>
                </w:tcPr>
                <w:p>
                  <w:pPr>
                    <w:pStyle w:val="25"/>
                    <w:keepNext w:val="0"/>
                    <w:keepLines w:val="0"/>
                    <w:pageBreakBefore w:val="0"/>
                    <w:kinsoku/>
                    <w:wordWrap w:val="0"/>
                    <w:overflowPunct/>
                    <w:topLinePunct w:val="0"/>
                    <w:autoSpaceDE w:val="0"/>
                    <w:autoSpaceDN w:val="0"/>
                    <w:bidi w:val="0"/>
                    <w:adjustRightInd/>
                    <w:snapToGrid/>
                    <w:ind w:firstLine="0" w:firstLineChars="0"/>
                    <w:textAlignment w:val="auto"/>
                    <w:rPr>
                      <w:rFonts w:hint="eastAsia"/>
                      <w:highlight w:val="none"/>
                      <w:lang w:val="en-US" w:eastAsia="zh-CN"/>
                    </w:rPr>
                  </w:pPr>
                  <w:r>
                    <w:rPr>
                      <w:rFonts w:hint="eastAsia"/>
                      <w:highlight w:val="none"/>
                      <w:lang w:val="en-US" w:eastAsia="zh-CN"/>
                    </w:rPr>
                    <w:t>2</w:t>
                  </w:r>
                </w:p>
              </w:tc>
              <w:tc>
                <w:tcPr>
                  <w:tcW w:w="1110" w:type="dxa"/>
                  <w:shd w:val="clear" w:color="auto" w:fill="auto"/>
                  <w:vAlign w:val="center"/>
                </w:tcPr>
                <w:p>
                  <w:pPr>
                    <w:pStyle w:val="25"/>
                    <w:keepNext w:val="0"/>
                    <w:keepLines w:val="0"/>
                    <w:pageBreakBefore w:val="0"/>
                    <w:kinsoku/>
                    <w:wordWrap w:val="0"/>
                    <w:overflowPunct/>
                    <w:topLinePunct w:val="0"/>
                    <w:autoSpaceDE w:val="0"/>
                    <w:autoSpaceDN w:val="0"/>
                    <w:bidi w:val="0"/>
                    <w:adjustRightInd/>
                    <w:snapToGrid/>
                    <w:ind w:firstLine="0" w:firstLineChars="0"/>
                    <w:textAlignment w:val="auto"/>
                    <w:rPr>
                      <w:rFonts w:hint="eastAsia"/>
                      <w:highlight w:val="none"/>
                      <w:lang w:val="en-US" w:eastAsia="zh-CN"/>
                    </w:rPr>
                  </w:pPr>
                  <w:r>
                    <w:rPr>
                      <w:rFonts w:hint="eastAsia"/>
                      <w:highlight w:val="none"/>
                    </w:rPr>
                    <w:t>智能综合一体柜</w:t>
                  </w:r>
                </w:p>
              </w:tc>
              <w:tc>
                <w:tcPr>
                  <w:tcW w:w="6749" w:type="dxa"/>
                  <w:shd w:val="clear" w:color="000000" w:fill="FFFFFF"/>
                  <w:vAlign w:val="center"/>
                </w:tcPr>
                <w:p>
                  <w:pPr>
                    <w:keepNext w:val="0"/>
                    <w:keepLines w:val="0"/>
                    <w:pageBreakBefore w:val="0"/>
                    <w:widowControl/>
                    <w:kinsoku/>
                    <w:wordWrap w:val="0"/>
                    <w:overflowPunct/>
                    <w:topLinePunct w:val="0"/>
                    <w:autoSpaceDE w:val="0"/>
                    <w:autoSpaceDN w:val="0"/>
                    <w:bidi w:val="0"/>
                    <w:adjustRightInd/>
                    <w:snapToGrid/>
                    <w:spacing w:line="240" w:lineRule="auto"/>
                    <w:ind w:firstLine="420" w:firstLineChars="200"/>
                    <w:jc w:val="left"/>
                    <w:textAlignment w:val="auto"/>
                    <w:rPr>
                      <w:rStyle w:val="31"/>
                      <w:rFonts w:hint="eastAsia" w:eastAsia="仿宋"/>
                      <w:highlight w:val="none"/>
                      <w:lang w:val="en-US" w:eastAsia="zh-CN"/>
                    </w:rPr>
                  </w:pPr>
                  <w:r>
                    <w:rPr>
                      <w:rStyle w:val="31"/>
                      <w:rFonts w:hint="eastAsia"/>
                      <w:highlight w:val="none"/>
                      <w:lang w:val="en-US" w:eastAsia="zh-CN"/>
                    </w:rPr>
                    <w:t>1.</w:t>
                  </w:r>
                  <w:r>
                    <w:rPr>
                      <w:rStyle w:val="31"/>
                      <w:rFonts w:hint="eastAsia" w:eastAsia="仿宋"/>
                      <w:highlight w:val="none"/>
                      <w:lang w:val="en-US" w:eastAsia="zh-CN"/>
                    </w:rPr>
                    <w:t>模块化设计，安装维护简单便捷</w:t>
                  </w:r>
                </w:p>
                <w:p>
                  <w:pPr>
                    <w:keepNext w:val="0"/>
                    <w:keepLines w:val="0"/>
                    <w:pageBreakBefore w:val="0"/>
                    <w:widowControl/>
                    <w:kinsoku/>
                    <w:wordWrap w:val="0"/>
                    <w:overflowPunct/>
                    <w:topLinePunct w:val="0"/>
                    <w:autoSpaceDE w:val="0"/>
                    <w:autoSpaceDN w:val="0"/>
                    <w:bidi w:val="0"/>
                    <w:adjustRightInd/>
                    <w:snapToGrid/>
                    <w:spacing w:line="240" w:lineRule="auto"/>
                    <w:ind w:firstLine="420" w:firstLineChars="200"/>
                    <w:jc w:val="left"/>
                    <w:textAlignment w:val="auto"/>
                    <w:rPr>
                      <w:rStyle w:val="31"/>
                      <w:rFonts w:hint="eastAsia" w:eastAsia="仿宋"/>
                      <w:highlight w:val="none"/>
                      <w:lang w:val="en-US" w:eastAsia="zh-CN"/>
                    </w:rPr>
                  </w:pPr>
                  <w:r>
                    <w:rPr>
                      <w:rStyle w:val="31"/>
                      <w:rFonts w:hint="eastAsia"/>
                      <w:highlight w:val="none"/>
                      <w:lang w:val="en-US" w:eastAsia="zh-CN"/>
                    </w:rPr>
                    <w:t>2.</w:t>
                  </w:r>
                  <w:r>
                    <w:rPr>
                      <w:rStyle w:val="31"/>
                      <w:rFonts w:hint="eastAsia" w:eastAsia="仿宋"/>
                      <w:highlight w:val="none"/>
                      <w:lang w:val="en-US" w:eastAsia="zh-CN"/>
                    </w:rPr>
                    <w:t>支持设备远程重启</w:t>
                  </w:r>
                </w:p>
                <w:p>
                  <w:pPr>
                    <w:keepNext w:val="0"/>
                    <w:keepLines w:val="0"/>
                    <w:pageBreakBefore w:val="0"/>
                    <w:widowControl/>
                    <w:kinsoku/>
                    <w:wordWrap w:val="0"/>
                    <w:overflowPunct/>
                    <w:topLinePunct w:val="0"/>
                    <w:autoSpaceDE w:val="0"/>
                    <w:autoSpaceDN w:val="0"/>
                    <w:bidi w:val="0"/>
                    <w:adjustRightInd/>
                    <w:snapToGrid/>
                    <w:spacing w:line="240" w:lineRule="auto"/>
                    <w:ind w:firstLine="420" w:firstLineChars="200"/>
                    <w:jc w:val="left"/>
                    <w:textAlignment w:val="auto"/>
                    <w:rPr>
                      <w:rStyle w:val="31"/>
                      <w:rFonts w:hint="eastAsia" w:eastAsia="仿宋"/>
                      <w:highlight w:val="none"/>
                      <w:lang w:val="en-US" w:eastAsia="zh-CN"/>
                    </w:rPr>
                  </w:pPr>
                  <w:r>
                    <w:rPr>
                      <w:rStyle w:val="31"/>
                      <w:rFonts w:hint="eastAsia"/>
                      <w:highlight w:val="none"/>
                      <w:lang w:val="en-US" w:eastAsia="zh-CN"/>
                    </w:rPr>
                    <w:t>3.</w:t>
                  </w:r>
                  <w:r>
                    <w:rPr>
                      <w:rStyle w:val="31"/>
                      <w:rFonts w:hint="eastAsia" w:eastAsia="仿宋"/>
                      <w:highlight w:val="none"/>
                      <w:lang w:val="en-US" w:eastAsia="zh-CN"/>
                    </w:rPr>
                    <w:t>支持用电检测与统计</w:t>
                  </w:r>
                </w:p>
                <w:p>
                  <w:pPr>
                    <w:keepNext w:val="0"/>
                    <w:keepLines w:val="0"/>
                    <w:pageBreakBefore w:val="0"/>
                    <w:widowControl/>
                    <w:kinsoku/>
                    <w:wordWrap w:val="0"/>
                    <w:overflowPunct/>
                    <w:topLinePunct w:val="0"/>
                    <w:autoSpaceDE w:val="0"/>
                    <w:autoSpaceDN w:val="0"/>
                    <w:bidi w:val="0"/>
                    <w:adjustRightInd/>
                    <w:snapToGrid/>
                    <w:spacing w:line="240" w:lineRule="auto"/>
                    <w:ind w:firstLine="420" w:firstLineChars="200"/>
                    <w:jc w:val="left"/>
                    <w:textAlignment w:val="auto"/>
                    <w:rPr>
                      <w:rStyle w:val="31"/>
                      <w:rFonts w:hint="eastAsia" w:eastAsia="仿宋"/>
                      <w:highlight w:val="none"/>
                      <w:lang w:val="en-US" w:eastAsia="zh-CN"/>
                    </w:rPr>
                  </w:pPr>
                  <w:r>
                    <w:rPr>
                      <w:rStyle w:val="31"/>
                      <w:rFonts w:hint="eastAsia"/>
                      <w:highlight w:val="none"/>
                      <w:lang w:val="en-US" w:eastAsia="zh-CN"/>
                    </w:rPr>
                    <w:t>4.</w:t>
                  </w:r>
                  <w:r>
                    <w:rPr>
                      <w:rStyle w:val="31"/>
                      <w:rFonts w:hint="eastAsia" w:eastAsia="仿宋"/>
                      <w:highlight w:val="none"/>
                      <w:lang w:val="en-US" w:eastAsia="zh-CN"/>
                    </w:rPr>
                    <w:t>支持市电掉电告警、设备离线告警</w:t>
                  </w:r>
                </w:p>
                <w:p>
                  <w:pPr>
                    <w:keepNext w:val="0"/>
                    <w:keepLines w:val="0"/>
                    <w:pageBreakBefore w:val="0"/>
                    <w:widowControl/>
                    <w:kinsoku/>
                    <w:wordWrap w:val="0"/>
                    <w:overflowPunct/>
                    <w:topLinePunct w:val="0"/>
                    <w:autoSpaceDE w:val="0"/>
                    <w:autoSpaceDN w:val="0"/>
                    <w:bidi w:val="0"/>
                    <w:adjustRightInd/>
                    <w:snapToGrid/>
                    <w:spacing w:line="240" w:lineRule="auto"/>
                    <w:ind w:firstLine="400" w:firstLineChars="200"/>
                    <w:jc w:val="left"/>
                    <w:textAlignment w:val="auto"/>
                    <w:rPr>
                      <w:rStyle w:val="31"/>
                      <w:rFonts w:hint="eastAsia" w:eastAsia="仿宋"/>
                      <w:highlight w:val="none"/>
                      <w:lang w:val="en-US" w:eastAsia="zh-CN"/>
                    </w:rPr>
                  </w:pPr>
                  <w:r>
                    <w:rPr>
                      <w:rFonts w:hint="eastAsia" w:ascii="仿宋" w:hAnsi="仿宋" w:eastAsia="仿宋" w:cs="宋体"/>
                      <w:color w:val="0000FF"/>
                      <w:kern w:val="0"/>
                      <w:sz w:val="20"/>
                      <w:szCs w:val="20"/>
                      <w:highlight w:val="none"/>
                    </w:rPr>
                    <w:t>▲</w:t>
                  </w:r>
                  <w:r>
                    <w:rPr>
                      <w:rStyle w:val="31"/>
                      <w:rFonts w:hint="eastAsia"/>
                      <w:highlight w:val="none"/>
                      <w:lang w:val="en-US" w:eastAsia="zh-CN"/>
                    </w:rPr>
                    <w:t>5.不少于16路常亮灯、频闪灯、环保卡口灯接入与管理，</w:t>
                  </w:r>
                  <w:r>
                    <w:rPr>
                      <w:rStyle w:val="31"/>
                      <w:rFonts w:hint="eastAsia" w:eastAsia="仿宋"/>
                      <w:highlight w:val="none"/>
                      <w:lang w:val="en-US" w:eastAsia="zh-CN"/>
                    </w:rPr>
                    <w:t>支持补光灯白天灯亮告警、夜晚灯熄告警</w:t>
                  </w:r>
                  <w:r>
                    <w:rPr>
                      <w:rFonts w:hint="eastAsia" w:cs="宋体"/>
                      <w:kern w:val="0"/>
                      <w:sz w:val="20"/>
                      <w:szCs w:val="20"/>
                      <w:highlight w:val="none"/>
                      <w:lang w:val="en-US" w:eastAsia="zh-CN" w:bidi="ar-SA"/>
                    </w:rPr>
                    <w:t>（须提供CNAS或</w:t>
                  </w:r>
                  <w:r>
                    <w:rPr>
                      <w:rFonts w:hint="default" w:cs="宋体"/>
                      <w:kern w:val="0"/>
                      <w:sz w:val="20"/>
                      <w:szCs w:val="20"/>
                      <w:highlight w:val="none"/>
                      <w:lang w:val="en-US" w:eastAsia="zh-CN" w:bidi="ar-SA"/>
                    </w:rPr>
                    <w:t>CMA</w:t>
                  </w:r>
                  <w:r>
                    <w:rPr>
                      <w:rFonts w:hint="eastAsia" w:cs="宋体"/>
                      <w:kern w:val="0"/>
                      <w:sz w:val="20"/>
                      <w:szCs w:val="20"/>
                      <w:highlight w:val="none"/>
                      <w:lang w:val="en-US" w:eastAsia="zh-CN" w:bidi="ar-SA"/>
                    </w:rPr>
                    <w:t>有效认证的检测机构出具的检测（验）报告等复印件并加盖投标人公章。）；</w:t>
                  </w:r>
                </w:p>
                <w:p>
                  <w:pPr>
                    <w:keepNext w:val="0"/>
                    <w:keepLines w:val="0"/>
                    <w:pageBreakBefore w:val="0"/>
                    <w:widowControl/>
                    <w:kinsoku/>
                    <w:wordWrap w:val="0"/>
                    <w:overflowPunct/>
                    <w:topLinePunct w:val="0"/>
                    <w:autoSpaceDE w:val="0"/>
                    <w:autoSpaceDN w:val="0"/>
                    <w:bidi w:val="0"/>
                    <w:adjustRightInd/>
                    <w:snapToGrid/>
                    <w:spacing w:line="240" w:lineRule="auto"/>
                    <w:ind w:firstLine="420" w:firstLineChars="200"/>
                    <w:jc w:val="left"/>
                    <w:textAlignment w:val="auto"/>
                    <w:rPr>
                      <w:rStyle w:val="31"/>
                      <w:rFonts w:hint="eastAsia" w:eastAsia="仿宋"/>
                      <w:highlight w:val="none"/>
                      <w:lang w:val="en-US" w:eastAsia="zh-CN"/>
                    </w:rPr>
                  </w:pPr>
                  <w:r>
                    <w:rPr>
                      <w:rStyle w:val="31"/>
                      <w:rFonts w:hint="eastAsia"/>
                      <w:highlight w:val="none"/>
                      <w:lang w:val="en-US" w:eastAsia="zh-CN"/>
                    </w:rPr>
                    <w:t>6.</w:t>
                  </w:r>
                  <w:r>
                    <w:rPr>
                      <w:rStyle w:val="31"/>
                      <w:rFonts w:hint="eastAsia" w:eastAsia="仿宋"/>
                      <w:highlight w:val="none"/>
                      <w:lang w:val="en-US" w:eastAsia="zh-CN"/>
                    </w:rPr>
                    <w:t>支持开箱告警、震动告警、倾斜告警、水浸告警</w:t>
                  </w:r>
                </w:p>
                <w:p>
                  <w:pPr>
                    <w:keepNext w:val="0"/>
                    <w:keepLines w:val="0"/>
                    <w:pageBreakBefore w:val="0"/>
                    <w:widowControl/>
                    <w:kinsoku/>
                    <w:wordWrap w:val="0"/>
                    <w:overflowPunct/>
                    <w:topLinePunct w:val="0"/>
                    <w:autoSpaceDE w:val="0"/>
                    <w:autoSpaceDN w:val="0"/>
                    <w:bidi w:val="0"/>
                    <w:adjustRightInd/>
                    <w:snapToGrid/>
                    <w:spacing w:line="240" w:lineRule="auto"/>
                    <w:ind w:firstLine="420" w:firstLineChars="200"/>
                    <w:jc w:val="left"/>
                    <w:textAlignment w:val="auto"/>
                    <w:rPr>
                      <w:rStyle w:val="31"/>
                      <w:rFonts w:hint="eastAsia" w:eastAsia="仿宋"/>
                      <w:highlight w:val="none"/>
                      <w:lang w:val="en-US" w:eastAsia="zh-CN"/>
                    </w:rPr>
                  </w:pPr>
                  <w:r>
                    <w:rPr>
                      <w:rStyle w:val="31"/>
                      <w:rFonts w:hint="eastAsia"/>
                      <w:highlight w:val="none"/>
                      <w:lang w:val="en-US" w:eastAsia="zh-CN"/>
                    </w:rPr>
                    <w:t>7.</w:t>
                  </w:r>
                  <w:r>
                    <w:rPr>
                      <w:rStyle w:val="31"/>
                      <w:rFonts w:hint="eastAsia" w:eastAsia="仿宋"/>
                      <w:highlight w:val="none"/>
                      <w:lang w:val="en-US" w:eastAsia="zh-CN"/>
                    </w:rPr>
                    <w:t>预留充足外设空间，满足用户对功能扩展的需求</w:t>
                  </w:r>
                </w:p>
                <w:p>
                  <w:pPr>
                    <w:keepNext w:val="0"/>
                    <w:keepLines w:val="0"/>
                    <w:pageBreakBefore w:val="0"/>
                    <w:widowControl/>
                    <w:kinsoku/>
                    <w:wordWrap w:val="0"/>
                    <w:overflowPunct/>
                    <w:topLinePunct w:val="0"/>
                    <w:autoSpaceDE w:val="0"/>
                    <w:autoSpaceDN w:val="0"/>
                    <w:bidi w:val="0"/>
                    <w:adjustRightInd/>
                    <w:snapToGrid/>
                    <w:spacing w:line="240" w:lineRule="auto"/>
                    <w:ind w:firstLine="420" w:firstLineChars="200"/>
                    <w:jc w:val="left"/>
                    <w:textAlignment w:val="auto"/>
                    <w:rPr>
                      <w:rStyle w:val="31"/>
                      <w:rFonts w:hint="eastAsia" w:eastAsia="仿宋"/>
                      <w:highlight w:val="none"/>
                      <w:lang w:val="en-US" w:eastAsia="zh-CN"/>
                    </w:rPr>
                  </w:pPr>
                  <w:r>
                    <w:rPr>
                      <w:rStyle w:val="31"/>
                      <w:rFonts w:hint="eastAsia"/>
                      <w:highlight w:val="none"/>
                      <w:lang w:val="en-US" w:eastAsia="zh-CN"/>
                    </w:rPr>
                    <w:t>8.</w:t>
                  </w:r>
                  <w:r>
                    <w:rPr>
                      <w:rStyle w:val="31"/>
                      <w:rFonts w:hint="eastAsia" w:eastAsia="仿宋"/>
                      <w:highlight w:val="none"/>
                      <w:lang w:val="en-US" w:eastAsia="zh-CN"/>
                    </w:rPr>
                    <w:t>支持开箱亮灯、风扇自动启停、加热器自动启停</w:t>
                  </w:r>
                </w:p>
                <w:p>
                  <w:pPr>
                    <w:keepNext w:val="0"/>
                    <w:keepLines w:val="0"/>
                    <w:pageBreakBefore w:val="0"/>
                    <w:widowControl/>
                    <w:kinsoku/>
                    <w:wordWrap w:val="0"/>
                    <w:overflowPunct/>
                    <w:topLinePunct w:val="0"/>
                    <w:autoSpaceDE w:val="0"/>
                    <w:autoSpaceDN w:val="0"/>
                    <w:bidi w:val="0"/>
                    <w:adjustRightInd/>
                    <w:snapToGrid/>
                    <w:spacing w:line="240" w:lineRule="auto"/>
                    <w:ind w:firstLine="420" w:firstLineChars="200"/>
                    <w:jc w:val="left"/>
                    <w:textAlignment w:val="auto"/>
                    <w:rPr>
                      <w:rStyle w:val="31"/>
                      <w:rFonts w:hint="eastAsia" w:eastAsia="仿宋"/>
                      <w:highlight w:val="none"/>
                      <w:lang w:val="en-US" w:eastAsia="zh-CN"/>
                    </w:rPr>
                  </w:pPr>
                  <w:r>
                    <w:rPr>
                      <w:rStyle w:val="31"/>
                      <w:rFonts w:hint="eastAsia"/>
                      <w:highlight w:val="none"/>
                      <w:lang w:val="en-US" w:eastAsia="zh-CN"/>
                    </w:rPr>
                    <w:t>9.</w:t>
                  </w:r>
                  <w:r>
                    <w:rPr>
                      <w:rStyle w:val="31"/>
                      <w:rFonts w:hint="eastAsia" w:eastAsia="仿宋"/>
                      <w:highlight w:val="none"/>
                      <w:lang w:val="en-US" w:eastAsia="zh-CN"/>
                    </w:rPr>
                    <w:t>支持输出端口自定义，支持配置不同控制策略，支持功率学习</w:t>
                  </w:r>
                </w:p>
                <w:p>
                  <w:pPr>
                    <w:pStyle w:val="2"/>
                    <w:keepNext w:val="0"/>
                    <w:keepLines w:val="0"/>
                    <w:pageBreakBefore w:val="0"/>
                    <w:widowControl/>
                    <w:kinsoku/>
                    <w:overflowPunct/>
                    <w:topLinePunct w:val="0"/>
                    <w:autoSpaceDE w:val="0"/>
                    <w:autoSpaceDN w:val="0"/>
                    <w:bidi w:val="0"/>
                    <w:adjustRightInd/>
                    <w:snapToGrid/>
                    <w:spacing w:line="240" w:lineRule="auto"/>
                    <w:ind w:left="0" w:leftChars="0" w:firstLine="400" w:firstLineChars="200"/>
                    <w:textAlignment w:val="auto"/>
                    <w:rPr>
                      <w:rFonts w:hint="default"/>
                      <w:highlight w:val="none"/>
                      <w:lang w:val="en-US" w:eastAsia="zh-CN"/>
                    </w:rPr>
                  </w:pPr>
                  <w:r>
                    <w:rPr>
                      <w:rFonts w:hint="eastAsia" w:ascii="仿宋" w:hAnsi="仿宋" w:eastAsia="仿宋" w:cs="宋体"/>
                      <w:color w:val="0000FF"/>
                      <w:kern w:val="0"/>
                      <w:sz w:val="20"/>
                      <w:szCs w:val="20"/>
                      <w:highlight w:val="none"/>
                    </w:rPr>
                    <w:t>▲</w:t>
                  </w:r>
                  <w:r>
                    <w:rPr>
                      <w:rStyle w:val="31"/>
                      <w:rFonts w:hint="eastAsia"/>
                      <w:highlight w:val="none"/>
                      <w:lang w:val="en-US" w:eastAsia="zh-CN"/>
                    </w:rPr>
                    <w:t>10.可配置智能补光灯的工作模式（至少包括：光敏控制、手动控制、频爆模式、三合一、四合一模式）</w:t>
                  </w:r>
                  <w:r>
                    <w:rPr>
                      <w:rFonts w:hint="eastAsia" w:cs="宋体"/>
                      <w:kern w:val="0"/>
                      <w:sz w:val="20"/>
                      <w:szCs w:val="20"/>
                      <w:highlight w:val="none"/>
                      <w:lang w:val="en-US" w:eastAsia="zh-CN" w:bidi="ar-SA"/>
                    </w:rPr>
                    <w:t>（须提供CNAS或</w:t>
                  </w:r>
                  <w:r>
                    <w:rPr>
                      <w:rFonts w:hint="default" w:cs="宋体"/>
                      <w:kern w:val="0"/>
                      <w:sz w:val="20"/>
                      <w:szCs w:val="20"/>
                      <w:highlight w:val="none"/>
                      <w:lang w:val="en-US" w:eastAsia="zh-CN" w:bidi="ar-SA"/>
                    </w:rPr>
                    <w:t>CMA</w:t>
                  </w:r>
                  <w:r>
                    <w:rPr>
                      <w:rFonts w:hint="eastAsia" w:cs="宋体"/>
                      <w:kern w:val="0"/>
                      <w:sz w:val="20"/>
                      <w:szCs w:val="20"/>
                      <w:highlight w:val="none"/>
                      <w:lang w:val="en-US" w:eastAsia="zh-CN" w:bidi="ar-SA"/>
                    </w:rPr>
                    <w:t>有效认证的检测机构出具的检测（验）报告等复印件并加盖投标人公章。）。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07" w:type="dxa"/>
                  <w:shd w:val="clear" w:color="auto" w:fill="auto"/>
                  <w:vAlign w:val="center"/>
                </w:tcPr>
                <w:p>
                  <w:pPr>
                    <w:pStyle w:val="25"/>
                    <w:keepNext w:val="0"/>
                    <w:keepLines w:val="0"/>
                    <w:pageBreakBefore w:val="0"/>
                    <w:kinsoku/>
                    <w:wordWrap w:val="0"/>
                    <w:overflowPunct/>
                    <w:topLinePunct w:val="0"/>
                    <w:autoSpaceDE w:val="0"/>
                    <w:autoSpaceDN w:val="0"/>
                    <w:bidi w:val="0"/>
                    <w:adjustRightInd/>
                    <w:snapToGrid/>
                    <w:ind w:firstLine="0" w:firstLineChars="0"/>
                    <w:textAlignment w:val="auto"/>
                    <w:rPr>
                      <w:rFonts w:hint="eastAsia"/>
                      <w:highlight w:val="none"/>
                      <w:lang w:val="en-US" w:eastAsia="zh-CN"/>
                    </w:rPr>
                  </w:pPr>
                  <w:r>
                    <w:rPr>
                      <w:rFonts w:hint="eastAsia"/>
                      <w:highlight w:val="none"/>
                      <w:lang w:val="en-US" w:eastAsia="zh-CN"/>
                    </w:rPr>
                    <w:t>3</w:t>
                  </w:r>
                </w:p>
              </w:tc>
              <w:tc>
                <w:tcPr>
                  <w:tcW w:w="1110" w:type="dxa"/>
                  <w:shd w:val="clear" w:color="auto" w:fill="auto"/>
                  <w:vAlign w:val="center"/>
                </w:tcPr>
                <w:p>
                  <w:pPr>
                    <w:pStyle w:val="25"/>
                    <w:keepNext w:val="0"/>
                    <w:keepLines w:val="0"/>
                    <w:pageBreakBefore w:val="0"/>
                    <w:kinsoku/>
                    <w:wordWrap w:val="0"/>
                    <w:overflowPunct/>
                    <w:topLinePunct w:val="0"/>
                    <w:autoSpaceDE w:val="0"/>
                    <w:autoSpaceDN w:val="0"/>
                    <w:bidi w:val="0"/>
                    <w:adjustRightInd/>
                    <w:snapToGrid/>
                    <w:ind w:firstLine="0" w:firstLineChars="0"/>
                    <w:textAlignment w:val="auto"/>
                    <w:rPr>
                      <w:rFonts w:hint="eastAsia"/>
                      <w:highlight w:val="none"/>
                      <w:lang w:val="en-US" w:eastAsia="zh-CN"/>
                    </w:rPr>
                  </w:pPr>
                  <w:r>
                    <w:rPr>
                      <w:rFonts w:hint="eastAsia"/>
                      <w:highlight w:val="none"/>
                    </w:rPr>
                    <w:t>智慧管控终端</w:t>
                  </w:r>
                </w:p>
              </w:tc>
              <w:tc>
                <w:tcPr>
                  <w:tcW w:w="6749" w:type="dxa"/>
                  <w:shd w:val="clear" w:color="auto" w:fill="auto"/>
                  <w:vAlign w:val="center"/>
                </w:tcPr>
                <w:p>
                  <w:pPr>
                    <w:keepNext w:val="0"/>
                    <w:keepLines w:val="0"/>
                    <w:pageBreakBefore w:val="0"/>
                    <w:widowControl/>
                    <w:kinsoku/>
                    <w:wordWrap w:val="0"/>
                    <w:overflowPunct/>
                    <w:topLinePunct w:val="0"/>
                    <w:autoSpaceDE w:val="0"/>
                    <w:autoSpaceDN w:val="0"/>
                    <w:bidi w:val="0"/>
                    <w:adjustRightInd/>
                    <w:snapToGrid/>
                    <w:spacing w:line="240" w:lineRule="auto"/>
                    <w:ind w:left="398" w:leftChars="166" w:firstLine="0" w:firstLineChars="0"/>
                    <w:jc w:val="left"/>
                    <w:textAlignment w:val="auto"/>
                    <w:rPr>
                      <w:rFonts w:hint="eastAsia" w:cs="宋体"/>
                      <w:kern w:val="0"/>
                      <w:sz w:val="20"/>
                      <w:szCs w:val="20"/>
                      <w:highlight w:val="none"/>
                      <w:lang w:val="en-US" w:eastAsia="zh-CN" w:bidi="ar-SA"/>
                    </w:rPr>
                  </w:pPr>
                  <w:r>
                    <w:rPr>
                      <w:rFonts w:hint="eastAsia" w:cs="宋体"/>
                      <w:kern w:val="0"/>
                      <w:sz w:val="20"/>
                      <w:szCs w:val="20"/>
                      <w:highlight w:val="none"/>
                      <w:lang w:val="en-US" w:eastAsia="zh-CN" w:bidi="ar-SA"/>
                    </w:rPr>
                    <w:t>1.存储容量：1块4TB存储硬盘，单机存储容量最大支持24TB；</w:t>
                  </w:r>
                  <w:r>
                    <w:rPr>
                      <w:rFonts w:hint="eastAsia" w:cs="宋体"/>
                      <w:kern w:val="0"/>
                      <w:sz w:val="20"/>
                      <w:szCs w:val="20"/>
                      <w:highlight w:val="none"/>
                      <w:lang w:val="en-US" w:eastAsia="zh-CN" w:bidi="ar-SA"/>
                    </w:rPr>
                    <w:br w:type="textWrapping"/>
                  </w:r>
                  <w:r>
                    <w:rPr>
                      <w:rFonts w:hint="eastAsia" w:cs="宋体"/>
                      <w:kern w:val="0"/>
                      <w:sz w:val="20"/>
                      <w:szCs w:val="20"/>
                      <w:highlight w:val="none"/>
                      <w:lang w:val="en-US" w:eastAsia="zh-CN" w:bidi="ar-SA"/>
                    </w:rPr>
                    <w:t>2.通道路：最大支持4路；</w:t>
                  </w:r>
                  <w:r>
                    <w:rPr>
                      <w:rFonts w:hint="eastAsia" w:cs="宋体"/>
                      <w:kern w:val="0"/>
                      <w:sz w:val="20"/>
                      <w:szCs w:val="20"/>
                      <w:highlight w:val="none"/>
                      <w:lang w:val="en-US" w:eastAsia="zh-CN" w:bidi="ar-SA"/>
                    </w:rPr>
                    <w:br w:type="textWrapping"/>
                  </w:r>
                  <w:r>
                    <w:rPr>
                      <w:rFonts w:hint="eastAsia" w:cs="宋体"/>
                      <w:kern w:val="0"/>
                      <w:sz w:val="20"/>
                      <w:szCs w:val="20"/>
                      <w:highlight w:val="none"/>
                      <w:lang w:val="en-US" w:eastAsia="zh-CN" w:bidi="ar-SA"/>
                    </w:rPr>
                    <w:t>3.接入视频格式：H.264、H.265；</w:t>
                  </w:r>
                  <w:r>
                    <w:rPr>
                      <w:rFonts w:hint="eastAsia" w:cs="宋体"/>
                      <w:kern w:val="0"/>
                      <w:sz w:val="20"/>
                      <w:szCs w:val="20"/>
                      <w:highlight w:val="none"/>
                      <w:lang w:val="en-US" w:eastAsia="zh-CN" w:bidi="ar-SA"/>
                    </w:rPr>
                    <w:br w:type="textWrapping"/>
                  </w:r>
                  <w:r>
                    <w:rPr>
                      <w:rFonts w:hint="eastAsia" w:cs="宋体"/>
                      <w:kern w:val="0"/>
                      <w:sz w:val="20"/>
                      <w:szCs w:val="20"/>
                      <w:highlight w:val="none"/>
                      <w:lang w:val="en-US" w:eastAsia="zh-CN" w:bidi="ar-SA"/>
                    </w:rPr>
                    <w:t>4.接入图片格式：JPEG；</w:t>
                  </w:r>
                  <w:r>
                    <w:rPr>
                      <w:rFonts w:hint="eastAsia" w:cs="宋体"/>
                      <w:kern w:val="0"/>
                      <w:sz w:val="20"/>
                      <w:szCs w:val="20"/>
                      <w:highlight w:val="none"/>
                      <w:lang w:val="en-US" w:eastAsia="zh-CN" w:bidi="ar-SA"/>
                    </w:rPr>
                    <w:br w:type="textWrapping"/>
                  </w:r>
                  <w:r>
                    <w:rPr>
                      <w:rFonts w:hint="eastAsia" w:cs="宋体"/>
                      <w:kern w:val="0"/>
                      <w:sz w:val="20"/>
                      <w:szCs w:val="20"/>
                      <w:highlight w:val="none"/>
                      <w:lang w:val="en-US" w:eastAsia="zh-CN" w:bidi="ar-SA"/>
                    </w:rPr>
                    <w:t>5.SATA接口：4个内部SATA，支持1/2/3/4/6TB，一个外置eSATA；</w:t>
                  </w:r>
                  <w:r>
                    <w:rPr>
                      <w:rFonts w:hint="eastAsia" w:cs="宋体"/>
                      <w:kern w:val="0"/>
                      <w:sz w:val="20"/>
                      <w:szCs w:val="20"/>
                      <w:highlight w:val="none"/>
                      <w:lang w:val="en-US" w:eastAsia="zh-CN" w:bidi="ar-SA"/>
                    </w:rPr>
                    <w:br w:type="textWrapping"/>
                  </w:r>
                  <w:r>
                    <w:rPr>
                      <w:rFonts w:hint="eastAsia" w:cs="宋体"/>
                      <w:kern w:val="0"/>
                      <w:sz w:val="20"/>
                      <w:szCs w:val="20"/>
                      <w:highlight w:val="none"/>
                      <w:lang w:val="en-US" w:eastAsia="zh-CN" w:bidi="ar-SA"/>
                    </w:rPr>
                    <w:t>6.视频输入：支持4路1080P/30fpsH264/H265解码；</w:t>
                  </w:r>
                  <w:r>
                    <w:rPr>
                      <w:rFonts w:hint="eastAsia" w:cs="宋体"/>
                      <w:kern w:val="0"/>
                      <w:sz w:val="20"/>
                      <w:szCs w:val="20"/>
                      <w:highlight w:val="none"/>
                      <w:lang w:val="en-US" w:eastAsia="zh-CN" w:bidi="ar-SA"/>
                    </w:rPr>
                    <w:br w:type="textWrapping"/>
                  </w:r>
                  <w:r>
                    <w:rPr>
                      <w:rFonts w:hint="eastAsia" w:cs="宋体"/>
                      <w:kern w:val="0"/>
                      <w:sz w:val="20"/>
                      <w:szCs w:val="20"/>
                      <w:highlight w:val="none"/>
                      <w:lang w:val="en-US" w:eastAsia="zh-CN" w:bidi="ar-SA"/>
                    </w:rPr>
                    <w:t>7.视频输出：1路CVBS，1路VGA，1路HDMI；</w:t>
                  </w:r>
                  <w:r>
                    <w:rPr>
                      <w:rFonts w:hint="eastAsia" w:cs="宋体"/>
                      <w:kern w:val="0"/>
                      <w:sz w:val="20"/>
                      <w:szCs w:val="20"/>
                      <w:highlight w:val="none"/>
                      <w:lang w:val="en-US" w:eastAsia="zh-CN" w:bidi="ar-SA"/>
                    </w:rPr>
                    <w:br w:type="textWrapping"/>
                  </w:r>
                  <w:r>
                    <w:rPr>
                      <w:rFonts w:hint="eastAsia" w:cs="宋体"/>
                      <w:kern w:val="0"/>
                      <w:sz w:val="20"/>
                      <w:szCs w:val="20"/>
                      <w:highlight w:val="none"/>
                      <w:lang w:val="en-US" w:eastAsia="zh-CN" w:bidi="ar-SA"/>
                    </w:rPr>
                    <w:t>8.网络接口：4个百兆网口；</w:t>
                  </w:r>
                  <w:r>
                    <w:rPr>
                      <w:rFonts w:hint="eastAsia" w:cs="宋体"/>
                      <w:kern w:val="0"/>
                      <w:sz w:val="20"/>
                      <w:szCs w:val="20"/>
                      <w:highlight w:val="none"/>
                      <w:lang w:val="en-US" w:eastAsia="zh-CN" w:bidi="ar-SA"/>
                    </w:rPr>
                    <w:br w:type="textWrapping"/>
                  </w:r>
                  <w:r>
                    <w:rPr>
                      <w:rFonts w:hint="eastAsia" w:cs="宋体"/>
                      <w:kern w:val="0"/>
                      <w:sz w:val="20"/>
                      <w:szCs w:val="20"/>
                      <w:highlight w:val="none"/>
                      <w:lang w:val="en-US" w:eastAsia="zh-CN" w:bidi="ar-SA"/>
                    </w:rPr>
                    <w:t>9.NTP校时：支持NTP网络校时；</w:t>
                  </w:r>
                  <w:r>
                    <w:rPr>
                      <w:rFonts w:hint="eastAsia" w:cs="宋体"/>
                      <w:kern w:val="0"/>
                      <w:sz w:val="20"/>
                      <w:szCs w:val="20"/>
                      <w:highlight w:val="none"/>
                      <w:lang w:val="en-US" w:eastAsia="zh-CN" w:bidi="ar-SA"/>
                    </w:rPr>
                    <w:br w:type="textWrapping"/>
                  </w:r>
                  <w:r>
                    <w:rPr>
                      <w:rFonts w:hint="eastAsia" w:cs="宋体"/>
                      <w:kern w:val="0"/>
                      <w:sz w:val="20"/>
                      <w:szCs w:val="20"/>
                      <w:highlight w:val="none"/>
                      <w:lang w:val="en-US" w:eastAsia="zh-CN" w:bidi="ar-SA"/>
                    </w:rPr>
                    <w:t>10.交互控制：支持web界面远程控制，本机界面操作；</w:t>
                  </w:r>
                  <w:r>
                    <w:rPr>
                      <w:rFonts w:hint="eastAsia" w:cs="宋体"/>
                      <w:kern w:val="0"/>
                      <w:sz w:val="20"/>
                      <w:szCs w:val="20"/>
                      <w:highlight w:val="none"/>
                      <w:lang w:val="en-US" w:eastAsia="zh-CN" w:bidi="ar-SA"/>
                    </w:rPr>
                    <w:br w:type="textWrapping"/>
                  </w:r>
                  <w:r>
                    <w:rPr>
                      <w:rFonts w:hint="eastAsia" w:cs="宋体"/>
                      <w:kern w:val="0"/>
                      <w:sz w:val="20"/>
                      <w:szCs w:val="20"/>
                      <w:highlight w:val="none"/>
                      <w:lang w:val="en-US" w:eastAsia="zh-CN" w:bidi="ar-SA"/>
                    </w:rPr>
                    <w:t>11.支持协议：ONVIF、GB28181、TCP/IP、UDP、RTSP、HTTP、GA/T1400；</w:t>
                  </w:r>
                  <w:r>
                    <w:rPr>
                      <w:rFonts w:hint="eastAsia" w:cs="宋体"/>
                      <w:kern w:val="0"/>
                      <w:sz w:val="20"/>
                      <w:szCs w:val="20"/>
                      <w:highlight w:val="none"/>
                      <w:lang w:val="en-US" w:eastAsia="zh-CN" w:bidi="ar-SA"/>
                    </w:rPr>
                    <w:br w:type="textWrapping"/>
                  </w:r>
                  <w:r>
                    <w:rPr>
                      <w:rFonts w:hint="eastAsia" w:cs="宋体"/>
                      <w:kern w:val="0"/>
                      <w:sz w:val="20"/>
                      <w:szCs w:val="20"/>
                      <w:highlight w:val="none"/>
                      <w:lang w:val="en-US" w:eastAsia="zh-CN" w:bidi="ar-SA"/>
                    </w:rPr>
                    <w:t>12.算法识别：支持车牌、车标、车型、车身颜色等；</w:t>
                  </w:r>
                  <w:r>
                    <w:rPr>
                      <w:rFonts w:hint="eastAsia" w:cs="宋体"/>
                      <w:kern w:val="0"/>
                      <w:sz w:val="20"/>
                      <w:szCs w:val="20"/>
                      <w:highlight w:val="none"/>
                      <w:lang w:val="en-US" w:eastAsia="zh-CN" w:bidi="ar-SA"/>
                    </w:rPr>
                    <w:br w:type="textWrapping"/>
                  </w:r>
                  <w:r>
                    <w:rPr>
                      <w:rFonts w:hint="eastAsia" w:cs="宋体"/>
                      <w:kern w:val="0"/>
                      <w:sz w:val="20"/>
                      <w:szCs w:val="20"/>
                      <w:highlight w:val="none"/>
                      <w:lang w:val="en-US" w:eastAsia="zh-CN" w:bidi="ar-SA"/>
                    </w:rPr>
                    <w:t>13.防水等级：IP41；</w:t>
                  </w:r>
                  <w:r>
                    <w:rPr>
                      <w:rFonts w:hint="eastAsia" w:cs="宋体"/>
                      <w:kern w:val="0"/>
                      <w:sz w:val="20"/>
                      <w:szCs w:val="20"/>
                      <w:highlight w:val="none"/>
                      <w:lang w:val="en-US" w:eastAsia="zh-CN" w:bidi="ar-SA"/>
                    </w:rPr>
                    <w:br w:type="textWrapping"/>
                  </w:r>
                  <w:r>
                    <w:rPr>
                      <w:rFonts w:hint="eastAsia" w:cs="宋体"/>
                      <w:kern w:val="0"/>
                      <w:sz w:val="20"/>
                      <w:szCs w:val="20"/>
                      <w:highlight w:val="none"/>
                      <w:lang w:val="en-US" w:eastAsia="zh-CN" w:bidi="ar-SA"/>
                    </w:rPr>
                    <w:t>14.散热：满足硬件功耗散热；</w:t>
                  </w:r>
                  <w:r>
                    <w:rPr>
                      <w:rFonts w:hint="eastAsia" w:cs="宋体"/>
                      <w:kern w:val="0"/>
                      <w:sz w:val="20"/>
                      <w:szCs w:val="20"/>
                      <w:highlight w:val="none"/>
                      <w:lang w:val="en-US" w:eastAsia="zh-CN" w:bidi="ar-SA"/>
                    </w:rPr>
                    <w:br w:type="textWrapping"/>
                  </w:r>
                  <w:r>
                    <w:rPr>
                      <w:rFonts w:hint="eastAsia" w:cs="宋体"/>
                      <w:kern w:val="0"/>
                      <w:sz w:val="20"/>
                      <w:szCs w:val="20"/>
                      <w:highlight w:val="none"/>
                      <w:lang w:val="en-US" w:eastAsia="zh-CN" w:bidi="ar-SA"/>
                    </w:rPr>
                    <w:t>15.电压：DC12V±10%；</w:t>
                  </w:r>
                  <w:r>
                    <w:rPr>
                      <w:rFonts w:hint="eastAsia" w:cs="宋体"/>
                      <w:kern w:val="0"/>
                      <w:sz w:val="20"/>
                      <w:szCs w:val="20"/>
                      <w:highlight w:val="none"/>
                      <w:lang w:val="en-US" w:eastAsia="zh-CN" w:bidi="ar-SA"/>
                    </w:rPr>
                    <w:br w:type="textWrapping"/>
                  </w:r>
                  <w:r>
                    <w:rPr>
                      <w:rFonts w:hint="eastAsia" w:cs="宋体"/>
                      <w:kern w:val="0"/>
                      <w:sz w:val="20"/>
                      <w:szCs w:val="20"/>
                      <w:highlight w:val="none"/>
                      <w:lang w:val="en-US" w:eastAsia="zh-CN" w:bidi="ar-SA"/>
                    </w:rPr>
                    <w:t>16.温度：-40℃~70℃。</w:t>
                  </w:r>
                </w:p>
                <w:p>
                  <w:pPr>
                    <w:keepNext w:val="0"/>
                    <w:keepLines w:val="0"/>
                    <w:pageBreakBefore w:val="0"/>
                    <w:widowControl/>
                    <w:kinsoku/>
                    <w:wordWrap w:val="0"/>
                    <w:overflowPunct/>
                    <w:topLinePunct w:val="0"/>
                    <w:autoSpaceDE w:val="0"/>
                    <w:autoSpaceDN w:val="0"/>
                    <w:bidi w:val="0"/>
                    <w:adjustRightInd/>
                    <w:snapToGrid/>
                    <w:spacing w:line="240" w:lineRule="auto"/>
                    <w:ind w:firstLine="400" w:firstLineChars="200"/>
                    <w:jc w:val="left"/>
                    <w:textAlignment w:val="auto"/>
                    <w:rPr>
                      <w:rFonts w:hint="eastAsia" w:cs="宋体"/>
                      <w:kern w:val="0"/>
                      <w:sz w:val="20"/>
                      <w:szCs w:val="20"/>
                      <w:highlight w:val="none"/>
                      <w:lang w:val="en-US" w:eastAsia="zh-CN" w:bidi="ar-SA"/>
                    </w:rPr>
                  </w:pPr>
                  <w:r>
                    <w:rPr>
                      <w:rFonts w:hint="eastAsia" w:ascii="仿宋" w:hAnsi="仿宋" w:eastAsia="仿宋" w:cs="宋体"/>
                      <w:color w:val="0000FF"/>
                      <w:kern w:val="0"/>
                      <w:sz w:val="20"/>
                      <w:szCs w:val="20"/>
                      <w:highlight w:val="none"/>
                    </w:rPr>
                    <w:t>▲</w:t>
                  </w:r>
                  <w:r>
                    <w:rPr>
                      <w:rFonts w:hint="eastAsia" w:cs="宋体"/>
                      <w:kern w:val="0"/>
                      <w:sz w:val="20"/>
                      <w:szCs w:val="20"/>
                      <w:highlight w:val="none"/>
                      <w:lang w:val="en-US" w:eastAsia="zh-CN" w:bidi="ar-SA"/>
                    </w:rPr>
                    <w:t>17.支持包括但不限于按照抓拍时间查询和存储时间查询两种或以上方式查询图片（须提供CNAS或</w:t>
                  </w:r>
                  <w:r>
                    <w:rPr>
                      <w:rFonts w:hint="default" w:cs="宋体"/>
                      <w:kern w:val="0"/>
                      <w:sz w:val="20"/>
                      <w:szCs w:val="20"/>
                      <w:highlight w:val="none"/>
                      <w:lang w:val="en-US" w:eastAsia="zh-CN" w:bidi="ar-SA"/>
                    </w:rPr>
                    <w:t>CMA</w:t>
                  </w:r>
                  <w:r>
                    <w:rPr>
                      <w:rFonts w:hint="eastAsia" w:cs="宋体"/>
                      <w:kern w:val="0"/>
                      <w:sz w:val="20"/>
                      <w:szCs w:val="20"/>
                      <w:highlight w:val="none"/>
                      <w:lang w:val="en-US" w:eastAsia="zh-CN" w:bidi="ar-SA"/>
                    </w:rPr>
                    <w:t>有效认证的检测机构出具的检测（验）报告等复印件并加盖投标人公章。）；</w:t>
                  </w:r>
                </w:p>
                <w:p>
                  <w:pPr>
                    <w:keepNext w:val="0"/>
                    <w:keepLines w:val="0"/>
                    <w:pageBreakBefore w:val="0"/>
                    <w:widowControl/>
                    <w:kinsoku/>
                    <w:wordWrap w:val="0"/>
                    <w:overflowPunct/>
                    <w:topLinePunct w:val="0"/>
                    <w:autoSpaceDE w:val="0"/>
                    <w:autoSpaceDN w:val="0"/>
                    <w:bidi w:val="0"/>
                    <w:adjustRightInd/>
                    <w:snapToGrid/>
                    <w:spacing w:line="240" w:lineRule="auto"/>
                    <w:ind w:firstLine="400" w:firstLineChars="200"/>
                    <w:jc w:val="left"/>
                    <w:textAlignment w:val="auto"/>
                    <w:rPr>
                      <w:rFonts w:hint="eastAsia" w:ascii="仿宋" w:hAnsi="仿宋" w:eastAsia="仿宋" w:cs="宋体"/>
                      <w:kern w:val="0"/>
                      <w:sz w:val="20"/>
                      <w:szCs w:val="20"/>
                      <w:highlight w:val="none"/>
                      <w:lang w:val="en-US" w:eastAsia="zh-CN" w:bidi="ar-SA"/>
                    </w:rPr>
                  </w:pPr>
                  <w:r>
                    <w:rPr>
                      <w:rFonts w:hint="eastAsia" w:ascii="仿宋" w:hAnsi="仿宋" w:eastAsia="仿宋" w:cs="宋体"/>
                      <w:color w:val="0000FF"/>
                      <w:kern w:val="0"/>
                      <w:sz w:val="20"/>
                      <w:szCs w:val="20"/>
                      <w:highlight w:val="none"/>
                    </w:rPr>
                    <w:t>▲</w:t>
                  </w:r>
                  <w:r>
                    <w:rPr>
                      <w:rFonts w:hint="eastAsia" w:cs="宋体"/>
                      <w:color w:val="0000FF"/>
                      <w:kern w:val="0"/>
                      <w:sz w:val="20"/>
                      <w:szCs w:val="20"/>
                      <w:highlight w:val="none"/>
                      <w:lang w:val="en-US" w:eastAsia="zh-CN"/>
                    </w:rPr>
                    <w:t>18.支持关联合成卡口重用，当抓拍到车辆在卡口有多种违法行为时，可以将多种违法图进行合成</w:t>
                  </w:r>
                  <w:r>
                    <w:rPr>
                      <w:rFonts w:hint="eastAsia" w:cs="宋体"/>
                      <w:kern w:val="0"/>
                      <w:sz w:val="20"/>
                      <w:szCs w:val="20"/>
                      <w:highlight w:val="none"/>
                      <w:lang w:val="en-US" w:eastAsia="zh-CN" w:bidi="ar-SA"/>
                    </w:rPr>
                    <w:t>（须提供CNAS或</w:t>
                  </w:r>
                  <w:r>
                    <w:rPr>
                      <w:rFonts w:hint="default" w:cs="宋体"/>
                      <w:kern w:val="0"/>
                      <w:sz w:val="20"/>
                      <w:szCs w:val="20"/>
                      <w:highlight w:val="none"/>
                      <w:lang w:val="en-US" w:eastAsia="zh-CN" w:bidi="ar-SA"/>
                    </w:rPr>
                    <w:t>CMA</w:t>
                  </w:r>
                  <w:r>
                    <w:rPr>
                      <w:rFonts w:hint="eastAsia" w:cs="宋体"/>
                      <w:kern w:val="0"/>
                      <w:sz w:val="20"/>
                      <w:szCs w:val="20"/>
                      <w:highlight w:val="none"/>
                      <w:lang w:val="en-US" w:eastAsia="zh-CN" w:bidi="ar-SA"/>
                    </w:rPr>
                    <w:t>有效认证的检测机构出具的检测（验）报告等复印件并加盖投标人公章。）</w:t>
                  </w:r>
                  <w:r>
                    <w:rPr>
                      <w:rFonts w:hint="eastAsia" w:ascii="仿宋" w:hAnsi="仿宋" w:eastAsia="仿宋" w:cs="宋体"/>
                      <w:kern w:val="0"/>
                      <w:sz w:val="20"/>
                      <w:szCs w:val="20"/>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07" w:type="dxa"/>
                  <w:shd w:val="clear" w:color="auto" w:fill="auto"/>
                  <w:vAlign w:val="center"/>
                </w:tcPr>
                <w:p>
                  <w:pPr>
                    <w:pStyle w:val="25"/>
                    <w:keepNext w:val="0"/>
                    <w:keepLines w:val="0"/>
                    <w:pageBreakBefore w:val="0"/>
                    <w:kinsoku/>
                    <w:wordWrap w:val="0"/>
                    <w:overflowPunct/>
                    <w:topLinePunct w:val="0"/>
                    <w:autoSpaceDE w:val="0"/>
                    <w:autoSpaceDN w:val="0"/>
                    <w:bidi w:val="0"/>
                    <w:adjustRightInd/>
                    <w:snapToGrid/>
                    <w:ind w:firstLine="0" w:firstLineChars="0"/>
                    <w:textAlignment w:val="auto"/>
                    <w:rPr>
                      <w:rFonts w:hint="eastAsia"/>
                      <w:highlight w:val="none"/>
                      <w:lang w:val="en-US" w:eastAsia="zh-CN"/>
                    </w:rPr>
                  </w:pPr>
                  <w:r>
                    <w:rPr>
                      <w:rFonts w:hint="eastAsia"/>
                      <w:highlight w:val="none"/>
                      <w:lang w:val="en-US" w:eastAsia="zh-CN"/>
                    </w:rPr>
                    <w:t>4</w:t>
                  </w:r>
                </w:p>
              </w:tc>
              <w:tc>
                <w:tcPr>
                  <w:tcW w:w="1110" w:type="dxa"/>
                  <w:shd w:val="clear" w:color="auto" w:fill="auto"/>
                  <w:vAlign w:val="center"/>
                </w:tcPr>
                <w:p>
                  <w:pPr>
                    <w:pStyle w:val="25"/>
                    <w:keepNext w:val="0"/>
                    <w:keepLines w:val="0"/>
                    <w:pageBreakBefore w:val="0"/>
                    <w:kinsoku/>
                    <w:wordWrap w:val="0"/>
                    <w:overflowPunct/>
                    <w:topLinePunct w:val="0"/>
                    <w:autoSpaceDE w:val="0"/>
                    <w:autoSpaceDN w:val="0"/>
                    <w:bidi w:val="0"/>
                    <w:adjustRightInd/>
                    <w:snapToGrid/>
                    <w:ind w:firstLine="0" w:firstLineChars="0"/>
                    <w:textAlignment w:val="auto"/>
                    <w:rPr>
                      <w:rFonts w:hint="eastAsia"/>
                      <w:highlight w:val="none"/>
                      <w:lang w:val="en-US" w:eastAsia="zh-CN"/>
                    </w:rPr>
                  </w:pPr>
                  <w:r>
                    <w:rPr>
                      <w:rFonts w:hint="eastAsia"/>
                      <w:highlight w:val="none"/>
                    </w:rPr>
                    <w:t>移动违法取证抓拍球机</w:t>
                  </w:r>
                </w:p>
              </w:tc>
              <w:tc>
                <w:tcPr>
                  <w:tcW w:w="6749" w:type="dxa"/>
                  <w:shd w:val="clear" w:color="000000" w:fill="FFFFFF"/>
                  <w:vAlign w:val="center"/>
                </w:tcPr>
                <w:p>
                  <w:pPr>
                    <w:keepNext w:val="0"/>
                    <w:keepLines w:val="0"/>
                    <w:pageBreakBefore w:val="0"/>
                    <w:widowControl/>
                    <w:kinsoku/>
                    <w:wordWrap w:val="0"/>
                    <w:overflowPunct/>
                    <w:topLinePunct w:val="0"/>
                    <w:autoSpaceDE w:val="0"/>
                    <w:autoSpaceDN w:val="0"/>
                    <w:bidi w:val="0"/>
                    <w:adjustRightInd/>
                    <w:snapToGrid/>
                    <w:spacing w:line="240" w:lineRule="auto"/>
                    <w:ind w:firstLine="400" w:firstLineChars="200"/>
                    <w:jc w:val="left"/>
                    <w:textAlignment w:val="auto"/>
                    <w:rPr>
                      <w:rFonts w:hint="eastAsia" w:ascii="仿宋" w:hAnsi="仿宋" w:eastAsia="仿宋" w:cs="宋体"/>
                      <w:kern w:val="0"/>
                      <w:sz w:val="20"/>
                      <w:szCs w:val="20"/>
                      <w:highlight w:val="none"/>
                      <w:lang w:val="en-US" w:eastAsia="zh-CN" w:bidi="ar-SA"/>
                    </w:rPr>
                  </w:pPr>
                  <w:r>
                    <w:rPr>
                      <w:rFonts w:hint="eastAsia" w:ascii="仿宋" w:hAnsi="仿宋" w:eastAsia="仿宋" w:cs="宋体"/>
                      <w:kern w:val="0"/>
                      <w:sz w:val="20"/>
                      <w:szCs w:val="20"/>
                      <w:highlight w:val="none"/>
                      <w:lang w:val="en-US" w:eastAsia="zh-CN" w:bidi="ar-SA"/>
                    </w:rPr>
                    <w:t>1.传感器分辨率≥2560×1440，传感器靶面≥1/1.8"，不低于32倍光学变倍，焦距范围不低于6mm~192mm；</w:t>
                  </w:r>
                </w:p>
                <w:p>
                  <w:pPr>
                    <w:keepNext w:val="0"/>
                    <w:keepLines w:val="0"/>
                    <w:pageBreakBefore w:val="0"/>
                    <w:widowControl/>
                    <w:kinsoku/>
                    <w:wordWrap w:val="0"/>
                    <w:overflowPunct/>
                    <w:topLinePunct w:val="0"/>
                    <w:autoSpaceDE w:val="0"/>
                    <w:autoSpaceDN w:val="0"/>
                    <w:bidi w:val="0"/>
                    <w:adjustRightInd/>
                    <w:snapToGrid/>
                    <w:spacing w:line="240" w:lineRule="auto"/>
                    <w:ind w:firstLine="400" w:firstLineChars="200"/>
                    <w:jc w:val="left"/>
                    <w:textAlignment w:val="auto"/>
                    <w:rPr>
                      <w:rFonts w:hint="eastAsia" w:ascii="仿宋" w:hAnsi="仿宋" w:eastAsia="仿宋" w:cs="宋体"/>
                      <w:kern w:val="0"/>
                      <w:sz w:val="20"/>
                      <w:szCs w:val="20"/>
                      <w:highlight w:val="none"/>
                      <w:lang w:val="en-US" w:eastAsia="zh-CN" w:bidi="ar-SA"/>
                    </w:rPr>
                  </w:pPr>
                  <w:r>
                    <w:rPr>
                      <w:rFonts w:hint="eastAsia" w:ascii="仿宋" w:hAnsi="仿宋" w:eastAsia="仿宋" w:cs="宋体"/>
                      <w:kern w:val="0"/>
                      <w:sz w:val="20"/>
                      <w:szCs w:val="20"/>
                      <w:highlight w:val="none"/>
                      <w:lang w:val="en-US" w:eastAsia="zh-CN" w:bidi="ar-SA"/>
                    </w:rPr>
                    <w:t>2.内置≥1个CPU、GPU、NPU—体化芯片；</w:t>
                  </w:r>
                </w:p>
                <w:p>
                  <w:pPr>
                    <w:keepNext w:val="0"/>
                    <w:keepLines w:val="0"/>
                    <w:pageBreakBefore w:val="0"/>
                    <w:widowControl/>
                    <w:kinsoku/>
                    <w:wordWrap w:val="0"/>
                    <w:overflowPunct/>
                    <w:topLinePunct w:val="0"/>
                    <w:autoSpaceDE w:val="0"/>
                    <w:autoSpaceDN w:val="0"/>
                    <w:bidi w:val="0"/>
                    <w:adjustRightInd/>
                    <w:snapToGrid/>
                    <w:spacing w:line="240" w:lineRule="auto"/>
                    <w:ind w:firstLine="400" w:firstLineChars="200"/>
                    <w:jc w:val="left"/>
                    <w:textAlignment w:val="auto"/>
                    <w:rPr>
                      <w:rFonts w:hint="eastAsia" w:ascii="仿宋" w:hAnsi="仿宋" w:eastAsia="仿宋" w:cs="宋体"/>
                      <w:kern w:val="0"/>
                      <w:sz w:val="20"/>
                      <w:szCs w:val="20"/>
                      <w:highlight w:val="none"/>
                      <w:lang w:val="en-US" w:eastAsia="zh-CN" w:bidi="ar-SA"/>
                    </w:rPr>
                  </w:pPr>
                  <w:r>
                    <w:rPr>
                      <w:rFonts w:hint="eastAsia" w:ascii="仿宋" w:hAnsi="仿宋" w:eastAsia="仿宋" w:cs="宋体"/>
                      <w:kern w:val="0"/>
                      <w:sz w:val="20"/>
                      <w:szCs w:val="20"/>
                      <w:highlight w:val="none"/>
                      <w:lang w:val="en-US" w:eastAsia="zh-CN" w:bidi="ar-SA"/>
                    </w:rPr>
                    <w:t>3.内置红外和白光补光灯，红外补光距离≥200m</w:t>
                  </w:r>
                </w:p>
                <w:p>
                  <w:pPr>
                    <w:keepNext w:val="0"/>
                    <w:keepLines w:val="0"/>
                    <w:pageBreakBefore w:val="0"/>
                    <w:widowControl/>
                    <w:kinsoku/>
                    <w:wordWrap w:val="0"/>
                    <w:overflowPunct/>
                    <w:topLinePunct w:val="0"/>
                    <w:autoSpaceDE w:val="0"/>
                    <w:autoSpaceDN w:val="0"/>
                    <w:bidi w:val="0"/>
                    <w:adjustRightInd/>
                    <w:snapToGrid/>
                    <w:spacing w:line="240" w:lineRule="auto"/>
                    <w:ind w:firstLine="400" w:firstLineChars="200"/>
                    <w:jc w:val="left"/>
                    <w:textAlignment w:val="auto"/>
                    <w:rPr>
                      <w:rFonts w:hint="eastAsia" w:ascii="仿宋" w:hAnsi="仿宋" w:eastAsia="仿宋" w:cs="宋体"/>
                      <w:kern w:val="0"/>
                      <w:sz w:val="20"/>
                      <w:szCs w:val="20"/>
                      <w:highlight w:val="none"/>
                      <w:lang w:val="en-US" w:eastAsia="zh-CN" w:bidi="ar-SA"/>
                    </w:rPr>
                  </w:pPr>
                  <w:r>
                    <w:rPr>
                      <w:rFonts w:hint="eastAsia" w:ascii="仿宋" w:hAnsi="仿宋" w:eastAsia="仿宋" w:cs="宋体"/>
                      <w:kern w:val="0"/>
                      <w:sz w:val="20"/>
                      <w:szCs w:val="20"/>
                      <w:highlight w:val="none"/>
                      <w:lang w:val="en-US" w:eastAsia="zh-CN" w:bidi="ar-SA"/>
                    </w:rPr>
                    <w:t>4.支持4种多算法切换运行：人脸抓拍模式、车辆抓拍模式、行为分析模式、混合并行抓拍模式;</w:t>
                  </w:r>
                </w:p>
                <w:p>
                  <w:pPr>
                    <w:keepNext w:val="0"/>
                    <w:keepLines w:val="0"/>
                    <w:pageBreakBefore w:val="0"/>
                    <w:widowControl/>
                    <w:kinsoku/>
                    <w:wordWrap w:val="0"/>
                    <w:overflowPunct/>
                    <w:topLinePunct w:val="0"/>
                    <w:autoSpaceDE w:val="0"/>
                    <w:autoSpaceDN w:val="0"/>
                    <w:bidi w:val="0"/>
                    <w:adjustRightInd/>
                    <w:snapToGrid/>
                    <w:spacing w:line="240" w:lineRule="auto"/>
                    <w:ind w:firstLine="400" w:firstLineChars="200"/>
                    <w:jc w:val="left"/>
                    <w:textAlignment w:val="auto"/>
                    <w:rPr>
                      <w:rFonts w:hint="eastAsia" w:ascii="仿宋" w:hAnsi="仿宋" w:eastAsia="仿宋" w:cs="宋体"/>
                      <w:kern w:val="0"/>
                      <w:sz w:val="20"/>
                      <w:szCs w:val="20"/>
                      <w:highlight w:val="none"/>
                      <w:lang w:val="en-US" w:eastAsia="zh-CN" w:bidi="ar-SA"/>
                    </w:rPr>
                  </w:pPr>
                  <w:r>
                    <w:rPr>
                      <w:rFonts w:hint="eastAsia" w:ascii="仿宋" w:hAnsi="仿宋" w:eastAsia="仿宋" w:cs="宋体"/>
                      <w:kern w:val="0"/>
                      <w:sz w:val="20"/>
                      <w:szCs w:val="20"/>
                      <w:highlight w:val="none"/>
                      <w:lang w:val="en-US" w:eastAsia="zh-CN" w:bidi="ar-SA"/>
                    </w:rPr>
                    <w:t>5.支持违法停车行为检测功能，停车时间可自定义，捕获率≥99%，准确率≥99%；</w:t>
                  </w:r>
                </w:p>
                <w:p>
                  <w:pPr>
                    <w:keepNext w:val="0"/>
                    <w:keepLines w:val="0"/>
                    <w:pageBreakBefore w:val="0"/>
                    <w:widowControl/>
                    <w:kinsoku/>
                    <w:wordWrap w:val="0"/>
                    <w:overflowPunct/>
                    <w:topLinePunct w:val="0"/>
                    <w:autoSpaceDE w:val="0"/>
                    <w:autoSpaceDN w:val="0"/>
                    <w:bidi w:val="0"/>
                    <w:adjustRightInd/>
                    <w:snapToGrid/>
                    <w:spacing w:line="240" w:lineRule="auto"/>
                    <w:ind w:firstLine="400" w:firstLineChars="200"/>
                    <w:jc w:val="left"/>
                    <w:textAlignment w:val="auto"/>
                    <w:rPr>
                      <w:rFonts w:hint="eastAsia" w:ascii="仿宋" w:hAnsi="仿宋" w:eastAsia="仿宋" w:cs="宋体"/>
                      <w:kern w:val="0"/>
                      <w:sz w:val="20"/>
                      <w:szCs w:val="20"/>
                      <w:highlight w:val="none"/>
                      <w:lang w:val="en-US" w:eastAsia="zh-CN" w:bidi="ar-SA"/>
                    </w:rPr>
                  </w:pPr>
                  <w:r>
                    <w:rPr>
                      <w:rFonts w:hint="eastAsia" w:ascii="仿宋" w:hAnsi="仿宋" w:eastAsia="仿宋" w:cs="宋体"/>
                      <w:kern w:val="0"/>
                      <w:sz w:val="20"/>
                      <w:szCs w:val="20"/>
                      <w:highlight w:val="none"/>
                      <w:lang w:val="en-US" w:eastAsia="zh-CN" w:bidi="ar-SA"/>
                    </w:rPr>
                    <w:t>6.具有license管理功能，可根据license启用不同的智能算法；</w:t>
                  </w:r>
                </w:p>
                <w:p>
                  <w:pPr>
                    <w:keepNext w:val="0"/>
                    <w:keepLines w:val="0"/>
                    <w:pageBreakBefore w:val="0"/>
                    <w:widowControl/>
                    <w:kinsoku/>
                    <w:wordWrap w:val="0"/>
                    <w:overflowPunct/>
                    <w:topLinePunct w:val="0"/>
                    <w:autoSpaceDE w:val="0"/>
                    <w:autoSpaceDN w:val="0"/>
                    <w:bidi w:val="0"/>
                    <w:adjustRightInd/>
                    <w:snapToGrid/>
                    <w:spacing w:line="240" w:lineRule="auto"/>
                    <w:ind w:firstLine="400" w:firstLineChars="200"/>
                    <w:jc w:val="left"/>
                    <w:textAlignment w:val="auto"/>
                    <w:rPr>
                      <w:rFonts w:hint="eastAsia" w:ascii="仿宋" w:hAnsi="仿宋" w:eastAsia="仿宋" w:cs="宋体"/>
                      <w:kern w:val="0"/>
                      <w:sz w:val="20"/>
                      <w:szCs w:val="20"/>
                      <w:highlight w:val="none"/>
                      <w:lang w:val="en-US" w:eastAsia="zh-CN" w:bidi="ar-SA"/>
                    </w:rPr>
                  </w:pPr>
                  <w:r>
                    <w:rPr>
                      <w:rFonts w:hint="eastAsia" w:ascii="仿宋" w:hAnsi="仿宋" w:eastAsia="仿宋" w:cs="宋体"/>
                      <w:kern w:val="0"/>
                      <w:sz w:val="20"/>
                      <w:szCs w:val="20"/>
                      <w:highlight w:val="none"/>
                      <w:lang w:val="en-US" w:eastAsia="zh-CN" w:bidi="ar-SA"/>
                    </w:rPr>
                    <w:t>7.设备内置陀螺仪，支持陀螺仪防抖算法，降低图像抖动；</w:t>
                  </w:r>
                </w:p>
                <w:p>
                  <w:pPr>
                    <w:keepNext w:val="0"/>
                    <w:keepLines w:val="0"/>
                    <w:pageBreakBefore w:val="0"/>
                    <w:widowControl/>
                    <w:kinsoku/>
                    <w:wordWrap w:val="0"/>
                    <w:overflowPunct/>
                    <w:topLinePunct w:val="0"/>
                    <w:autoSpaceDE w:val="0"/>
                    <w:autoSpaceDN w:val="0"/>
                    <w:bidi w:val="0"/>
                    <w:adjustRightInd/>
                    <w:snapToGrid/>
                    <w:spacing w:line="240" w:lineRule="auto"/>
                    <w:ind w:firstLine="400" w:firstLineChars="200"/>
                    <w:jc w:val="left"/>
                    <w:textAlignment w:val="auto"/>
                    <w:rPr>
                      <w:rFonts w:hint="eastAsia" w:ascii="仿宋" w:hAnsi="仿宋" w:eastAsia="仿宋" w:cs="宋体"/>
                      <w:color w:val="0000FF"/>
                      <w:kern w:val="0"/>
                      <w:sz w:val="20"/>
                      <w:szCs w:val="20"/>
                      <w:highlight w:val="none"/>
                      <w:lang w:val="en-US" w:eastAsia="zh-CN" w:bidi="ar-SA"/>
                    </w:rPr>
                  </w:pPr>
                  <w:r>
                    <w:rPr>
                      <w:rFonts w:hint="eastAsia" w:ascii="仿宋" w:hAnsi="仿宋" w:eastAsia="仿宋" w:cs="宋体"/>
                      <w:color w:val="0000FF"/>
                      <w:kern w:val="0"/>
                      <w:sz w:val="20"/>
                      <w:szCs w:val="20"/>
                      <w:highlight w:val="none"/>
                    </w:rPr>
                    <w:t>▲</w:t>
                  </w:r>
                  <w:r>
                    <w:rPr>
                      <w:rFonts w:hint="eastAsia" w:ascii="仿宋" w:hAnsi="仿宋" w:eastAsia="仿宋" w:cs="宋体"/>
                      <w:color w:val="0000FF"/>
                      <w:kern w:val="0"/>
                      <w:sz w:val="20"/>
                      <w:szCs w:val="20"/>
                      <w:highlight w:val="none"/>
                      <w:lang w:val="en-US" w:eastAsia="zh-CN" w:bidi="ar-SA"/>
                    </w:rPr>
                    <w:t>8.支持生态算法（业界标准rpm包格式+签名组成的tar包）的安装、启用、停用、卸载管理，并支持算法包安装时的完整性校验；</w:t>
                  </w:r>
                  <w:r>
                    <w:rPr>
                      <w:rStyle w:val="31"/>
                      <w:rFonts w:hint="eastAsia"/>
                      <w:color w:val="0000FF"/>
                      <w:highlight w:val="none"/>
                      <w:lang w:eastAsia="zh-CN"/>
                    </w:rPr>
                    <w:t>（</w:t>
                  </w:r>
                  <w:r>
                    <w:rPr>
                      <w:rStyle w:val="31"/>
                      <w:color w:val="0000FF"/>
                      <w:highlight w:val="none"/>
                    </w:rPr>
                    <w:t>须提供CNAS或CMA有效认证的检测机构出具的检测（验）报告等复印件并加盖投标人公章</w:t>
                  </w:r>
                  <w:r>
                    <w:rPr>
                      <w:rStyle w:val="31"/>
                      <w:rFonts w:hint="eastAsia"/>
                      <w:color w:val="0000FF"/>
                      <w:highlight w:val="none"/>
                      <w:lang w:eastAsia="zh-CN"/>
                    </w:rPr>
                    <w:t>。）</w:t>
                  </w:r>
                </w:p>
                <w:p>
                  <w:pPr>
                    <w:keepNext w:val="0"/>
                    <w:keepLines w:val="0"/>
                    <w:pageBreakBefore w:val="0"/>
                    <w:widowControl/>
                    <w:kinsoku/>
                    <w:wordWrap w:val="0"/>
                    <w:overflowPunct/>
                    <w:topLinePunct w:val="0"/>
                    <w:autoSpaceDE w:val="0"/>
                    <w:autoSpaceDN w:val="0"/>
                    <w:bidi w:val="0"/>
                    <w:adjustRightInd/>
                    <w:snapToGrid/>
                    <w:spacing w:line="240" w:lineRule="auto"/>
                    <w:ind w:firstLine="400" w:firstLineChars="200"/>
                    <w:jc w:val="left"/>
                    <w:textAlignment w:val="auto"/>
                    <w:rPr>
                      <w:rFonts w:hint="eastAsia" w:ascii="仿宋" w:hAnsi="仿宋" w:eastAsia="仿宋" w:cs="宋体"/>
                      <w:kern w:val="0"/>
                      <w:sz w:val="20"/>
                      <w:szCs w:val="20"/>
                      <w:highlight w:val="none"/>
                      <w:lang w:val="en-US" w:eastAsia="zh-CN" w:bidi="ar-SA"/>
                    </w:rPr>
                  </w:pPr>
                  <w:r>
                    <w:rPr>
                      <w:rFonts w:hint="eastAsia" w:ascii="仿宋" w:hAnsi="仿宋" w:eastAsia="仿宋" w:cs="宋体"/>
                      <w:kern w:val="0"/>
                      <w:sz w:val="20"/>
                      <w:szCs w:val="20"/>
                      <w:highlight w:val="none"/>
                      <w:lang w:val="en-US" w:eastAsia="zh-CN" w:bidi="ar-SA"/>
                    </w:rPr>
                    <w:t>9.防护等级不低于：IP66、IK10；</w:t>
                  </w:r>
                </w:p>
                <w:p>
                  <w:pPr>
                    <w:keepNext w:val="0"/>
                    <w:keepLines w:val="0"/>
                    <w:pageBreakBefore w:val="0"/>
                    <w:widowControl/>
                    <w:kinsoku/>
                    <w:wordWrap w:val="0"/>
                    <w:overflowPunct/>
                    <w:topLinePunct w:val="0"/>
                    <w:autoSpaceDE w:val="0"/>
                    <w:autoSpaceDN w:val="0"/>
                    <w:bidi w:val="0"/>
                    <w:adjustRightInd/>
                    <w:snapToGrid/>
                    <w:spacing w:line="240" w:lineRule="auto"/>
                    <w:ind w:firstLine="400" w:firstLineChars="200"/>
                    <w:jc w:val="left"/>
                    <w:textAlignment w:val="auto"/>
                    <w:rPr>
                      <w:rFonts w:hint="eastAsia" w:cs="宋体"/>
                      <w:kern w:val="0"/>
                      <w:sz w:val="20"/>
                      <w:szCs w:val="20"/>
                      <w:highlight w:val="none"/>
                      <w:lang w:val="en-US" w:eastAsia="zh-CN" w:bidi="ar-SA"/>
                    </w:rPr>
                  </w:pPr>
                  <w:r>
                    <w:rPr>
                      <w:rFonts w:hint="eastAsia" w:ascii="仿宋" w:hAnsi="仿宋" w:eastAsia="仿宋" w:cs="宋体"/>
                      <w:kern w:val="0"/>
                      <w:sz w:val="20"/>
                      <w:szCs w:val="20"/>
                      <w:highlight w:val="none"/>
                      <w:lang w:val="en-US" w:eastAsia="zh-CN" w:bidi="ar-SA"/>
                    </w:rPr>
                    <w:t>10.电源功耗：最大功耗＜18W</w:t>
                  </w:r>
                  <w:r>
                    <w:rPr>
                      <w:rFonts w:hint="eastAsia" w:cs="宋体"/>
                      <w:kern w:val="0"/>
                      <w:sz w:val="20"/>
                      <w:szCs w:val="20"/>
                      <w:highlight w:val="none"/>
                      <w:lang w:val="en-US" w:eastAsia="zh-CN" w:bidi="ar-SA"/>
                    </w:rPr>
                    <w:t>；</w:t>
                  </w:r>
                </w:p>
                <w:p>
                  <w:pPr>
                    <w:keepNext w:val="0"/>
                    <w:keepLines w:val="0"/>
                    <w:pageBreakBefore w:val="0"/>
                    <w:widowControl/>
                    <w:kinsoku/>
                    <w:wordWrap w:val="0"/>
                    <w:overflowPunct/>
                    <w:topLinePunct w:val="0"/>
                    <w:autoSpaceDE w:val="0"/>
                    <w:autoSpaceDN w:val="0"/>
                    <w:bidi w:val="0"/>
                    <w:adjustRightInd/>
                    <w:snapToGrid/>
                    <w:spacing w:line="240" w:lineRule="auto"/>
                    <w:ind w:firstLine="400" w:firstLineChars="200"/>
                    <w:jc w:val="left"/>
                    <w:textAlignment w:val="auto"/>
                    <w:rPr>
                      <w:rFonts w:hint="eastAsia" w:ascii="仿宋" w:hAnsi="仿宋" w:eastAsia="仿宋" w:cs="宋体"/>
                      <w:kern w:val="0"/>
                      <w:sz w:val="20"/>
                      <w:szCs w:val="20"/>
                      <w:highlight w:val="none"/>
                      <w:lang w:val="en-US" w:eastAsia="zh-CN" w:bidi="ar-SA"/>
                    </w:rPr>
                  </w:pPr>
                  <w:r>
                    <w:rPr>
                      <w:rFonts w:hint="eastAsia" w:ascii="仿宋" w:hAnsi="仿宋" w:eastAsia="仿宋" w:cs="宋体"/>
                      <w:color w:val="0000FF"/>
                      <w:kern w:val="0"/>
                      <w:sz w:val="20"/>
                      <w:szCs w:val="20"/>
                      <w:highlight w:val="none"/>
                    </w:rPr>
                    <w:t>▲</w:t>
                  </w:r>
                  <w:r>
                    <w:rPr>
                      <w:rFonts w:hint="eastAsia" w:cs="宋体"/>
                      <w:kern w:val="0"/>
                      <w:sz w:val="20"/>
                      <w:szCs w:val="20"/>
                      <w:highlight w:val="none"/>
                      <w:lang w:val="en-US" w:eastAsia="zh-CN" w:bidi="ar-SA"/>
                    </w:rPr>
                    <w:t>11.支持不少于500个预置位，支持不少于16条巡航路径，支持不少于7条以上的模式路径设置。调用预置位时，样机在达到目标预置位前，监视画面可停留在原始位置</w:t>
                  </w:r>
                  <w:r>
                    <w:rPr>
                      <w:rStyle w:val="31"/>
                      <w:rFonts w:hint="eastAsia"/>
                      <w:color w:val="0000FF"/>
                      <w:highlight w:val="none"/>
                      <w:lang w:eastAsia="zh-CN"/>
                    </w:rPr>
                    <w:t>（</w:t>
                  </w:r>
                  <w:r>
                    <w:rPr>
                      <w:rStyle w:val="31"/>
                      <w:color w:val="0000FF"/>
                      <w:highlight w:val="none"/>
                    </w:rPr>
                    <w:t>须提供CNAS或CMA有效认证的检测机构出具的检测（验）报告等复印件并加盖投标人公章</w:t>
                  </w:r>
                  <w:r>
                    <w:rPr>
                      <w:rStyle w:val="31"/>
                      <w:rFonts w:hint="eastAsia"/>
                      <w:color w:val="0000FF"/>
                      <w:highlight w:val="none"/>
                      <w:lang w:eastAsia="zh-CN"/>
                    </w:rPr>
                    <w:t>。）</w:t>
                  </w:r>
                  <w:r>
                    <w:rPr>
                      <w:rFonts w:hint="eastAsia" w:ascii="仿宋" w:hAnsi="仿宋" w:eastAsia="仿宋" w:cs="宋体"/>
                      <w:kern w:val="0"/>
                      <w:sz w:val="20"/>
                      <w:szCs w:val="20"/>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07" w:type="dxa"/>
                  <w:shd w:val="clear" w:color="auto" w:fill="auto"/>
                  <w:vAlign w:val="center"/>
                </w:tcPr>
                <w:p>
                  <w:pPr>
                    <w:pStyle w:val="25"/>
                    <w:keepNext w:val="0"/>
                    <w:keepLines w:val="0"/>
                    <w:pageBreakBefore w:val="0"/>
                    <w:kinsoku/>
                    <w:wordWrap w:val="0"/>
                    <w:overflowPunct/>
                    <w:topLinePunct w:val="0"/>
                    <w:autoSpaceDE w:val="0"/>
                    <w:autoSpaceDN w:val="0"/>
                    <w:bidi w:val="0"/>
                    <w:adjustRightInd/>
                    <w:snapToGrid/>
                    <w:ind w:firstLine="0" w:firstLineChars="0"/>
                    <w:textAlignment w:val="auto"/>
                    <w:rPr>
                      <w:rFonts w:hint="eastAsia"/>
                      <w:highlight w:val="none"/>
                      <w:lang w:val="en-US" w:eastAsia="zh-CN"/>
                    </w:rPr>
                  </w:pPr>
                </w:p>
              </w:tc>
              <w:tc>
                <w:tcPr>
                  <w:tcW w:w="1110" w:type="dxa"/>
                  <w:shd w:val="clear" w:color="auto" w:fill="auto"/>
                  <w:vAlign w:val="center"/>
                </w:tcPr>
                <w:p>
                  <w:pPr>
                    <w:pStyle w:val="25"/>
                    <w:keepNext w:val="0"/>
                    <w:keepLines w:val="0"/>
                    <w:pageBreakBefore w:val="0"/>
                    <w:kinsoku/>
                    <w:wordWrap w:val="0"/>
                    <w:overflowPunct/>
                    <w:topLinePunct w:val="0"/>
                    <w:autoSpaceDE w:val="0"/>
                    <w:autoSpaceDN w:val="0"/>
                    <w:bidi w:val="0"/>
                    <w:adjustRightInd/>
                    <w:snapToGrid/>
                    <w:ind w:firstLine="0" w:firstLineChars="0"/>
                    <w:textAlignment w:val="auto"/>
                    <w:rPr>
                      <w:rFonts w:hint="eastAsia"/>
                      <w:highlight w:val="none"/>
                      <w:lang w:val="en-US" w:eastAsia="zh-CN"/>
                    </w:rPr>
                  </w:pPr>
                </w:p>
              </w:tc>
              <w:tc>
                <w:tcPr>
                  <w:tcW w:w="6749" w:type="dxa"/>
                  <w:shd w:val="clear" w:color="000000" w:fill="FFFFFF"/>
                  <w:vAlign w:val="center"/>
                </w:tcPr>
                <w:p>
                  <w:pPr>
                    <w:keepNext w:val="0"/>
                    <w:keepLines w:val="0"/>
                    <w:pageBreakBefore w:val="0"/>
                    <w:widowControl/>
                    <w:kinsoku/>
                    <w:wordWrap w:val="0"/>
                    <w:overflowPunct/>
                    <w:topLinePunct w:val="0"/>
                    <w:autoSpaceDE w:val="0"/>
                    <w:autoSpaceDN w:val="0"/>
                    <w:bidi w:val="0"/>
                    <w:adjustRightInd/>
                    <w:snapToGrid/>
                    <w:ind w:firstLine="400" w:firstLineChars="200"/>
                    <w:jc w:val="left"/>
                    <w:textAlignment w:val="auto"/>
                    <w:rPr>
                      <w:rFonts w:hint="eastAsia" w:ascii="仿宋" w:hAnsi="仿宋" w:eastAsia="仿宋" w:cs="宋体"/>
                      <w:kern w:val="0"/>
                      <w:sz w:val="20"/>
                      <w:szCs w:val="20"/>
                      <w:highlight w:val="none"/>
                      <w:lang w:val="en-US" w:eastAsia="zh-CN" w:bidi="ar-SA"/>
                    </w:rPr>
                  </w:pPr>
                </w:p>
              </w:tc>
            </w:tr>
          </w:tbl>
          <w:p>
            <w:pPr>
              <w:pStyle w:val="25"/>
              <w:bidi w:val="0"/>
              <w:rPr>
                <w:rFonts w:hint="eastAsia"/>
                <w:highlight w:val="none"/>
                <w:lang w:eastAsia="zh-CN"/>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13" w:type="dxa"/>
            <w:vAlign w:val="center"/>
          </w:tcPr>
          <w:p>
            <w:pPr>
              <w:pStyle w:val="25"/>
              <w:bidi w:val="0"/>
              <w:rPr>
                <w:rFonts w:hint="eastAsia"/>
                <w:highlight w:val="none"/>
              </w:rPr>
            </w:pPr>
            <w:r>
              <w:rPr>
                <w:rFonts w:hint="eastAsia"/>
                <w:highlight w:val="none"/>
              </w:rPr>
              <w:t>说明</w:t>
            </w:r>
          </w:p>
        </w:tc>
        <w:tc>
          <w:tcPr>
            <w:tcW w:w="9532" w:type="dxa"/>
            <w:gridSpan w:val="2"/>
            <w:tcBorders>
              <w:top w:val="single" w:color="auto" w:sz="4" w:space="0"/>
            </w:tcBorders>
          </w:tcPr>
          <w:p>
            <w:pPr>
              <w:pStyle w:val="25"/>
              <w:keepNext w:val="0"/>
              <w:keepLines w:val="0"/>
              <w:pageBreakBefore w:val="0"/>
              <w:widowControl w:val="0"/>
              <w:kinsoku/>
              <w:wordWrap/>
              <w:overflowPunct/>
              <w:topLinePunct w:val="0"/>
              <w:autoSpaceDE w:val="0"/>
              <w:autoSpaceDN w:val="0"/>
              <w:bidi w:val="0"/>
              <w:adjustRightInd/>
              <w:snapToGrid/>
              <w:ind w:firstLine="420" w:firstLineChars="200"/>
              <w:jc w:val="left"/>
              <w:textAlignment w:val="auto"/>
              <w:rPr>
                <w:rFonts w:hint="eastAsia"/>
                <w:highlight w:val="none"/>
                <w:lang w:eastAsia="zh-CN"/>
              </w:rPr>
            </w:pPr>
            <w:r>
              <w:rPr>
                <w:rFonts w:hint="eastAsia"/>
                <w:highlight w:val="none"/>
              </w:rPr>
              <w:t>打“★”号条款为实质性条款，若有任何一条负偏离或不满足则导致投标无效。</w:t>
            </w:r>
          </w:p>
          <w:p>
            <w:pPr>
              <w:pStyle w:val="25"/>
              <w:keepNext w:val="0"/>
              <w:keepLines w:val="0"/>
              <w:pageBreakBefore w:val="0"/>
              <w:widowControl w:val="0"/>
              <w:kinsoku/>
              <w:wordWrap/>
              <w:overflowPunct/>
              <w:topLinePunct w:val="0"/>
              <w:autoSpaceDE w:val="0"/>
              <w:autoSpaceDN w:val="0"/>
              <w:bidi w:val="0"/>
              <w:adjustRightInd/>
              <w:snapToGrid/>
              <w:ind w:firstLine="420" w:firstLineChars="200"/>
              <w:jc w:val="left"/>
              <w:textAlignment w:val="auto"/>
              <w:rPr>
                <w:rFonts w:hint="eastAsia"/>
                <w:highlight w:val="none"/>
              </w:rPr>
            </w:pPr>
            <w:r>
              <w:rPr>
                <w:rFonts w:hint="eastAsia"/>
                <w:highlight w:val="none"/>
              </w:rPr>
              <w:t>打“▲”号条款为重要技术参数，若有部分“▲”条款未响应或不满足，将导致其响应性评审加重扣分，但不作为无效投标条款。</w:t>
            </w:r>
          </w:p>
        </w:tc>
      </w:tr>
    </w:tbl>
    <w:p>
      <w:pPr>
        <w:ind w:left="0" w:leftChars="0" w:firstLine="0" w:firstLineChars="0"/>
        <w:rPr>
          <w:rFonts w:hint="eastAsia" w:ascii="仿宋" w:hAnsi="仿宋" w:eastAsia="仿宋" w:cs="仿宋"/>
          <w:color w:val="212121"/>
          <w:spacing w:val="10"/>
          <w:sz w:val="21"/>
          <w:szCs w:val="21"/>
          <w:highlight w:val="none"/>
          <w:lang w:val="en-US" w:eastAsia="zh-CN"/>
        </w:rPr>
      </w:pPr>
    </w:p>
    <w:sectPr>
      <w:footerReference r:id="rId5" w:type="default"/>
      <w:pgSz w:w="11900" w:h="16840"/>
      <w:pgMar w:top="1247" w:right="1247" w:bottom="1247" w:left="1247" w:header="0" w:footer="283" w:gutter="0"/>
      <w:pgBorders>
        <w:top w:val="none" w:sz="0" w:space="0"/>
        <w:left w:val="none" w:sz="0" w:space="0"/>
        <w:bottom w:val="none" w:sz="0" w:space="0"/>
        <w:right w:val="none" w:sz="0" w:space="0"/>
      </w:pgBorders>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华康简标题宋">
    <w:altName w:val="宋体"/>
    <w:panose1 w:val="0201060900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34D635"/>
    <w:multiLevelType w:val="singleLevel"/>
    <w:tmpl w:val="BB34D635"/>
    <w:lvl w:ilvl="0" w:tentative="0">
      <w:start w:val="1"/>
      <w:numFmt w:val="decimal"/>
      <w:suff w:val="nothing"/>
      <w:lvlText w:val="%1、"/>
      <w:lvlJc w:val="left"/>
    </w:lvl>
  </w:abstractNum>
  <w:abstractNum w:abstractNumId="1">
    <w:nsid w:val="D5304F13"/>
    <w:multiLevelType w:val="multilevel"/>
    <w:tmpl w:val="D5304F13"/>
    <w:lvl w:ilvl="0" w:tentative="0">
      <w:start w:val="1"/>
      <w:numFmt w:val="chineseCounting"/>
      <w:pStyle w:val="3"/>
      <w:suff w:val="nothing"/>
      <w:lvlText w:val="%1、"/>
      <w:lvlJc w:val="left"/>
      <w:pPr>
        <w:ind w:left="0" w:firstLine="0"/>
      </w:pPr>
      <w:rPr>
        <w:rFonts w:hint="eastAsia"/>
      </w:rPr>
    </w:lvl>
    <w:lvl w:ilvl="1" w:tentative="0">
      <w:start w:val="1"/>
      <w:numFmt w:val="chineseCounting"/>
      <w:pStyle w:val="4"/>
      <w:suff w:val="nothing"/>
      <w:lvlText w:val="（%2）"/>
      <w:lvlJc w:val="left"/>
      <w:pPr>
        <w:ind w:left="0" w:firstLine="0"/>
      </w:pPr>
      <w:rPr>
        <w:rFonts w:hint="eastAsia"/>
      </w:rPr>
    </w:lvl>
    <w:lvl w:ilvl="2" w:tentative="0">
      <w:start w:val="1"/>
      <w:numFmt w:val="decimal"/>
      <w:pStyle w:val="5"/>
      <w:suff w:val="nothing"/>
      <w:lvlText w:val="%3．"/>
      <w:lvlJc w:val="left"/>
      <w:pPr>
        <w:ind w:left="0" w:firstLine="400"/>
      </w:pPr>
      <w:rPr>
        <w:rFonts w:hint="eastAsia"/>
      </w:rPr>
    </w:lvl>
    <w:lvl w:ilvl="3" w:tentative="0">
      <w:start w:val="1"/>
      <w:numFmt w:val="decimal"/>
      <w:pStyle w:val="6"/>
      <w:suff w:val="nothing"/>
      <w:lvlText w:val="（%4）"/>
      <w:lvlJc w:val="left"/>
      <w:pPr>
        <w:ind w:left="0" w:firstLine="402"/>
      </w:pPr>
      <w:rPr>
        <w:rFonts w:hint="eastAsia"/>
      </w:rPr>
    </w:lvl>
    <w:lvl w:ilvl="4" w:tentative="0">
      <w:start w:val="1"/>
      <w:numFmt w:val="decimalEnclosedCircleChinese"/>
      <w:pStyle w:val="7"/>
      <w:suff w:val="nothing"/>
      <w:lvlText w:val="%5"/>
      <w:lvlJc w:val="left"/>
      <w:pPr>
        <w:ind w:left="0" w:firstLine="402"/>
      </w:pPr>
      <w:rPr>
        <w:rFonts w:hint="eastAsia"/>
      </w:rPr>
    </w:lvl>
    <w:lvl w:ilvl="5" w:tentative="0">
      <w:start w:val="1"/>
      <w:numFmt w:val="decimal"/>
      <w:pStyle w:val="8"/>
      <w:suff w:val="nothing"/>
      <w:lvlText w:val="%6）"/>
      <w:lvlJc w:val="left"/>
      <w:pPr>
        <w:ind w:left="0" w:firstLine="402"/>
      </w:pPr>
      <w:rPr>
        <w:rFonts w:hint="eastAsia"/>
      </w:rPr>
    </w:lvl>
    <w:lvl w:ilvl="6" w:tentative="0">
      <w:start w:val="1"/>
      <w:numFmt w:val="lowerLetter"/>
      <w:pStyle w:val="9"/>
      <w:suff w:val="nothing"/>
      <w:lvlText w:val="%7．"/>
      <w:lvlJc w:val="left"/>
      <w:pPr>
        <w:ind w:left="0" w:firstLine="402"/>
      </w:pPr>
      <w:rPr>
        <w:rFonts w:hint="eastAsia"/>
      </w:rPr>
    </w:lvl>
    <w:lvl w:ilvl="7" w:tentative="0">
      <w:start w:val="1"/>
      <w:numFmt w:val="lowerLetter"/>
      <w:pStyle w:val="10"/>
      <w:suff w:val="nothing"/>
      <w:lvlText w:val="%8）"/>
      <w:lvlJc w:val="left"/>
      <w:pPr>
        <w:ind w:left="0" w:firstLine="402"/>
      </w:pPr>
      <w:rPr>
        <w:rFonts w:hint="eastAsia"/>
      </w:rPr>
    </w:lvl>
    <w:lvl w:ilvl="8" w:tentative="0">
      <w:start w:val="1"/>
      <w:numFmt w:val="lowerRoman"/>
      <w:pStyle w:val="11"/>
      <w:suff w:val="nothing"/>
      <w:lvlText w:val="%9 "/>
      <w:lvlJc w:val="left"/>
      <w:pPr>
        <w:ind w:left="0" w:firstLine="402"/>
      </w:pPr>
      <w:rPr>
        <w:rFonts w:hint="eastAsia"/>
      </w:rPr>
    </w:lvl>
  </w:abstractNum>
  <w:abstractNum w:abstractNumId="2">
    <w:nsid w:val="279C998C"/>
    <w:multiLevelType w:val="singleLevel"/>
    <w:tmpl w:val="279C998C"/>
    <w:lvl w:ilvl="0" w:tentative="0">
      <w:start w:val="1"/>
      <w:numFmt w:val="decimal"/>
      <w:lvlText w:val="%1."/>
      <w:lvlJc w:val="left"/>
      <w:pPr>
        <w:tabs>
          <w:tab w:val="left" w:pos="312"/>
        </w:tabs>
      </w:pPr>
    </w:lvl>
  </w:abstractNum>
  <w:abstractNum w:abstractNumId="3">
    <w:nsid w:val="2F6527D3"/>
    <w:multiLevelType w:val="singleLevel"/>
    <w:tmpl w:val="2F6527D3"/>
    <w:lvl w:ilvl="0" w:tentative="0">
      <w:start w:val="1"/>
      <w:numFmt w:val="decimal"/>
      <w:lvlText w:val="%1."/>
      <w:lvlJc w:val="left"/>
      <w:pPr>
        <w:tabs>
          <w:tab w:val="left" w:pos="312"/>
        </w:tabs>
      </w:pPr>
    </w:lvl>
  </w:abstractNum>
  <w:abstractNum w:abstractNumId="4">
    <w:nsid w:val="31B0E194"/>
    <w:multiLevelType w:val="singleLevel"/>
    <w:tmpl w:val="31B0E194"/>
    <w:lvl w:ilvl="0" w:tentative="0">
      <w:start w:val="1"/>
      <w:numFmt w:val="decimal"/>
      <w:lvlText w:val="%1."/>
      <w:lvlJc w:val="left"/>
      <w:pPr>
        <w:tabs>
          <w:tab w:val="left" w:pos="312"/>
        </w:tabs>
      </w:pPr>
    </w:lvl>
  </w:abstractNum>
  <w:abstractNum w:abstractNumId="5">
    <w:nsid w:val="6AA3A1E3"/>
    <w:multiLevelType w:val="singleLevel"/>
    <w:tmpl w:val="6AA3A1E3"/>
    <w:lvl w:ilvl="0" w:tentative="0">
      <w:start w:val="1"/>
      <w:numFmt w:val="decimal"/>
      <w:suff w:val="nothing"/>
      <w:lvlText w:val="%1、"/>
      <w:lvlJc w:val="left"/>
    </w:lvl>
  </w:abstractNum>
  <w:num w:numId="1">
    <w:abstractNumId w:val="1"/>
  </w:num>
  <w:num w:numId="2">
    <w:abstractNumId w:val="2"/>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diNDYxYTcyN2IxOTQ2MWRjZmQ0NjE2MDZlODcxMjgifQ=="/>
  </w:docVars>
  <w:rsids>
    <w:rsidRoot w:val="00172A27"/>
    <w:rsid w:val="00025C94"/>
    <w:rsid w:val="000473C9"/>
    <w:rsid w:val="0006352C"/>
    <w:rsid w:val="00070BEB"/>
    <w:rsid w:val="00090D52"/>
    <w:rsid w:val="000A1C56"/>
    <w:rsid w:val="000A2788"/>
    <w:rsid w:val="000B0EAF"/>
    <w:rsid w:val="000B1510"/>
    <w:rsid w:val="000B35BD"/>
    <w:rsid w:val="000E0A42"/>
    <w:rsid w:val="000E3326"/>
    <w:rsid w:val="000F34C2"/>
    <w:rsid w:val="00111215"/>
    <w:rsid w:val="00116446"/>
    <w:rsid w:val="001246C4"/>
    <w:rsid w:val="001248E9"/>
    <w:rsid w:val="00131549"/>
    <w:rsid w:val="00132AFA"/>
    <w:rsid w:val="00133878"/>
    <w:rsid w:val="00143901"/>
    <w:rsid w:val="00156990"/>
    <w:rsid w:val="00167AEF"/>
    <w:rsid w:val="00184E96"/>
    <w:rsid w:val="00185D41"/>
    <w:rsid w:val="001868DA"/>
    <w:rsid w:val="001915DD"/>
    <w:rsid w:val="00197F83"/>
    <w:rsid w:val="001A3E64"/>
    <w:rsid w:val="001B6535"/>
    <w:rsid w:val="001B7044"/>
    <w:rsid w:val="001C2731"/>
    <w:rsid w:val="001D0001"/>
    <w:rsid w:val="001E60D9"/>
    <w:rsid w:val="00222AFD"/>
    <w:rsid w:val="00231AC5"/>
    <w:rsid w:val="00232625"/>
    <w:rsid w:val="00241A59"/>
    <w:rsid w:val="00246356"/>
    <w:rsid w:val="00256671"/>
    <w:rsid w:val="002577BC"/>
    <w:rsid w:val="002614C2"/>
    <w:rsid w:val="002938FA"/>
    <w:rsid w:val="00295274"/>
    <w:rsid w:val="002A3EBA"/>
    <w:rsid w:val="002C14D9"/>
    <w:rsid w:val="002C450B"/>
    <w:rsid w:val="002D3C4A"/>
    <w:rsid w:val="002D7FB8"/>
    <w:rsid w:val="002E181E"/>
    <w:rsid w:val="00304373"/>
    <w:rsid w:val="003155CE"/>
    <w:rsid w:val="003176C1"/>
    <w:rsid w:val="0033079B"/>
    <w:rsid w:val="00333CF6"/>
    <w:rsid w:val="003369CB"/>
    <w:rsid w:val="00346A3C"/>
    <w:rsid w:val="003542A3"/>
    <w:rsid w:val="0036320B"/>
    <w:rsid w:val="00363E85"/>
    <w:rsid w:val="00376F7A"/>
    <w:rsid w:val="00386F22"/>
    <w:rsid w:val="003B2F94"/>
    <w:rsid w:val="003B734B"/>
    <w:rsid w:val="003C19F5"/>
    <w:rsid w:val="003C4975"/>
    <w:rsid w:val="003C6331"/>
    <w:rsid w:val="003D13CF"/>
    <w:rsid w:val="003D44BA"/>
    <w:rsid w:val="003E2115"/>
    <w:rsid w:val="003E2499"/>
    <w:rsid w:val="003F10FA"/>
    <w:rsid w:val="003F3204"/>
    <w:rsid w:val="004022B1"/>
    <w:rsid w:val="00415A0E"/>
    <w:rsid w:val="004201C0"/>
    <w:rsid w:val="00422519"/>
    <w:rsid w:val="004239D5"/>
    <w:rsid w:val="00423A01"/>
    <w:rsid w:val="00433CCB"/>
    <w:rsid w:val="00456BD4"/>
    <w:rsid w:val="004658F6"/>
    <w:rsid w:val="004852AA"/>
    <w:rsid w:val="004946EF"/>
    <w:rsid w:val="004A3344"/>
    <w:rsid w:val="004A402D"/>
    <w:rsid w:val="004A694B"/>
    <w:rsid w:val="004B4B6E"/>
    <w:rsid w:val="004C4F15"/>
    <w:rsid w:val="004F5D32"/>
    <w:rsid w:val="00506724"/>
    <w:rsid w:val="00510154"/>
    <w:rsid w:val="00511E20"/>
    <w:rsid w:val="00531DD3"/>
    <w:rsid w:val="00532C4E"/>
    <w:rsid w:val="0055176D"/>
    <w:rsid w:val="00552527"/>
    <w:rsid w:val="00573A5A"/>
    <w:rsid w:val="00580B32"/>
    <w:rsid w:val="00583D72"/>
    <w:rsid w:val="00591F8C"/>
    <w:rsid w:val="00596F03"/>
    <w:rsid w:val="005A7F2E"/>
    <w:rsid w:val="005E39D6"/>
    <w:rsid w:val="005E623F"/>
    <w:rsid w:val="005F2F7A"/>
    <w:rsid w:val="00604E38"/>
    <w:rsid w:val="00606502"/>
    <w:rsid w:val="00610604"/>
    <w:rsid w:val="00621C7E"/>
    <w:rsid w:val="00634867"/>
    <w:rsid w:val="00635064"/>
    <w:rsid w:val="00645042"/>
    <w:rsid w:val="00651130"/>
    <w:rsid w:val="00651FFC"/>
    <w:rsid w:val="00656E5E"/>
    <w:rsid w:val="00657581"/>
    <w:rsid w:val="00667CFF"/>
    <w:rsid w:val="00671FFC"/>
    <w:rsid w:val="00683771"/>
    <w:rsid w:val="0068756B"/>
    <w:rsid w:val="006A434F"/>
    <w:rsid w:val="006B6889"/>
    <w:rsid w:val="006D64BA"/>
    <w:rsid w:val="006E0EB4"/>
    <w:rsid w:val="00706FD0"/>
    <w:rsid w:val="00707D8E"/>
    <w:rsid w:val="00721303"/>
    <w:rsid w:val="00722BDA"/>
    <w:rsid w:val="007349B1"/>
    <w:rsid w:val="00735103"/>
    <w:rsid w:val="007462E1"/>
    <w:rsid w:val="007474F5"/>
    <w:rsid w:val="00754180"/>
    <w:rsid w:val="007658CB"/>
    <w:rsid w:val="007710C0"/>
    <w:rsid w:val="00772238"/>
    <w:rsid w:val="007731F2"/>
    <w:rsid w:val="007904D8"/>
    <w:rsid w:val="007A1CE8"/>
    <w:rsid w:val="007B0D05"/>
    <w:rsid w:val="007B71CD"/>
    <w:rsid w:val="007C1C43"/>
    <w:rsid w:val="007D6D0B"/>
    <w:rsid w:val="007E4055"/>
    <w:rsid w:val="007F3024"/>
    <w:rsid w:val="00831987"/>
    <w:rsid w:val="0083540A"/>
    <w:rsid w:val="00864E6A"/>
    <w:rsid w:val="008657A8"/>
    <w:rsid w:val="00865E8C"/>
    <w:rsid w:val="008772A2"/>
    <w:rsid w:val="008854E2"/>
    <w:rsid w:val="00886A6B"/>
    <w:rsid w:val="008A145F"/>
    <w:rsid w:val="008C3643"/>
    <w:rsid w:val="008C7643"/>
    <w:rsid w:val="008F18B4"/>
    <w:rsid w:val="00906FFD"/>
    <w:rsid w:val="00916DBD"/>
    <w:rsid w:val="00916E84"/>
    <w:rsid w:val="009170D1"/>
    <w:rsid w:val="00920043"/>
    <w:rsid w:val="00924C7B"/>
    <w:rsid w:val="00961C0F"/>
    <w:rsid w:val="0096206E"/>
    <w:rsid w:val="009629D6"/>
    <w:rsid w:val="0096629B"/>
    <w:rsid w:val="00981AB2"/>
    <w:rsid w:val="009845C3"/>
    <w:rsid w:val="00991F28"/>
    <w:rsid w:val="009A7166"/>
    <w:rsid w:val="009B33C1"/>
    <w:rsid w:val="009B616E"/>
    <w:rsid w:val="009C1654"/>
    <w:rsid w:val="009D7BED"/>
    <w:rsid w:val="009E610F"/>
    <w:rsid w:val="00A06D3C"/>
    <w:rsid w:val="00A07DD9"/>
    <w:rsid w:val="00A21DD8"/>
    <w:rsid w:val="00A264B1"/>
    <w:rsid w:val="00A26C3E"/>
    <w:rsid w:val="00A50949"/>
    <w:rsid w:val="00A82FB1"/>
    <w:rsid w:val="00A9464C"/>
    <w:rsid w:val="00AA79FD"/>
    <w:rsid w:val="00AB692A"/>
    <w:rsid w:val="00AC380D"/>
    <w:rsid w:val="00AD1B9F"/>
    <w:rsid w:val="00AE79EB"/>
    <w:rsid w:val="00AF1731"/>
    <w:rsid w:val="00B02767"/>
    <w:rsid w:val="00B045D4"/>
    <w:rsid w:val="00B05EEF"/>
    <w:rsid w:val="00B2341D"/>
    <w:rsid w:val="00B328F8"/>
    <w:rsid w:val="00B43F6C"/>
    <w:rsid w:val="00B46B11"/>
    <w:rsid w:val="00B50003"/>
    <w:rsid w:val="00B555FB"/>
    <w:rsid w:val="00B55864"/>
    <w:rsid w:val="00B723AE"/>
    <w:rsid w:val="00B7698F"/>
    <w:rsid w:val="00B975CF"/>
    <w:rsid w:val="00BA257A"/>
    <w:rsid w:val="00BA2589"/>
    <w:rsid w:val="00BA333E"/>
    <w:rsid w:val="00BA632C"/>
    <w:rsid w:val="00BA6694"/>
    <w:rsid w:val="00BC0663"/>
    <w:rsid w:val="00BC4DA7"/>
    <w:rsid w:val="00BC5586"/>
    <w:rsid w:val="00BC66D7"/>
    <w:rsid w:val="00BF3A0B"/>
    <w:rsid w:val="00BF7FA2"/>
    <w:rsid w:val="00C012C2"/>
    <w:rsid w:val="00C04FA3"/>
    <w:rsid w:val="00C21DCE"/>
    <w:rsid w:val="00C21FE6"/>
    <w:rsid w:val="00C36B54"/>
    <w:rsid w:val="00C453F0"/>
    <w:rsid w:val="00C61D4A"/>
    <w:rsid w:val="00C667E7"/>
    <w:rsid w:val="00C8716A"/>
    <w:rsid w:val="00C87413"/>
    <w:rsid w:val="00C961F9"/>
    <w:rsid w:val="00CA5F59"/>
    <w:rsid w:val="00CB0475"/>
    <w:rsid w:val="00CB5BD2"/>
    <w:rsid w:val="00CC00BD"/>
    <w:rsid w:val="00CD4429"/>
    <w:rsid w:val="00CF48FB"/>
    <w:rsid w:val="00CF70E2"/>
    <w:rsid w:val="00D14B07"/>
    <w:rsid w:val="00D23091"/>
    <w:rsid w:val="00D236DE"/>
    <w:rsid w:val="00D2475B"/>
    <w:rsid w:val="00D2555C"/>
    <w:rsid w:val="00D30E44"/>
    <w:rsid w:val="00D410AA"/>
    <w:rsid w:val="00D7674D"/>
    <w:rsid w:val="00D80532"/>
    <w:rsid w:val="00D95488"/>
    <w:rsid w:val="00D97AC1"/>
    <w:rsid w:val="00DA3C10"/>
    <w:rsid w:val="00DD4B75"/>
    <w:rsid w:val="00DD64D9"/>
    <w:rsid w:val="00DE4CD4"/>
    <w:rsid w:val="00DF13ED"/>
    <w:rsid w:val="00E057D6"/>
    <w:rsid w:val="00E52278"/>
    <w:rsid w:val="00E622F4"/>
    <w:rsid w:val="00E7071C"/>
    <w:rsid w:val="00E76F60"/>
    <w:rsid w:val="00E82172"/>
    <w:rsid w:val="00EC3C17"/>
    <w:rsid w:val="00EC7B7C"/>
    <w:rsid w:val="00EE2F57"/>
    <w:rsid w:val="00EE384E"/>
    <w:rsid w:val="00EF1F54"/>
    <w:rsid w:val="00EF25A3"/>
    <w:rsid w:val="00F077A8"/>
    <w:rsid w:val="00F10EF0"/>
    <w:rsid w:val="00F11943"/>
    <w:rsid w:val="00F318CC"/>
    <w:rsid w:val="00F41580"/>
    <w:rsid w:val="00F507F3"/>
    <w:rsid w:val="00F53DFB"/>
    <w:rsid w:val="00F674EE"/>
    <w:rsid w:val="00F73F0D"/>
    <w:rsid w:val="00F8340D"/>
    <w:rsid w:val="00FB5A2F"/>
    <w:rsid w:val="00FC37EA"/>
    <w:rsid w:val="00FD124D"/>
    <w:rsid w:val="00FE7427"/>
    <w:rsid w:val="00FF348F"/>
    <w:rsid w:val="00FF5961"/>
    <w:rsid w:val="00FF7ACB"/>
    <w:rsid w:val="011473B7"/>
    <w:rsid w:val="013730A5"/>
    <w:rsid w:val="01780AF3"/>
    <w:rsid w:val="017B62D9"/>
    <w:rsid w:val="02691984"/>
    <w:rsid w:val="02857A70"/>
    <w:rsid w:val="028C11CF"/>
    <w:rsid w:val="02BB66A5"/>
    <w:rsid w:val="036C18B8"/>
    <w:rsid w:val="04212517"/>
    <w:rsid w:val="047563BF"/>
    <w:rsid w:val="06CB676A"/>
    <w:rsid w:val="06E95783"/>
    <w:rsid w:val="07480CA8"/>
    <w:rsid w:val="07B43535"/>
    <w:rsid w:val="08722C49"/>
    <w:rsid w:val="08D07FA8"/>
    <w:rsid w:val="092535C5"/>
    <w:rsid w:val="09385C0D"/>
    <w:rsid w:val="0A006374"/>
    <w:rsid w:val="0A3D2603"/>
    <w:rsid w:val="0AF67B2D"/>
    <w:rsid w:val="0B263A51"/>
    <w:rsid w:val="0C70535C"/>
    <w:rsid w:val="0CA21102"/>
    <w:rsid w:val="0CE8716F"/>
    <w:rsid w:val="0D4F065E"/>
    <w:rsid w:val="0D851080"/>
    <w:rsid w:val="0DBE6E39"/>
    <w:rsid w:val="0EC20452"/>
    <w:rsid w:val="0ED67E45"/>
    <w:rsid w:val="0FA514B8"/>
    <w:rsid w:val="0FDB04CA"/>
    <w:rsid w:val="0FDC50A1"/>
    <w:rsid w:val="10802373"/>
    <w:rsid w:val="129247B3"/>
    <w:rsid w:val="13EB3A5C"/>
    <w:rsid w:val="153C2A6A"/>
    <w:rsid w:val="16DC2686"/>
    <w:rsid w:val="1717139B"/>
    <w:rsid w:val="176F01B1"/>
    <w:rsid w:val="17746A37"/>
    <w:rsid w:val="188057C7"/>
    <w:rsid w:val="195E6FCA"/>
    <w:rsid w:val="19693EF9"/>
    <w:rsid w:val="1A15645A"/>
    <w:rsid w:val="1C1E3330"/>
    <w:rsid w:val="1D9C2340"/>
    <w:rsid w:val="1DD72298"/>
    <w:rsid w:val="1E35300A"/>
    <w:rsid w:val="1E773F2B"/>
    <w:rsid w:val="1E907864"/>
    <w:rsid w:val="1F264DB2"/>
    <w:rsid w:val="204D1B46"/>
    <w:rsid w:val="21777075"/>
    <w:rsid w:val="22BF536D"/>
    <w:rsid w:val="23B86CB1"/>
    <w:rsid w:val="25E96AE8"/>
    <w:rsid w:val="26720558"/>
    <w:rsid w:val="2687713D"/>
    <w:rsid w:val="26EF3957"/>
    <w:rsid w:val="27551D1E"/>
    <w:rsid w:val="27B744E7"/>
    <w:rsid w:val="29B85865"/>
    <w:rsid w:val="2A580DE7"/>
    <w:rsid w:val="2A9D66B1"/>
    <w:rsid w:val="2B0617A6"/>
    <w:rsid w:val="2B3C200B"/>
    <w:rsid w:val="2B4B2F8E"/>
    <w:rsid w:val="2DA877CA"/>
    <w:rsid w:val="2E2038A6"/>
    <w:rsid w:val="2E6521BA"/>
    <w:rsid w:val="2E761A0E"/>
    <w:rsid w:val="2E8F3105"/>
    <w:rsid w:val="2F57535D"/>
    <w:rsid w:val="2F650C5A"/>
    <w:rsid w:val="2FDE024A"/>
    <w:rsid w:val="2FE94856"/>
    <w:rsid w:val="30763610"/>
    <w:rsid w:val="30C17BE1"/>
    <w:rsid w:val="316E1C3F"/>
    <w:rsid w:val="3190453E"/>
    <w:rsid w:val="323C6407"/>
    <w:rsid w:val="33486463"/>
    <w:rsid w:val="339B2E55"/>
    <w:rsid w:val="33B93E87"/>
    <w:rsid w:val="33C06BE8"/>
    <w:rsid w:val="34A86620"/>
    <w:rsid w:val="34BD3731"/>
    <w:rsid w:val="35905C06"/>
    <w:rsid w:val="36217058"/>
    <w:rsid w:val="36E508D2"/>
    <w:rsid w:val="37021484"/>
    <w:rsid w:val="37123938"/>
    <w:rsid w:val="379612FD"/>
    <w:rsid w:val="37C618BF"/>
    <w:rsid w:val="37E61D9D"/>
    <w:rsid w:val="383F471F"/>
    <w:rsid w:val="391C004B"/>
    <w:rsid w:val="395F37F3"/>
    <w:rsid w:val="39CE38A0"/>
    <w:rsid w:val="3B276281"/>
    <w:rsid w:val="3B58758B"/>
    <w:rsid w:val="3C0552B9"/>
    <w:rsid w:val="3C5F6F0B"/>
    <w:rsid w:val="3FB76397"/>
    <w:rsid w:val="41397505"/>
    <w:rsid w:val="41407BC6"/>
    <w:rsid w:val="41924FA5"/>
    <w:rsid w:val="41B5268E"/>
    <w:rsid w:val="428441A1"/>
    <w:rsid w:val="42D002C9"/>
    <w:rsid w:val="42DA4128"/>
    <w:rsid w:val="42E46B1A"/>
    <w:rsid w:val="42E7324D"/>
    <w:rsid w:val="44056B1D"/>
    <w:rsid w:val="45D567F7"/>
    <w:rsid w:val="4750349E"/>
    <w:rsid w:val="48500230"/>
    <w:rsid w:val="487A7C3D"/>
    <w:rsid w:val="48852078"/>
    <w:rsid w:val="48C264D0"/>
    <w:rsid w:val="491237A9"/>
    <w:rsid w:val="49B85EB3"/>
    <w:rsid w:val="49BD689C"/>
    <w:rsid w:val="49F36350"/>
    <w:rsid w:val="4A561E76"/>
    <w:rsid w:val="4A834233"/>
    <w:rsid w:val="4AAE3F88"/>
    <w:rsid w:val="4ACC78BF"/>
    <w:rsid w:val="4B017670"/>
    <w:rsid w:val="4BA821A3"/>
    <w:rsid w:val="4C0C6C3A"/>
    <w:rsid w:val="4C5F4D73"/>
    <w:rsid w:val="4C645A1C"/>
    <w:rsid w:val="4D81774F"/>
    <w:rsid w:val="4E844A26"/>
    <w:rsid w:val="4F096C7F"/>
    <w:rsid w:val="4F6576E7"/>
    <w:rsid w:val="50165B57"/>
    <w:rsid w:val="510207A4"/>
    <w:rsid w:val="518F1542"/>
    <w:rsid w:val="51A81A66"/>
    <w:rsid w:val="52AE7D89"/>
    <w:rsid w:val="53270F85"/>
    <w:rsid w:val="537F00FC"/>
    <w:rsid w:val="54DD780F"/>
    <w:rsid w:val="56256AC7"/>
    <w:rsid w:val="56EF512A"/>
    <w:rsid w:val="573A0D78"/>
    <w:rsid w:val="573C40E7"/>
    <w:rsid w:val="57E73000"/>
    <w:rsid w:val="594308C9"/>
    <w:rsid w:val="59A61C20"/>
    <w:rsid w:val="5A4842D0"/>
    <w:rsid w:val="5AF16C7A"/>
    <w:rsid w:val="5BB92529"/>
    <w:rsid w:val="5BE338FF"/>
    <w:rsid w:val="5D022AAA"/>
    <w:rsid w:val="5D526412"/>
    <w:rsid w:val="5D9037DF"/>
    <w:rsid w:val="5F585793"/>
    <w:rsid w:val="5FCD75EA"/>
    <w:rsid w:val="604A7E95"/>
    <w:rsid w:val="607657A8"/>
    <w:rsid w:val="6169634D"/>
    <w:rsid w:val="623C36B0"/>
    <w:rsid w:val="627E4BA4"/>
    <w:rsid w:val="62960B4F"/>
    <w:rsid w:val="62D761F5"/>
    <w:rsid w:val="62DB3E42"/>
    <w:rsid w:val="636A0AAB"/>
    <w:rsid w:val="649576B5"/>
    <w:rsid w:val="64D061F2"/>
    <w:rsid w:val="657C227E"/>
    <w:rsid w:val="659C46CE"/>
    <w:rsid w:val="65BA167F"/>
    <w:rsid w:val="65C96A54"/>
    <w:rsid w:val="65CF7598"/>
    <w:rsid w:val="67E847A9"/>
    <w:rsid w:val="683A1F7D"/>
    <w:rsid w:val="69164798"/>
    <w:rsid w:val="6922138F"/>
    <w:rsid w:val="6B134D86"/>
    <w:rsid w:val="6C256AA0"/>
    <w:rsid w:val="6CC91389"/>
    <w:rsid w:val="6CEA399D"/>
    <w:rsid w:val="6E382027"/>
    <w:rsid w:val="6E5F25BC"/>
    <w:rsid w:val="6F5A052D"/>
    <w:rsid w:val="6FEE4FB2"/>
    <w:rsid w:val="6FF70194"/>
    <w:rsid w:val="70AF0210"/>
    <w:rsid w:val="71314AE6"/>
    <w:rsid w:val="71BC0BD5"/>
    <w:rsid w:val="72873907"/>
    <w:rsid w:val="72B323C5"/>
    <w:rsid w:val="72CC27BE"/>
    <w:rsid w:val="72F76CC4"/>
    <w:rsid w:val="73C03941"/>
    <w:rsid w:val="7496138D"/>
    <w:rsid w:val="74A30F48"/>
    <w:rsid w:val="751B3FAB"/>
    <w:rsid w:val="75E83166"/>
    <w:rsid w:val="761F2C66"/>
    <w:rsid w:val="762876AB"/>
    <w:rsid w:val="76AD7DBE"/>
    <w:rsid w:val="771B4BAD"/>
    <w:rsid w:val="7765364E"/>
    <w:rsid w:val="778A4754"/>
    <w:rsid w:val="786676EC"/>
    <w:rsid w:val="787B0173"/>
    <w:rsid w:val="78CF226D"/>
    <w:rsid w:val="79076ADC"/>
    <w:rsid w:val="79282095"/>
    <w:rsid w:val="7A1B2C98"/>
    <w:rsid w:val="7A245748"/>
    <w:rsid w:val="7A575FAA"/>
    <w:rsid w:val="7B132ADF"/>
    <w:rsid w:val="7B864B6D"/>
    <w:rsid w:val="7C176106"/>
    <w:rsid w:val="7CC6249B"/>
    <w:rsid w:val="7CFB1883"/>
    <w:rsid w:val="7D283955"/>
    <w:rsid w:val="7D63794B"/>
    <w:rsid w:val="7E5B0DC0"/>
    <w:rsid w:val="7ECC14B4"/>
    <w:rsid w:val="7F3FECD9"/>
    <w:rsid w:val="7F475CE4"/>
    <w:rsid w:val="7FAB42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semiHidden="0" w:name="heading 2"/>
    <w:lsdException w:qFormat="1"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semiHidden="0"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qFormat="1"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line="360" w:lineRule="auto"/>
      <w:ind w:firstLine="803" w:firstLineChars="200"/>
    </w:pPr>
    <w:rPr>
      <w:rFonts w:ascii="仿宋" w:hAnsi="仿宋" w:eastAsia="仿宋" w:cs="仿宋"/>
      <w:sz w:val="24"/>
      <w:szCs w:val="24"/>
      <w:lang w:val="en-US" w:eastAsia="zh-CN" w:bidi="ar-SA"/>
    </w:rPr>
  </w:style>
  <w:style w:type="paragraph" w:styleId="3">
    <w:name w:val="heading 1"/>
    <w:basedOn w:val="1"/>
    <w:next w:val="1"/>
    <w:qFormat/>
    <w:uiPriority w:val="0"/>
    <w:pPr>
      <w:keepNext/>
      <w:keepLines/>
      <w:numPr>
        <w:ilvl w:val="0"/>
        <w:numId w:val="1"/>
      </w:numPr>
      <w:spacing w:before="200" w:after="200" w:line="360" w:lineRule="auto"/>
      <w:ind w:firstLine="0" w:firstLineChars="0"/>
      <w:outlineLvl w:val="0"/>
    </w:pPr>
    <w:rPr>
      <w:rFonts w:ascii="宋体" w:hAnsi="宋体" w:eastAsia="宋体"/>
      <w:b/>
      <w:bCs/>
      <w:kern w:val="44"/>
      <w:sz w:val="30"/>
      <w:szCs w:val="44"/>
    </w:rPr>
  </w:style>
  <w:style w:type="paragraph" w:styleId="4">
    <w:name w:val="heading 2"/>
    <w:basedOn w:val="1"/>
    <w:next w:val="1"/>
    <w:link w:val="27"/>
    <w:unhideWhenUsed/>
    <w:qFormat/>
    <w:uiPriority w:val="0"/>
    <w:pPr>
      <w:keepNext/>
      <w:keepLines/>
      <w:numPr>
        <w:ilvl w:val="1"/>
        <w:numId w:val="1"/>
      </w:numPr>
      <w:spacing w:before="200" w:after="200" w:line="360" w:lineRule="auto"/>
      <w:ind w:firstLine="0" w:firstLineChars="0"/>
      <w:outlineLvl w:val="1"/>
    </w:pPr>
    <w:rPr>
      <w:rFonts w:eastAsia="仿宋" w:asciiTheme="majorAscii" w:hAnsiTheme="majorAscii" w:cstheme="majorBidi"/>
      <w:b/>
      <w:bCs/>
      <w:sz w:val="28"/>
      <w:szCs w:val="32"/>
    </w:rPr>
  </w:style>
  <w:style w:type="paragraph" w:styleId="5">
    <w:name w:val="heading 3"/>
    <w:basedOn w:val="1"/>
    <w:next w:val="1"/>
    <w:link w:val="28"/>
    <w:unhideWhenUsed/>
    <w:qFormat/>
    <w:uiPriority w:val="0"/>
    <w:pPr>
      <w:keepNext/>
      <w:keepLines/>
      <w:numPr>
        <w:ilvl w:val="2"/>
        <w:numId w:val="1"/>
      </w:numPr>
      <w:spacing w:before="160" w:after="160" w:line="360" w:lineRule="auto"/>
      <w:ind w:firstLine="0" w:firstLineChars="0"/>
      <w:outlineLvl w:val="2"/>
    </w:pPr>
    <w:rPr>
      <w:rFonts w:ascii="宋体" w:hAnsi="宋体" w:eastAsia="仿宋"/>
      <w:b/>
      <w:bCs/>
      <w:sz w:val="28"/>
      <w:szCs w:val="32"/>
    </w:rPr>
  </w:style>
  <w:style w:type="paragraph" w:styleId="6">
    <w:name w:val="heading 4"/>
    <w:basedOn w:val="1"/>
    <w:next w:val="1"/>
    <w:unhideWhenUsed/>
    <w:qFormat/>
    <w:uiPriority w:val="9"/>
    <w:pPr>
      <w:keepNext/>
      <w:keepLines/>
      <w:numPr>
        <w:ilvl w:val="3"/>
        <w:numId w:val="1"/>
      </w:numPr>
      <w:spacing w:before="100" w:beforeLines="0" w:beforeAutospacing="0" w:after="100" w:afterLines="0" w:afterAutospacing="0" w:line="360" w:lineRule="auto"/>
      <w:ind w:firstLine="0"/>
      <w:outlineLvl w:val="3"/>
    </w:pPr>
    <w:rPr>
      <w:rFonts w:ascii="仿宋" w:hAnsi="仿宋" w:eastAsia="仿宋" w:cs="仿宋"/>
      <w:b/>
      <w:sz w:val="28"/>
      <w:szCs w:val="30"/>
    </w:rPr>
  </w:style>
  <w:style w:type="paragraph" w:styleId="7">
    <w:name w:val="heading 5"/>
    <w:basedOn w:val="1"/>
    <w:next w:val="1"/>
    <w:semiHidden/>
    <w:unhideWhenUsed/>
    <w:qFormat/>
    <w:uiPriority w:val="9"/>
    <w:pPr>
      <w:keepNext/>
      <w:keepLines/>
      <w:numPr>
        <w:ilvl w:val="4"/>
        <w:numId w:val="1"/>
      </w:numPr>
      <w:spacing w:before="280" w:beforeLines="0" w:beforeAutospacing="0" w:after="290" w:afterLines="0" w:afterAutospacing="0" w:line="372" w:lineRule="auto"/>
      <w:ind w:firstLine="402"/>
      <w:outlineLvl w:val="4"/>
    </w:pPr>
    <w:rPr>
      <w:b/>
      <w:sz w:val="28"/>
    </w:rPr>
  </w:style>
  <w:style w:type="paragraph" w:styleId="8">
    <w:name w:val="heading 6"/>
    <w:basedOn w:val="1"/>
    <w:next w:val="1"/>
    <w:semiHidden/>
    <w:unhideWhenUsed/>
    <w:qFormat/>
    <w:uiPriority w:val="9"/>
    <w:pPr>
      <w:keepNext/>
      <w:keepLines/>
      <w:numPr>
        <w:ilvl w:val="5"/>
        <w:numId w:val="1"/>
      </w:numPr>
      <w:spacing w:before="240" w:beforeLines="0" w:beforeAutospacing="0" w:after="64" w:afterLines="0" w:afterAutospacing="0" w:line="317" w:lineRule="auto"/>
      <w:ind w:firstLine="402"/>
      <w:outlineLvl w:val="5"/>
    </w:pPr>
    <w:rPr>
      <w:rFonts w:ascii="Arial" w:hAnsi="Arial" w:eastAsia="黑体"/>
      <w:b/>
      <w:sz w:val="24"/>
    </w:rPr>
  </w:style>
  <w:style w:type="paragraph" w:styleId="9">
    <w:name w:val="heading 7"/>
    <w:basedOn w:val="1"/>
    <w:next w:val="1"/>
    <w:semiHidden/>
    <w:unhideWhenUsed/>
    <w:qFormat/>
    <w:uiPriority w:val="9"/>
    <w:pPr>
      <w:keepNext/>
      <w:keepLines/>
      <w:numPr>
        <w:ilvl w:val="6"/>
        <w:numId w:val="1"/>
      </w:numPr>
      <w:spacing w:before="240" w:beforeLines="0" w:beforeAutospacing="0" w:after="64" w:afterLines="0" w:afterAutospacing="0" w:line="317" w:lineRule="auto"/>
      <w:ind w:firstLine="402"/>
      <w:outlineLvl w:val="6"/>
    </w:pPr>
    <w:rPr>
      <w:b/>
      <w:sz w:val="24"/>
    </w:rPr>
  </w:style>
  <w:style w:type="paragraph" w:styleId="10">
    <w:name w:val="heading 8"/>
    <w:basedOn w:val="1"/>
    <w:next w:val="1"/>
    <w:semiHidden/>
    <w:unhideWhenUsed/>
    <w:qFormat/>
    <w:uiPriority w:val="9"/>
    <w:pPr>
      <w:keepNext/>
      <w:keepLines/>
      <w:numPr>
        <w:ilvl w:val="7"/>
        <w:numId w:val="1"/>
      </w:numPr>
      <w:spacing w:before="240" w:beforeLines="0" w:beforeAutospacing="0" w:after="64" w:afterLines="0" w:afterAutospacing="0" w:line="317" w:lineRule="auto"/>
      <w:ind w:firstLine="402"/>
      <w:outlineLvl w:val="7"/>
    </w:pPr>
    <w:rPr>
      <w:rFonts w:ascii="Arial" w:hAnsi="Arial" w:eastAsia="黑体"/>
      <w:sz w:val="24"/>
    </w:rPr>
  </w:style>
  <w:style w:type="paragraph" w:styleId="11">
    <w:name w:val="heading 9"/>
    <w:basedOn w:val="1"/>
    <w:next w:val="1"/>
    <w:semiHidden/>
    <w:unhideWhenUsed/>
    <w:qFormat/>
    <w:uiPriority w:val="9"/>
    <w:pPr>
      <w:keepNext/>
      <w:keepLines/>
      <w:numPr>
        <w:ilvl w:val="8"/>
        <w:numId w:val="1"/>
      </w:numPr>
      <w:spacing w:before="240" w:beforeLines="0" w:beforeAutospacing="0" w:after="64" w:afterLines="0" w:afterAutospacing="0" w:line="317" w:lineRule="auto"/>
      <w:ind w:firstLine="402"/>
      <w:outlineLvl w:val="8"/>
    </w:pPr>
    <w:rPr>
      <w:rFonts w:ascii="Arial" w:hAnsi="Arial" w:eastAsia="黑体"/>
      <w:sz w:val="21"/>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 w:type="paragraph" w:styleId="12">
    <w:name w:val="annotation text"/>
    <w:basedOn w:val="1"/>
    <w:qFormat/>
    <w:uiPriority w:val="0"/>
    <w:pPr>
      <w:jc w:val="left"/>
    </w:pPr>
  </w:style>
  <w:style w:type="paragraph" w:styleId="13">
    <w:name w:val="header"/>
    <w:basedOn w:val="1"/>
    <w:link w:val="24"/>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15">
    <w:name w:val="Title"/>
    <w:basedOn w:val="1"/>
    <w:qFormat/>
    <w:uiPriority w:val="1"/>
    <w:pPr>
      <w:spacing w:before="2"/>
      <w:ind w:left="20"/>
    </w:pPr>
    <w:rPr>
      <w:sz w:val="24"/>
      <w:szCs w:val="24"/>
    </w:rPr>
  </w:style>
  <w:style w:type="table" w:styleId="17">
    <w:name w:val="Table Grid"/>
    <w:basedOn w:val="1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basedOn w:val="18"/>
    <w:qFormat/>
    <w:uiPriority w:val="22"/>
    <w:rPr>
      <w:b/>
    </w:rPr>
  </w:style>
  <w:style w:type="character" w:styleId="20">
    <w:name w:val="page number"/>
    <w:basedOn w:val="18"/>
    <w:qFormat/>
    <w:uiPriority w:val="0"/>
  </w:style>
  <w:style w:type="character" w:styleId="21">
    <w:name w:val="Hyperlink"/>
    <w:basedOn w:val="18"/>
    <w:semiHidden/>
    <w:unhideWhenUsed/>
    <w:qFormat/>
    <w:uiPriority w:val="99"/>
    <w:rPr>
      <w:color w:val="0000FF"/>
      <w:u w:val="single"/>
    </w:rPr>
  </w:style>
  <w:style w:type="character" w:styleId="22">
    <w:name w:val="annotation reference"/>
    <w:basedOn w:val="18"/>
    <w:qFormat/>
    <w:uiPriority w:val="0"/>
    <w:rPr>
      <w:sz w:val="21"/>
      <w:szCs w:val="21"/>
    </w:rPr>
  </w:style>
  <w:style w:type="table" w:customStyle="1" w:styleId="23">
    <w:name w:val="Table Normal"/>
    <w:semiHidden/>
    <w:unhideWhenUsed/>
    <w:qFormat/>
    <w:uiPriority w:val="2"/>
    <w:tblPr>
      <w:tblCellMar>
        <w:top w:w="0" w:type="dxa"/>
        <w:left w:w="0" w:type="dxa"/>
        <w:bottom w:w="0" w:type="dxa"/>
        <w:right w:w="0" w:type="dxa"/>
      </w:tblCellMar>
    </w:tblPr>
  </w:style>
  <w:style w:type="character" w:customStyle="1" w:styleId="24">
    <w:name w:val="页眉 Char"/>
    <w:basedOn w:val="18"/>
    <w:link w:val="13"/>
    <w:qFormat/>
    <w:uiPriority w:val="99"/>
    <w:rPr>
      <w:rFonts w:ascii="宋体" w:hAnsi="宋体" w:eastAsia="宋体" w:cs="宋体"/>
      <w:sz w:val="18"/>
      <w:szCs w:val="18"/>
      <w:lang w:eastAsia="zh-CN"/>
    </w:rPr>
  </w:style>
  <w:style w:type="paragraph" w:customStyle="1" w:styleId="25">
    <w:name w:val="无缩进 居中  格式"/>
    <w:basedOn w:val="1"/>
    <w:link w:val="31"/>
    <w:qFormat/>
    <w:uiPriority w:val="0"/>
    <w:pPr>
      <w:ind w:firstLine="0" w:firstLineChars="0"/>
      <w:jc w:val="center"/>
    </w:pPr>
    <w:rPr>
      <w:sz w:val="21"/>
    </w:rPr>
  </w:style>
  <w:style w:type="paragraph" w:customStyle="1" w:styleId="26">
    <w:name w:val="null3"/>
    <w:hidden/>
    <w:qFormat/>
    <w:uiPriority w:val="0"/>
    <w:rPr>
      <w:rFonts w:hint="eastAsia" w:asciiTheme="minorHAnsi" w:hAnsiTheme="minorHAnsi" w:eastAsiaTheme="minorEastAsia" w:cstheme="minorBidi"/>
      <w:lang w:val="en-US" w:eastAsia="zh-CN" w:bidi="ar-SA"/>
    </w:rPr>
  </w:style>
  <w:style w:type="character" w:customStyle="1" w:styleId="27">
    <w:name w:val="标题 2 字符"/>
    <w:basedOn w:val="18"/>
    <w:link w:val="4"/>
    <w:qFormat/>
    <w:uiPriority w:val="9"/>
    <w:rPr>
      <w:rFonts w:eastAsia="仿宋" w:asciiTheme="majorAscii" w:hAnsiTheme="majorAscii" w:cstheme="majorBidi"/>
      <w:b/>
      <w:bCs/>
      <w:sz w:val="28"/>
      <w:szCs w:val="32"/>
    </w:rPr>
  </w:style>
  <w:style w:type="character" w:customStyle="1" w:styleId="28">
    <w:name w:val="标题 3 Char"/>
    <w:link w:val="5"/>
    <w:qFormat/>
    <w:uiPriority w:val="0"/>
    <w:rPr>
      <w:rFonts w:ascii="宋体" w:hAnsi="宋体" w:eastAsia="仿宋"/>
      <w:b/>
      <w:bCs/>
      <w:sz w:val="28"/>
      <w:szCs w:val="32"/>
    </w:rPr>
  </w:style>
  <w:style w:type="paragraph" w:customStyle="1" w:styleId="29">
    <w:name w:val="表格、图片文字"/>
    <w:basedOn w:val="1"/>
    <w:link w:val="30"/>
    <w:qFormat/>
    <w:uiPriority w:val="0"/>
    <w:pPr>
      <w:spacing w:line="240" w:lineRule="auto"/>
      <w:ind w:firstLine="0" w:firstLineChars="0"/>
      <w:jc w:val="center"/>
    </w:pPr>
    <w:rPr>
      <w:rFonts w:ascii="仿宋" w:hAnsi="仿宋" w:eastAsia="仿宋" w:cs="仿宋"/>
      <w:sz w:val="21"/>
      <w:szCs w:val="21"/>
    </w:rPr>
  </w:style>
  <w:style w:type="character" w:customStyle="1" w:styleId="30">
    <w:name w:val="表格、图片文字 Char"/>
    <w:link w:val="29"/>
    <w:qFormat/>
    <w:uiPriority w:val="0"/>
    <w:rPr>
      <w:rFonts w:ascii="仿宋" w:hAnsi="仿宋" w:eastAsia="仿宋" w:cs="仿宋"/>
      <w:sz w:val="21"/>
      <w:szCs w:val="21"/>
    </w:rPr>
  </w:style>
  <w:style w:type="character" w:customStyle="1" w:styleId="31">
    <w:name w:val="无缩进 居中  格式 Char"/>
    <w:link w:val="25"/>
    <w:qFormat/>
    <w:uiPriority w:val="0"/>
    <w:rPr>
      <w:sz w:val="21"/>
    </w:rPr>
  </w:style>
  <w:style w:type="character" w:customStyle="1" w:styleId="32">
    <w:name w:val="font41"/>
    <w:basedOn w:val="18"/>
    <w:qFormat/>
    <w:uiPriority w:val="0"/>
    <w:rPr>
      <w:rFonts w:hint="eastAsia" w:ascii="宋体" w:hAnsi="宋体" w:eastAsia="宋体" w:cs="宋体"/>
      <w:color w:val="000000"/>
      <w:sz w:val="22"/>
      <w:szCs w:val="22"/>
      <w:u w:val="none"/>
    </w:rPr>
  </w:style>
  <w:style w:type="character" w:customStyle="1" w:styleId="33">
    <w:name w:val="font61"/>
    <w:basedOn w:val="18"/>
    <w:qFormat/>
    <w:uiPriority w:val="0"/>
    <w:rPr>
      <w:rFonts w:hint="eastAsia" w:ascii="宋体" w:hAnsi="宋体" w:eastAsia="宋体" w:cs="宋体"/>
      <w:b/>
      <w:bCs/>
      <w:color w:val="000000"/>
      <w:sz w:val="22"/>
      <w:szCs w:val="22"/>
      <w:u w:val="none"/>
    </w:rPr>
  </w:style>
  <w:style w:type="character" w:customStyle="1" w:styleId="34">
    <w:name w:val="font31"/>
    <w:basedOn w:val="18"/>
    <w:qFormat/>
    <w:uiPriority w:val="0"/>
    <w:rPr>
      <w:rFonts w:hint="eastAsia" w:ascii="宋体" w:hAnsi="宋体" w:eastAsia="宋体" w:cs="宋体"/>
      <w:color w:val="000000"/>
      <w:sz w:val="21"/>
      <w:szCs w:val="21"/>
      <w:u w:val="none"/>
    </w:rPr>
  </w:style>
  <w:style w:type="character" w:customStyle="1" w:styleId="35">
    <w:name w:val="font71"/>
    <w:basedOn w:val="18"/>
    <w:qFormat/>
    <w:uiPriority w:val="0"/>
    <w:rPr>
      <w:rFonts w:ascii="Calibri" w:hAnsi="Calibri" w:cs="Calibri"/>
      <w:color w:val="000000"/>
      <w:sz w:val="21"/>
      <w:szCs w:val="21"/>
      <w:u w:val="none"/>
    </w:rPr>
  </w:style>
  <w:style w:type="character" w:customStyle="1" w:styleId="36">
    <w:name w:val="font11"/>
    <w:basedOn w:val="18"/>
    <w:qFormat/>
    <w:uiPriority w:val="0"/>
    <w:rPr>
      <w:rFonts w:hint="eastAsia" w:ascii="宋体" w:hAnsi="宋体" w:eastAsia="宋体" w:cs="宋体"/>
      <w:color w:val="000000"/>
      <w:sz w:val="22"/>
      <w:szCs w:val="22"/>
      <w:u w:val="none"/>
    </w:rPr>
  </w:style>
  <w:style w:type="character" w:customStyle="1" w:styleId="37">
    <w:name w:val="font21"/>
    <w:basedOn w:val="18"/>
    <w:qFormat/>
    <w:uiPriority w:val="0"/>
    <w:rPr>
      <w:rFonts w:hint="eastAsia" w:ascii="宋体" w:hAnsi="宋体" w:eastAsia="宋体" w:cs="宋体"/>
      <w:b/>
      <w:bCs/>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06EE47-9272-483F-A7EA-2B23865F9E34}">
  <ds:schemaRefs/>
</ds:datastoreItem>
</file>

<file path=docProps/app.xml><?xml version="1.0" encoding="utf-8"?>
<Properties xmlns="http://schemas.openxmlformats.org/officeDocument/2006/extended-properties" xmlns:vt="http://schemas.openxmlformats.org/officeDocument/2006/docPropsVTypes">
  <Template>Normal</Template>
  <Pages>69</Pages>
  <Words>45545</Words>
  <Characters>51529</Characters>
  <Lines>10</Lines>
  <Paragraphs>2</Paragraphs>
  <TotalTime>2</TotalTime>
  <ScaleCrop>false</ScaleCrop>
  <LinksUpToDate>false</LinksUpToDate>
  <CharactersWithSpaces>51531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2023-02-10T18:55:00Z</dcterms:created>
  <dc:creator>Administrator</dc:creator>
  <cp:lastModifiedBy>公诚-稣琴</cp:lastModifiedBy>
  <dcterms:modified xsi:type="dcterms:W3CDTF">2026-08-21T07:37:54Z</dcterms:modified>
  <dc:title>iSignature HTML5签章</dc:title>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2021-08-09T00:00:00Z</vt:filetime>
  </property>
  <property fmtid="{D5CDD505-2E9C-101B-9397-08002B2CF9AE}" pid="3" name="Creator">
    <vt:lpwstr>wkhtmltopdf 0.12.5</vt:lpwstr>
  </property>
  <property fmtid="{D5CDD505-2E9C-101B-9397-08002B2CF9AE}" pid="4" name="LastSaved">
    <vt:filetime>2021-08-09T00:00:00Z</vt:filetime>
  </property>
  <property fmtid="{D5CDD505-2E9C-101B-9397-08002B2CF9AE}" pid="5" name="KSOProductBuildVer">
    <vt:lpwstr>2052-11.1.0.14309</vt:lpwstr>
  </property>
  <property fmtid="{D5CDD505-2E9C-101B-9397-08002B2CF9AE}" pid="6" name="KSOTemplateDocerSaveRecord">
    <vt:lpwstr>eyJoZGlkIjoiYTA5YzVlYjdhNTEzYjU5MGQ4OTg4MDQ5NTM5YjMzZGQiLCJ1c2VySWQiOiIxMzQ1Njk1MDkzIn0=</vt:lpwstr>
  </property>
  <property fmtid="{D5CDD505-2E9C-101B-9397-08002B2CF9AE}" pid="7" name="ICV">
    <vt:lpwstr>33CAA0F2D66D4B448AC00B3C11153693_13</vt:lpwstr>
  </property>
</Properties>
</file>