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497D4">
      <w:pPr>
        <w:pStyle w:val="6"/>
        <w:spacing w:before="0" w:after="0" w:line="360" w:lineRule="auto"/>
        <w:jc w:val="center"/>
        <w:rPr>
          <w:rFonts w:hint="eastAsia" w:ascii="仿宋" w:hAnsi="仿宋" w:eastAsia="仿宋" w:cs="仿宋"/>
          <w:bCs w:val="0"/>
          <w:color w:val="000000"/>
          <w:sz w:val="28"/>
          <w:szCs w:val="28"/>
        </w:rPr>
      </w:pPr>
      <w:bookmarkStart w:id="0" w:name="_Toc25687"/>
      <w:bookmarkStart w:id="14" w:name="_GoBack"/>
      <w:bookmarkEnd w:id="14"/>
      <w:r>
        <w:rPr>
          <w:rFonts w:hint="eastAsia" w:ascii="仿宋" w:hAnsi="仿宋" w:eastAsia="仿宋" w:cs="仿宋"/>
          <w:bCs w:val="0"/>
          <w:color w:val="000000"/>
          <w:sz w:val="28"/>
          <w:szCs w:val="28"/>
          <w:lang w:eastAsia="zh-CN"/>
        </w:rPr>
        <w:t>比选公告</w:t>
      </w:r>
      <w:bookmarkEnd w:id="0"/>
    </w:p>
    <w:p w14:paraId="3D5D2BE7">
      <w:pPr>
        <w:pStyle w:val="7"/>
        <w:keepNext w:val="0"/>
        <w:keepLines w:val="0"/>
        <w:pageBreakBefore w:val="0"/>
        <w:widowControl w:val="0"/>
        <w:bidi w:val="0"/>
        <w:spacing w:line="360" w:lineRule="auto"/>
        <w:ind w:firstLine="480"/>
        <w:jc w:val="left"/>
        <w:rPr>
          <w:rFonts w:hint="eastAsia" w:ascii="仿宋" w:hAnsi="仿宋" w:eastAsia="仿宋" w:cs="仿宋"/>
          <w:b w:val="0"/>
          <w:bCs/>
          <w:color w:val="000000"/>
          <w:sz w:val="24"/>
          <w:szCs w:val="24"/>
        </w:rPr>
      </w:pPr>
      <w:bookmarkStart w:id="1" w:name="_Hlk116144578"/>
      <w:r>
        <w:rPr>
          <w:rFonts w:hint="eastAsia" w:ascii="仿宋" w:hAnsi="仿宋" w:eastAsia="仿宋" w:cs="仿宋"/>
          <w:b w:val="0"/>
          <w:color w:val="000000"/>
          <w:sz w:val="24"/>
          <w:szCs w:val="24"/>
        </w:rPr>
        <w:t>本项目</w:t>
      </w:r>
      <w:r>
        <w:rPr>
          <w:rFonts w:hint="eastAsia" w:ascii="仿宋" w:hAnsi="仿宋" w:eastAsia="仿宋" w:cs="仿宋"/>
          <w:b w:val="0"/>
          <w:color w:val="000000"/>
          <w:sz w:val="24"/>
          <w:szCs w:val="24"/>
          <w:u w:val="single"/>
          <w:lang w:eastAsia="zh-CN"/>
        </w:rPr>
        <w:t>人保财险福建省福州市长乐支公司食堂管理服务采购项目（第二次）</w:t>
      </w:r>
      <w:r>
        <w:rPr>
          <w:rFonts w:hint="eastAsia" w:ascii="仿宋" w:hAnsi="仿宋" w:eastAsia="仿宋" w:cs="仿宋"/>
          <w:b w:val="0"/>
          <w:color w:val="000000"/>
          <w:sz w:val="24"/>
          <w:szCs w:val="24"/>
        </w:rPr>
        <w:t>（项目编号</w:t>
      </w:r>
      <w:r>
        <w:rPr>
          <w:rFonts w:hint="eastAsia" w:ascii="仿宋" w:hAnsi="仿宋" w:eastAsia="仿宋" w:cs="仿宋"/>
          <w:b w:val="0"/>
          <w:color w:val="000000"/>
          <w:sz w:val="24"/>
          <w:szCs w:val="24"/>
          <w:highlight w:val="none"/>
        </w:rPr>
        <w:t>：</w:t>
      </w:r>
      <w:r>
        <w:rPr>
          <w:rFonts w:hint="eastAsia" w:ascii="仿宋" w:hAnsi="仿宋" w:eastAsia="仿宋" w:cs="仿宋"/>
          <w:b w:val="0"/>
          <w:color w:val="000000"/>
          <w:sz w:val="24"/>
          <w:szCs w:val="24"/>
          <w:highlight w:val="none"/>
          <w:lang w:eastAsia="zh-CN"/>
        </w:rPr>
        <w:t>SZ-19-04D-2026-D-F-E27144C01</w:t>
      </w:r>
      <w:r>
        <w:rPr>
          <w:rFonts w:hint="eastAsia" w:ascii="仿宋" w:hAnsi="仿宋" w:eastAsia="仿宋" w:cs="仿宋"/>
          <w:b w:val="0"/>
          <w:color w:val="000000"/>
          <w:sz w:val="24"/>
          <w:szCs w:val="24"/>
          <w:highlight w:val="none"/>
        </w:rPr>
        <w:t>）由</w:t>
      </w:r>
      <w:r>
        <w:rPr>
          <w:rFonts w:hint="eastAsia" w:ascii="仿宋" w:hAnsi="仿宋" w:eastAsia="仿宋" w:cs="仿宋"/>
          <w:b w:val="0"/>
          <w:color w:val="000000"/>
          <w:sz w:val="24"/>
          <w:szCs w:val="24"/>
          <w:highlight w:val="none"/>
          <w:u w:val="single"/>
          <w:lang w:eastAsia="zh-CN"/>
        </w:rPr>
        <w:t>中国人民财产保险股份有限公司福州市分公司</w:t>
      </w:r>
      <w:r>
        <w:rPr>
          <w:rFonts w:hint="eastAsia" w:ascii="仿宋" w:hAnsi="仿宋" w:eastAsia="仿宋" w:cs="仿宋"/>
          <w:b w:val="0"/>
          <w:color w:val="000000"/>
          <w:sz w:val="24"/>
          <w:szCs w:val="24"/>
          <w:highlight w:val="none"/>
        </w:rPr>
        <w:t>（以下简称</w:t>
      </w:r>
      <w:r>
        <w:rPr>
          <w:rFonts w:hint="eastAsia" w:ascii="仿宋" w:hAnsi="仿宋" w:eastAsia="仿宋" w:cs="仿宋"/>
          <w:b w:val="0"/>
          <w:color w:val="000000"/>
          <w:sz w:val="24"/>
          <w:szCs w:val="24"/>
        </w:rPr>
        <w:t>“采购人”）</w:t>
      </w:r>
      <w:r>
        <w:rPr>
          <w:rFonts w:hint="eastAsia" w:ascii="仿宋" w:hAnsi="仿宋" w:eastAsia="仿宋" w:cs="仿宋"/>
          <w:b w:val="0"/>
          <w:sz w:val="24"/>
          <w:szCs w:val="24"/>
        </w:rPr>
        <w:t>批准并落实资金，组织本项目的</w:t>
      </w:r>
      <w:r>
        <w:rPr>
          <w:rFonts w:hint="eastAsia" w:ascii="仿宋" w:hAnsi="仿宋" w:eastAsia="仿宋" w:cs="仿宋"/>
          <w:b w:val="0"/>
          <w:sz w:val="24"/>
          <w:szCs w:val="24"/>
          <w:lang w:eastAsia="zh-CN"/>
        </w:rPr>
        <w:t>比选</w:t>
      </w:r>
      <w:r>
        <w:rPr>
          <w:rFonts w:hint="eastAsia" w:ascii="仿宋" w:hAnsi="仿宋" w:eastAsia="仿宋" w:cs="仿宋"/>
          <w:b w:val="0"/>
          <w:sz w:val="24"/>
          <w:szCs w:val="24"/>
        </w:rPr>
        <w:t>工作</w:t>
      </w:r>
      <w:r>
        <w:rPr>
          <w:rFonts w:hint="eastAsia" w:ascii="仿宋" w:hAnsi="仿宋" w:eastAsia="仿宋" w:cs="仿宋"/>
          <w:b w:val="0"/>
          <w:color w:val="000000"/>
          <w:sz w:val="24"/>
          <w:szCs w:val="24"/>
        </w:rPr>
        <w:t>。现委托</w:t>
      </w:r>
      <w:r>
        <w:rPr>
          <w:rFonts w:hint="eastAsia" w:ascii="仿宋" w:hAnsi="仿宋" w:eastAsia="仿宋" w:cs="仿宋"/>
          <w:b w:val="0"/>
          <w:color w:val="000000"/>
          <w:sz w:val="24"/>
          <w:szCs w:val="24"/>
          <w:u w:val="single"/>
        </w:rPr>
        <w:t xml:space="preserve"> 公诚管理咨询有限公司 </w:t>
      </w:r>
      <w:r>
        <w:rPr>
          <w:rFonts w:hint="eastAsia" w:ascii="仿宋" w:hAnsi="仿宋" w:eastAsia="仿宋" w:cs="仿宋"/>
          <w:b w:val="0"/>
          <w:color w:val="000000"/>
          <w:sz w:val="24"/>
          <w:szCs w:val="24"/>
        </w:rPr>
        <w:t>（以下简称“采购代理机构”）进行</w:t>
      </w:r>
      <w:r>
        <w:rPr>
          <w:rFonts w:hint="eastAsia" w:ascii="仿宋" w:hAnsi="仿宋" w:eastAsia="仿宋" w:cs="仿宋"/>
          <w:b w:val="0"/>
          <w:color w:val="000000"/>
          <w:sz w:val="24"/>
          <w:szCs w:val="24"/>
          <w:lang w:val="en-US" w:eastAsia="zh-CN"/>
        </w:rPr>
        <w:t>公开</w:t>
      </w:r>
      <w:r>
        <w:rPr>
          <w:rFonts w:hint="eastAsia" w:ascii="仿宋" w:hAnsi="仿宋" w:eastAsia="仿宋" w:cs="仿宋"/>
          <w:b w:val="0"/>
          <w:color w:val="000000"/>
          <w:sz w:val="24"/>
          <w:szCs w:val="24"/>
          <w:lang w:eastAsia="zh-CN"/>
        </w:rPr>
        <w:t>比选</w:t>
      </w:r>
      <w:r>
        <w:rPr>
          <w:rFonts w:hint="eastAsia" w:ascii="仿宋" w:hAnsi="仿宋" w:eastAsia="仿宋" w:cs="仿宋"/>
          <w:b w:val="0"/>
          <w:color w:val="000000"/>
          <w:sz w:val="24"/>
          <w:szCs w:val="24"/>
        </w:rPr>
        <w:t>，</w:t>
      </w:r>
      <w:r>
        <w:rPr>
          <w:rFonts w:hint="eastAsia" w:ascii="仿宋" w:hAnsi="仿宋" w:eastAsia="仿宋" w:cs="Cambria Math"/>
          <w:b w:val="0"/>
          <w:bCs/>
          <w:sz w:val="24"/>
        </w:rPr>
        <w:t>有意向且具有提供标的物能力的潜在供应商（以下简称“供应商”）可前来参与</w:t>
      </w:r>
      <w:r>
        <w:rPr>
          <w:rFonts w:hint="eastAsia" w:ascii="仿宋" w:hAnsi="仿宋" w:eastAsia="仿宋" w:cs="仿宋"/>
          <w:b w:val="0"/>
          <w:bCs/>
          <w:sz w:val="24"/>
          <w:szCs w:val="24"/>
          <w:lang w:eastAsia="zh-CN"/>
        </w:rPr>
        <w:t>比选</w:t>
      </w:r>
      <w:r>
        <w:rPr>
          <w:rFonts w:hint="eastAsia" w:ascii="仿宋" w:hAnsi="仿宋" w:eastAsia="仿宋" w:cs="仿宋"/>
          <w:b w:val="0"/>
          <w:bCs/>
          <w:sz w:val="24"/>
          <w:szCs w:val="24"/>
          <w:lang w:val="en-US" w:eastAsia="zh-CN"/>
        </w:rPr>
        <w:t>响应</w:t>
      </w:r>
      <w:r>
        <w:rPr>
          <w:rFonts w:hint="eastAsia" w:ascii="仿宋" w:hAnsi="仿宋" w:eastAsia="仿宋" w:cs="仿宋"/>
          <w:b w:val="0"/>
          <w:bCs/>
          <w:sz w:val="24"/>
          <w:szCs w:val="24"/>
        </w:rPr>
        <w:t>。</w:t>
      </w:r>
    </w:p>
    <w:bookmarkEnd w:id="1"/>
    <w:p w14:paraId="50D8AEC3">
      <w:pPr>
        <w:pStyle w:val="2"/>
        <w:ind w:firstLine="0"/>
        <w:rPr>
          <w:rFonts w:hint="eastAsia" w:ascii="仿宋" w:hAnsi="仿宋" w:cs="仿宋"/>
          <w:color w:val="000000"/>
          <w:szCs w:val="24"/>
        </w:rPr>
      </w:pPr>
      <w:bookmarkStart w:id="2" w:name="_Toc11590"/>
      <w:r>
        <w:rPr>
          <w:rFonts w:hint="eastAsia" w:ascii="仿宋" w:hAnsi="仿宋" w:cs="仿宋"/>
          <w:color w:val="000000"/>
          <w:szCs w:val="24"/>
        </w:rPr>
        <w:t>一、项目概况与采购范围</w:t>
      </w:r>
      <w:bookmarkEnd w:id="2"/>
    </w:p>
    <w:p w14:paraId="21730DAB">
      <w:pPr>
        <w:spacing w:line="360" w:lineRule="auto"/>
        <w:ind w:firstLine="480"/>
        <w:jc w:val="left"/>
        <w:rPr>
          <w:rFonts w:hint="eastAsia" w:ascii="仿宋" w:hAnsi="仿宋" w:eastAsia="仿宋" w:cs="仿宋"/>
          <w:color w:val="000000"/>
          <w:sz w:val="24"/>
          <w:highlight w:val="none"/>
          <w:lang w:eastAsia="zh-CN"/>
        </w:rPr>
      </w:pPr>
      <w:bookmarkStart w:id="3" w:name="_Hlk77264910"/>
      <w:r>
        <w:rPr>
          <w:rFonts w:hint="eastAsia" w:ascii="仿宋" w:hAnsi="仿宋" w:eastAsia="仿宋" w:cs="仿宋"/>
          <w:color w:val="000000"/>
          <w:sz w:val="24"/>
          <w:highlight w:val="none"/>
        </w:rPr>
        <w:t>1.1 项目名称：</w:t>
      </w:r>
      <w:r>
        <w:rPr>
          <w:rFonts w:hint="eastAsia" w:ascii="仿宋" w:hAnsi="仿宋" w:eastAsia="仿宋" w:cs="仿宋"/>
          <w:color w:val="000000"/>
          <w:sz w:val="24"/>
          <w:highlight w:val="none"/>
          <w:lang w:eastAsia="zh-CN"/>
        </w:rPr>
        <w:t>人保财险福建省福州市长乐支公司食堂管理服务采购项目（第二次）</w:t>
      </w:r>
    </w:p>
    <w:p w14:paraId="0E0CC00E">
      <w:pPr>
        <w:spacing w:line="360" w:lineRule="auto"/>
        <w:ind w:firstLine="480"/>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1.2 采购范围：</w:t>
      </w:r>
      <w:bookmarkStart w:id="4" w:name="_Hlk69456860"/>
      <w:r>
        <w:rPr>
          <w:rFonts w:hint="eastAsia" w:ascii="仿宋" w:hAnsi="仿宋" w:eastAsia="仿宋" w:cs="仿宋"/>
          <w:color w:val="000000"/>
          <w:sz w:val="24"/>
          <w:highlight w:val="none"/>
        </w:rPr>
        <w:t>本项目拟采购</w:t>
      </w:r>
      <w:bookmarkEnd w:id="3"/>
      <w:r>
        <w:rPr>
          <w:rFonts w:hint="eastAsia" w:ascii="仿宋" w:hAnsi="仿宋" w:eastAsia="仿宋" w:cs="仿宋"/>
          <w:color w:val="000000"/>
          <w:sz w:val="24"/>
          <w:highlight w:val="none"/>
          <w:lang w:val="en-US" w:eastAsia="zh-CN"/>
        </w:rPr>
        <w:t>长乐支</w:t>
      </w:r>
      <w:r>
        <w:rPr>
          <w:rFonts w:hint="eastAsia" w:ascii="仿宋" w:hAnsi="仿宋" w:eastAsia="仿宋" w:cs="仿宋"/>
          <w:color w:val="000000"/>
          <w:sz w:val="24"/>
          <w:highlight w:val="none"/>
          <w:lang w:eastAsia="zh-CN"/>
        </w:rPr>
        <w:t>公司食堂管理服务</w:t>
      </w:r>
      <w:r>
        <w:rPr>
          <w:rFonts w:hint="eastAsia" w:ascii="仿宋" w:hAnsi="仿宋" w:eastAsia="仿宋" w:cs="仿宋"/>
          <w:color w:val="000000"/>
          <w:sz w:val="24"/>
          <w:highlight w:val="none"/>
        </w:rPr>
        <w:t>。具体内容及要求见</w:t>
      </w:r>
      <w:r>
        <w:rPr>
          <w:rFonts w:hint="eastAsia" w:ascii="仿宋" w:hAnsi="仿宋" w:eastAsia="仿宋" w:cs="仿宋"/>
          <w:color w:val="000000"/>
          <w:sz w:val="24"/>
          <w:highlight w:val="none"/>
          <w:lang w:val="en-US" w:eastAsia="zh-CN"/>
        </w:rPr>
        <w:t>比选</w:t>
      </w:r>
      <w:r>
        <w:rPr>
          <w:rFonts w:hint="eastAsia" w:ascii="仿宋" w:hAnsi="仿宋" w:eastAsia="仿宋" w:cs="仿宋"/>
          <w:color w:val="000000"/>
          <w:sz w:val="24"/>
          <w:highlight w:val="none"/>
        </w:rPr>
        <w:t>文件第五章技术规范书。</w:t>
      </w:r>
    </w:p>
    <w:p w14:paraId="6C47E2EC">
      <w:pPr>
        <w:spacing w:line="360" w:lineRule="auto"/>
        <w:ind w:firstLine="480"/>
        <w:jc w:val="left"/>
        <w:rPr>
          <w:rFonts w:ascii="仿宋" w:hAnsi="仿宋" w:eastAsia="仿宋" w:cs="仿宋"/>
          <w:sz w:val="24"/>
          <w:highlight w:val="none"/>
        </w:rPr>
      </w:pPr>
      <w:r>
        <w:rPr>
          <w:rFonts w:hint="eastAsia" w:ascii="仿宋" w:hAnsi="仿宋" w:eastAsia="仿宋" w:cs="仿宋"/>
          <w:color w:val="000000"/>
          <w:sz w:val="24"/>
          <w:highlight w:val="none"/>
        </w:rPr>
        <w:t xml:space="preserve">1.3 </w:t>
      </w:r>
      <w:r>
        <w:rPr>
          <w:rFonts w:hint="eastAsia" w:ascii="仿宋" w:hAnsi="仿宋" w:eastAsia="仿宋" w:cs="仿宋"/>
          <w:sz w:val="24"/>
          <w:highlight w:val="none"/>
        </w:rPr>
        <w:t>标包划分：本项目不划分标</w:t>
      </w:r>
      <w:r>
        <w:rPr>
          <w:rFonts w:hint="eastAsia" w:ascii="仿宋" w:hAnsi="仿宋" w:eastAsia="仿宋" w:cs="仿宋"/>
          <w:sz w:val="24"/>
          <w:highlight w:val="none"/>
          <w:lang w:val="en-US" w:eastAsia="zh-CN"/>
        </w:rPr>
        <w:t>包</w:t>
      </w:r>
      <w:r>
        <w:rPr>
          <w:rFonts w:hint="eastAsia" w:ascii="仿宋" w:hAnsi="仿宋" w:eastAsia="仿宋" w:cs="仿宋"/>
          <w:sz w:val="24"/>
          <w:highlight w:val="none"/>
        </w:rPr>
        <w:t>。</w:t>
      </w:r>
    </w:p>
    <w:p w14:paraId="2C23F9C7">
      <w:pPr>
        <w:spacing w:line="360" w:lineRule="auto"/>
        <w:ind w:firstLine="480"/>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1.4 项目性质：</w:t>
      </w:r>
      <w:r>
        <w:rPr>
          <w:rFonts w:hint="eastAsia" w:ascii="仿宋" w:hAnsi="仿宋" w:eastAsia="仿宋" w:cs="仿宋"/>
          <w:color w:val="000000"/>
          <w:sz w:val="24"/>
          <w:highlight w:val="none"/>
          <w:lang w:val="en-US" w:eastAsia="zh-CN"/>
        </w:rPr>
        <w:t>服务</w:t>
      </w:r>
      <w:r>
        <w:rPr>
          <w:rFonts w:hint="eastAsia" w:ascii="仿宋" w:hAnsi="仿宋" w:eastAsia="仿宋" w:cs="仿宋"/>
          <w:color w:val="000000"/>
          <w:sz w:val="24"/>
          <w:highlight w:val="none"/>
        </w:rPr>
        <w:t>。</w:t>
      </w:r>
    </w:p>
    <w:p w14:paraId="5ECAAA99">
      <w:pPr>
        <w:spacing w:line="360" w:lineRule="auto"/>
        <w:ind w:firstLine="480"/>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ascii="仿宋" w:hAnsi="仿宋" w:eastAsia="仿宋" w:cs="仿宋"/>
          <w:color w:val="000000"/>
          <w:sz w:val="24"/>
          <w:highlight w:val="none"/>
        </w:rPr>
        <w:t>5</w:t>
      </w:r>
      <w:r>
        <w:rPr>
          <w:rFonts w:hint="eastAsia" w:ascii="仿宋" w:hAnsi="仿宋" w:eastAsia="仿宋" w:cs="仿宋"/>
          <w:color w:val="000000"/>
          <w:sz w:val="24"/>
          <w:highlight w:val="none"/>
          <w:lang w:val="en-US" w:eastAsia="zh-CN"/>
        </w:rPr>
        <w:t>服务</w:t>
      </w:r>
      <w:r>
        <w:rPr>
          <w:rFonts w:hint="eastAsia" w:ascii="仿宋" w:hAnsi="仿宋" w:eastAsia="仿宋" w:cs="仿宋"/>
          <w:color w:val="000000"/>
          <w:sz w:val="24"/>
          <w:highlight w:val="none"/>
        </w:rPr>
        <w:t>时间：</w:t>
      </w:r>
      <w:r>
        <w:rPr>
          <w:rFonts w:hint="eastAsia" w:ascii="仿宋" w:hAnsi="仿宋" w:eastAsia="仿宋" w:cs="仿宋"/>
          <w:color w:val="000000"/>
          <w:sz w:val="24"/>
          <w:highlight w:val="none"/>
          <w:lang w:val="en-US" w:eastAsia="zh-CN"/>
        </w:rPr>
        <w:t>自</w:t>
      </w:r>
      <w:r>
        <w:rPr>
          <w:rFonts w:hint="eastAsia" w:ascii="仿宋" w:hAnsi="仿宋" w:eastAsia="仿宋" w:cs="仿宋"/>
          <w:color w:val="000000"/>
          <w:sz w:val="24"/>
          <w:highlight w:val="none"/>
        </w:rPr>
        <w:t>合同签订后</w:t>
      </w:r>
      <w:r>
        <w:rPr>
          <w:rFonts w:hint="eastAsia" w:ascii="仿宋" w:hAnsi="仿宋" w:eastAsia="仿宋" w:cs="仿宋"/>
          <w:color w:val="000000"/>
          <w:sz w:val="24"/>
          <w:highlight w:val="none"/>
          <w:lang w:val="en-US" w:eastAsia="zh-CN"/>
        </w:rPr>
        <w:t>之日起两年</w:t>
      </w:r>
      <w:r>
        <w:rPr>
          <w:rFonts w:hint="eastAsia" w:ascii="仿宋" w:hAnsi="仿宋" w:eastAsia="仿宋" w:cs="仿宋"/>
          <w:color w:val="000000"/>
          <w:sz w:val="24"/>
          <w:highlight w:val="none"/>
        </w:rPr>
        <w:t>。</w:t>
      </w:r>
    </w:p>
    <w:p w14:paraId="4DB9E470">
      <w:pPr>
        <w:spacing w:line="360" w:lineRule="auto"/>
        <w:ind w:firstLine="480"/>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ascii="仿宋" w:hAnsi="仿宋" w:eastAsia="仿宋" w:cs="仿宋"/>
          <w:color w:val="000000"/>
          <w:sz w:val="24"/>
          <w:highlight w:val="none"/>
        </w:rPr>
        <w:t>6</w:t>
      </w:r>
      <w:r>
        <w:rPr>
          <w:rFonts w:hint="eastAsia" w:ascii="仿宋" w:hAnsi="仿宋" w:eastAsia="仿宋" w:cs="仿宋"/>
          <w:color w:val="000000"/>
          <w:sz w:val="24"/>
          <w:highlight w:val="none"/>
          <w:lang w:val="en-US" w:eastAsia="zh-CN"/>
        </w:rPr>
        <w:t>服务</w:t>
      </w:r>
      <w:r>
        <w:rPr>
          <w:rFonts w:hint="eastAsia" w:ascii="仿宋" w:hAnsi="仿宋" w:eastAsia="仿宋" w:cs="仿宋"/>
          <w:color w:val="000000"/>
          <w:sz w:val="24"/>
          <w:highlight w:val="none"/>
        </w:rPr>
        <w:t>地点：</w:t>
      </w:r>
      <w:r>
        <w:rPr>
          <w:rFonts w:hint="eastAsia" w:ascii="仿宋" w:hAnsi="仿宋" w:eastAsia="仿宋" w:cs="仿宋"/>
          <w:color w:val="000000"/>
          <w:sz w:val="24"/>
          <w:highlight w:val="none"/>
          <w:lang w:val="en-US" w:eastAsia="zh-CN"/>
        </w:rPr>
        <w:t>福州市长乐区吴航街道西洋中路171号</w:t>
      </w:r>
      <w:r>
        <w:rPr>
          <w:rFonts w:hint="eastAsia" w:ascii="仿宋" w:hAnsi="仿宋" w:eastAsia="仿宋" w:cs="仿宋"/>
          <w:color w:val="000000"/>
          <w:sz w:val="24"/>
          <w:highlight w:val="none"/>
        </w:rPr>
        <w:t>。</w:t>
      </w:r>
    </w:p>
    <w:bookmarkEnd w:id="4"/>
    <w:p w14:paraId="6D3C3942">
      <w:pPr>
        <w:pStyle w:val="2"/>
        <w:ind w:firstLine="0"/>
        <w:rPr>
          <w:rFonts w:hint="eastAsia" w:ascii="仿宋" w:hAnsi="仿宋" w:cs="仿宋"/>
          <w:color w:val="000000"/>
          <w:szCs w:val="24"/>
        </w:rPr>
      </w:pPr>
      <w:bookmarkStart w:id="5" w:name="_Toc18349"/>
      <w:r>
        <w:rPr>
          <w:rFonts w:hint="eastAsia" w:ascii="仿宋" w:hAnsi="仿宋" w:cs="仿宋"/>
          <w:color w:val="000000"/>
          <w:szCs w:val="24"/>
        </w:rPr>
        <w:t>二、供应商资格要求</w:t>
      </w:r>
      <w:bookmarkEnd w:id="5"/>
    </w:p>
    <w:p w14:paraId="7F225B9B">
      <w:pPr>
        <w:spacing w:line="360" w:lineRule="auto"/>
        <w:ind w:firstLine="480"/>
        <w:rPr>
          <w:rFonts w:hint="eastAsia" w:ascii="仿宋" w:hAnsi="仿宋" w:eastAsia="仿宋" w:cs="宋体"/>
          <w:color w:val="000000"/>
          <w:sz w:val="24"/>
        </w:rPr>
      </w:pPr>
      <w:r>
        <w:rPr>
          <w:rFonts w:ascii="仿宋" w:hAnsi="仿宋" w:eastAsia="仿宋" w:cs="宋体"/>
          <w:color w:val="000000"/>
          <w:sz w:val="24"/>
        </w:rPr>
        <w:t>2</w:t>
      </w:r>
      <w:r>
        <w:rPr>
          <w:rFonts w:hint="eastAsia" w:ascii="仿宋" w:hAnsi="仿宋" w:eastAsia="仿宋" w:cs="宋体"/>
          <w:color w:val="000000"/>
          <w:sz w:val="24"/>
        </w:rPr>
        <w:t>.1</w:t>
      </w:r>
      <w:r>
        <w:rPr>
          <w:rFonts w:hint="eastAsia" w:ascii="仿宋" w:hAnsi="仿宋" w:eastAsia="仿宋" w:cs="Monaco"/>
          <w:color w:val="000000"/>
          <w:sz w:val="24"/>
        </w:rPr>
        <w:t>在中华人民共和国境内依法登记的法人或其他组织，</w:t>
      </w:r>
      <w:r>
        <w:rPr>
          <w:rFonts w:hint="eastAsia" w:ascii="仿宋" w:hAnsi="仿宋" w:eastAsia="仿宋" w:cs="Monaco"/>
          <w:b/>
          <w:bCs/>
          <w:color w:val="000000"/>
          <w:sz w:val="24"/>
        </w:rPr>
        <w:t>具有独立承担民事责任的能力</w:t>
      </w:r>
      <w:r>
        <w:rPr>
          <w:rFonts w:hint="eastAsia" w:ascii="仿宋" w:hAnsi="仿宋" w:eastAsia="仿宋" w:cs="Monaco"/>
          <w:color w:val="000000"/>
          <w:sz w:val="24"/>
        </w:rPr>
        <w:t>，供应商如为企业法人，须提供企业法人营业执照（复印件）；供应商如为事业单位或其他组织，须提供事业单位法人证书或登记证或组织机构代码证或其他有效证明文件（复印件）。</w:t>
      </w:r>
    </w:p>
    <w:p w14:paraId="2C4B6E0C">
      <w:pPr>
        <w:spacing w:line="360" w:lineRule="auto"/>
        <w:ind w:firstLine="480"/>
        <w:rPr>
          <w:rFonts w:ascii="仿宋" w:hAnsi="仿宋" w:eastAsia="仿宋" w:cs="宋体"/>
          <w:color w:val="000000"/>
          <w:sz w:val="24"/>
        </w:rPr>
      </w:pPr>
      <w:r>
        <w:rPr>
          <w:rFonts w:ascii="仿宋" w:hAnsi="仿宋" w:eastAsia="仿宋" w:cs="宋体"/>
          <w:color w:val="000000"/>
          <w:sz w:val="24"/>
        </w:rPr>
        <w:t>2</w:t>
      </w:r>
      <w:r>
        <w:rPr>
          <w:rFonts w:hint="eastAsia" w:ascii="仿宋" w:hAnsi="仿宋" w:eastAsia="仿宋" w:cs="宋体"/>
          <w:color w:val="000000"/>
          <w:sz w:val="24"/>
        </w:rPr>
        <w:t>.</w:t>
      </w:r>
      <w:r>
        <w:rPr>
          <w:rFonts w:ascii="仿宋" w:hAnsi="仿宋" w:eastAsia="仿宋" w:cs="宋体"/>
          <w:color w:val="000000"/>
          <w:sz w:val="24"/>
        </w:rPr>
        <w:t>2</w:t>
      </w:r>
      <w:r>
        <w:rPr>
          <w:rFonts w:hint="eastAsia" w:ascii="仿宋" w:hAnsi="仿宋" w:eastAsia="仿宋" w:cs="宋体"/>
          <w:b/>
          <w:bCs/>
          <w:color w:val="000000"/>
          <w:sz w:val="24"/>
        </w:rPr>
        <w:t>具有良好的商业信誉和健全的财务会计制度</w:t>
      </w:r>
      <w:r>
        <w:rPr>
          <w:rFonts w:hint="eastAsia" w:ascii="仿宋" w:hAnsi="仿宋" w:eastAsia="仿宋" w:cs="宋体"/>
          <w:b/>
          <w:bCs/>
          <w:color w:val="000000"/>
          <w:sz w:val="24"/>
          <w:lang w:eastAsia="zh-CN"/>
        </w:rPr>
        <w:t>，</w:t>
      </w:r>
      <w:r>
        <w:rPr>
          <w:rFonts w:hint="eastAsia" w:ascii="仿宋" w:hAnsi="仿宋" w:eastAsia="仿宋" w:cs="宋体"/>
          <w:color w:val="000000"/>
          <w:sz w:val="24"/>
        </w:rPr>
        <w:t>需提供</w:t>
      </w:r>
      <w:r>
        <w:rPr>
          <w:rFonts w:hint="eastAsia" w:ascii="仿宋" w:hAnsi="仿宋" w:eastAsia="仿宋" w:cs="宋体"/>
          <w:color w:val="000000"/>
          <w:sz w:val="24"/>
          <w:lang w:val="en-US" w:eastAsia="zh-CN"/>
        </w:rPr>
        <w:t>2025年度</w:t>
      </w:r>
      <w:r>
        <w:rPr>
          <w:rFonts w:hint="eastAsia" w:ascii="仿宋" w:hAnsi="仿宋" w:eastAsia="仿宋" w:cs="宋体"/>
          <w:color w:val="000000"/>
          <w:sz w:val="24"/>
        </w:rPr>
        <w:t>经会计师事务所或审计机构审计的财务审计报告及财务报表（至少包含会计师事务所或审计机构签章页、资产负债表、现金流量表、损益表/利润表）或者</w:t>
      </w:r>
      <w:r>
        <w:rPr>
          <w:rFonts w:hint="eastAsia" w:ascii="仿宋" w:hAnsi="仿宋" w:eastAsia="仿宋" w:cs="Cambria Math"/>
          <w:color w:val="000000"/>
          <w:sz w:val="24"/>
        </w:rPr>
        <w:t>响应文件递交截止日前</w:t>
      </w:r>
      <w:r>
        <w:rPr>
          <w:rFonts w:ascii="仿宋" w:hAnsi="仿宋" w:eastAsia="仿宋" w:cs="宋体"/>
          <w:color w:val="000000"/>
          <w:sz w:val="24"/>
        </w:rPr>
        <w:t>6</w:t>
      </w:r>
      <w:r>
        <w:rPr>
          <w:rFonts w:hint="eastAsia" w:ascii="仿宋" w:hAnsi="仿宋" w:eastAsia="仿宋" w:cs="宋体"/>
          <w:color w:val="000000"/>
          <w:sz w:val="24"/>
        </w:rPr>
        <w:t>个月内开具的银行资信证明。</w:t>
      </w:r>
    </w:p>
    <w:p w14:paraId="5A0210F4">
      <w:pPr>
        <w:spacing w:line="360" w:lineRule="auto"/>
        <w:ind w:firstLine="480"/>
        <w:rPr>
          <w:rFonts w:ascii="仿宋" w:hAnsi="仿宋" w:eastAsia="仿宋" w:cs="宋体"/>
          <w:color w:val="000000"/>
          <w:sz w:val="24"/>
          <w:highlight w:val="none"/>
        </w:rPr>
      </w:pPr>
      <w:r>
        <w:rPr>
          <w:rFonts w:ascii="仿宋" w:hAnsi="仿宋" w:eastAsia="仿宋" w:cs="宋体"/>
          <w:color w:val="000000"/>
          <w:sz w:val="24"/>
        </w:rPr>
        <w:t>2</w:t>
      </w:r>
      <w:r>
        <w:rPr>
          <w:rFonts w:hint="eastAsia" w:ascii="仿宋" w:hAnsi="仿宋" w:eastAsia="仿宋" w:cs="宋体"/>
          <w:color w:val="000000"/>
          <w:sz w:val="24"/>
        </w:rPr>
        <w:t>.</w:t>
      </w:r>
      <w:r>
        <w:rPr>
          <w:rFonts w:ascii="仿宋" w:hAnsi="仿宋" w:eastAsia="仿宋" w:cs="宋体"/>
          <w:color w:val="000000"/>
          <w:sz w:val="24"/>
        </w:rPr>
        <w:t>3</w:t>
      </w:r>
      <w:r>
        <w:rPr>
          <w:rFonts w:hint="eastAsia" w:ascii="仿宋" w:hAnsi="仿宋" w:eastAsia="仿宋" w:cs="宋体"/>
          <w:b/>
          <w:bCs/>
          <w:color w:val="000000"/>
          <w:sz w:val="24"/>
          <w:highlight w:val="none"/>
          <w:lang w:val="en-US" w:eastAsia="zh-CN"/>
        </w:rPr>
        <w:t>供应商应具有履行合同所必需的设备和专业技术能力</w:t>
      </w:r>
      <w:r>
        <w:rPr>
          <w:rFonts w:hint="eastAsia" w:ascii="仿宋" w:hAnsi="仿宋" w:eastAsia="仿宋" w:cs="宋体"/>
          <w:color w:val="000000"/>
          <w:sz w:val="24"/>
          <w:highlight w:val="none"/>
          <w:lang w:val="en-US" w:eastAsia="zh-CN"/>
        </w:rPr>
        <w:t>，供应商近3年（2023年1月1日至今，以合同签订时间为准）至少具有一个类似的企业食堂餐饮服务业绩。需提供符合上述要求的合同关键页作为有效的业绩证明材料。合同关键页包含但不限于合同首页、合同标的页、签署日期页及盖章页等</w:t>
      </w:r>
      <w:r>
        <w:rPr>
          <w:rFonts w:hint="eastAsia" w:ascii="仿宋" w:hAnsi="仿宋" w:eastAsia="仿宋" w:cs="宋体"/>
          <w:color w:val="000000"/>
          <w:sz w:val="24"/>
          <w:highlight w:val="none"/>
        </w:rPr>
        <w:t>。</w:t>
      </w:r>
    </w:p>
    <w:p w14:paraId="5D637BCA">
      <w:pPr>
        <w:spacing w:line="360" w:lineRule="auto"/>
        <w:ind w:firstLine="480"/>
        <w:rPr>
          <w:rFonts w:hint="eastAsia" w:ascii="仿宋" w:hAnsi="仿宋" w:eastAsia="仿宋" w:cs="宋体"/>
          <w:color w:val="000000"/>
          <w:sz w:val="24"/>
        </w:rPr>
      </w:pPr>
      <w:r>
        <w:rPr>
          <w:rFonts w:ascii="仿宋" w:hAnsi="仿宋" w:eastAsia="仿宋" w:cs="宋体"/>
          <w:color w:val="000000"/>
          <w:sz w:val="24"/>
        </w:rPr>
        <w:t>2</w:t>
      </w:r>
      <w:r>
        <w:rPr>
          <w:rFonts w:hint="eastAsia" w:ascii="仿宋" w:hAnsi="仿宋" w:eastAsia="仿宋" w:cs="宋体"/>
          <w:color w:val="000000"/>
          <w:sz w:val="24"/>
        </w:rPr>
        <w:t>.4</w:t>
      </w:r>
      <w:r>
        <w:rPr>
          <w:rFonts w:hint="eastAsia" w:ascii="仿宋" w:hAnsi="仿宋" w:eastAsia="仿宋" w:cs="宋体"/>
          <w:b/>
          <w:bCs/>
          <w:color w:val="000000"/>
          <w:sz w:val="24"/>
        </w:rPr>
        <w:t>具有依法缴纳税收和社会保障资金的良好记录</w:t>
      </w:r>
      <w:r>
        <w:rPr>
          <w:rFonts w:hint="eastAsia" w:ascii="仿宋" w:hAnsi="仿宋" w:eastAsia="仿宋" w:cs="宋体"/>
          <w:color w:val="000000"/>
          <w:sz w:val="24"/>
        </w:rPr>
        <w:t>，提供近6个月任意一个月的税收和社会保障资金缴纳凭证。</w:t>
      </w:r>
    </w:p>
    <w:p w14:paraId="1C63DAF6">
      <w:pPr>
        <w:spacing w:line="360" w:lineRule="auto"/>
        <w:ind w:firstLine="480"/>
        <w:rPr>
          <w:rFonts w:hint="eastAsia" w:ascii="仿宋" w:hAnsi="仿宋" w:eastAsia="仿宋" w:cs="Monaco"/>
          <w:color w:val="000000"/>
          <w:sz w:val="24"/>
        </w:rPr>
      </w:pPr>
      <w:r>
        <w:rPr>
          <w:rFonts w:ascii="仿宋" w:hAnsi="仿宋" w:eastAsia="仿宋" w:cs="宋体"/>
          <w:color w:val="000000"/>
          <w:sz w:val="24"/>
        </w:rPr>
        <w:t>2</w:t>
      </w:r>
      <w:r>
        <w:rPr>
          <w:rFonts w:hint="eastAsia" w:ascii="仿宋" w:hAnsi="仿宋" w:eastAsia="仿宋" w:cs="宋体"/>
          <w:color w:val="000000"/>
          <w:sz w:val="24"/>
        </w:rPr>
        <w:t>.5</w:t>
      </w:r>
      <w:r>
        <w:rPr>
          <w:rFonts w:hint="eastAsia" w:ascii="仿宋" w:hAnsi="仿宋" w:eastAsia="仿宋" w:cs="Monaco"/>
          <w:b/>
          <w:bCs/>
          <w:color w:val="000000"/>
          <w:sz w:val="24"/>
        </w:rPr>
        <w:t>供应商应经营状况良好，且近三年内（2023年</w:t>
      </w:r>
      <w:r>
        <w:rPr>
          <w:rFonts w:ascii="仿宋" w:hAnsi="仿宋" w:eastAsia="仿宋" w:cs="Monaco"/>
          <w:b/>
          <w:bCs/>
          <w:color w:val="000000"/>
          <w:sz w:val="24"/>
        </w:rPr>
        <w:t>1</w:t>
      </w:r>
      <w:r>
        <w:rPr>
          <w:rFonts w:hint="eastAsia" w:ascii="仿宋" w:hAnsi="仿宋" w:eastAsia="仿宋" w:cs="Monaco"/>
          <w:b/>
          <w:bCs/>
          <w:color w:val="000000"/>
          <w:sz w:val="24"/>
        </w:rPr>
        <w:t>月1日至今）无违法违规记录</w:t>
      </w:r>
      <w:r>
        <w:rPr>
          <w:rFonts w:hint="eastAsia" w:ascii="仿宋" w:hAnsi="仿宋" w:eastAsia="仿宋" w:cs="Monaco"/>
          <w:color w:val="000000"/>
          <w:sz w:val="24"/>
        </w:rPr>
        <w:t>。违法违规记录是指被“信用中国”列入失信被执行人、重大税收违法失信主体、政府采购严重违法失信行为记录名单。供应商需提供自</w:t>
      </w:r>
      <w:bookmarkStart w:id="6" w:name="_Hlk116144626"/>
      <w:r>
        <w:rPr>
          <w:rFonts w:hint="eastAsia" w:ascii="仿宋" w:hAnsi="仿宋" w:eastAsia="仿宋" w:cs="Monaco"/>
          <w:color w:val="000000"/>
          <w:sz w:val="24"/>
          <w:lang w:eastAsia="zh-CN"/>
        </w:rPr>
        <w:t>比选</w:t>
      </w:r>
      <w:r>
        <w:rPr>
          <w:rFonts w:hint="eastAsia" w:ascii="仿宋" w:hAnsi="仿宋" w:eastAsia="仿宋" w:cs="Monaco"/>
          <w:color w:val="000000"/>
          <w:sz w:val="24"/>
        </w:rPr>
        <w:t>邀请书发送之日</w:t>
      </w:r>
      <w:bookmarkEnd w:id="6"/>
      <w:r>
        <w:rPr>
          <w:rFonts w:hint="eastAsia" w:ascii="仿宋" w:hAnsi="仿宋" w:eastAsia="仿宋" w:cs="Monaco"/>
          <w:color w:val="000000"/>
          <w:sz w:val="24"/>
        </w:rPr>
        <w:t>至响应文件递交截止之日期间对以上三项内容的查询截图并</w:t>
      </w:r>
      <w:r>
        <w:rPr>
          <w:rFonts w:hint="eastAsia" w:ascii="仿宋" w:hAnsi="仿宋" w:eastAsia="仿宋" w:cs="Monaco"/>
          <w:b/>
          <w:bCs/>
          <w:color w:val="000000"/>
          <w:sz w:val="24"/>
        </w:rPr>
        <w:t>加盖公章</w:t>
      </w:r>
      <w:r>
        <w:rPr>
          <w:rFonts w:hint="eastAsia" w:ascii="仿宋" w:hAnsi="仿宋" w:eastAsia="仿宋" w:cs="Monaco"/>
          <w:color w:val="000000"/>
          <w:sz w:val="24"/>
        </w:rPr>
        <w:t xml:space="preserve">。 </w:t>
      </w:r>
    </w:p>
    <w:p w14:paraId="25C26EE9">
      <w:pPr>
        <w:spacing w:line="360" w:lineRule="auto"/>
        <w:ind w:firstLine="480"/>
        <w:rPr>
          <w:rFonts w:hint="eastAsia" w:ascii="仿宋" w:hAnsi="仿宋" w:eastAsia="仿宋" w:cs="Monaco"/>
          <w:color w:val="000000"/>
          <w:sz w:val="24"/>
        </w:rPr>
      </w:pPr>
      <w:r>
        <w:rPr>
          <w:rFonts w:hint="eastAsia" w:ascii="仿宋" w:hAnsi="仿宋" w:eastAsia="仿宋" w:cs="Monaco"/>
          <w:color w:val="000000"/>
          <w:sz w:val="24"/>
        </w:rPr>
        <w:t>信用中国查询网址：</w:t>
      </w:r>
      <w:r>
        <w:rPr>
          <w:rFonts w:hint="eastAsia" w:ascii="仿宋" w:hAnsi="仿宋" w:eastAsia="仿宋" w:cs="Monaco"/>
          <w:color w:val="000000"/>
          <w:sz w:val="24"/>
          <w:szCs w:val="24"/>
          <w:highlight w:val="none"/>
        </w:rPr>
        <w:t>https://www.creditchina.gov.cn/zhuanxiangchaxun/</w:t>
      </w:r>
    </w:p>
    <w:p w14:paraId="2C3B2423">
      <w:pPr>
        <w:spacing w:line="360" w:lineRule="auto"/>
        <w:ind w:firstLine="480"/>
        <w:rPr>
          <w:rFonts w:hint="eastAsia" w:ascii="仿宋" w:hAnsi="仿宋" w:eastAsia="仿宋" w:cs="宋体"/>
          <w:color w:val="000000"/>
          <w:sz w:val="24"/>
          <w:highlight w:val="none"/>
        </w:rPr>
      </w:pPr>
      <w:r>
        <w:rPr>
          <w:rFonts w:ascii="仿宋" w:hAnsi="仿宋" w:eastAsia="仿宋" w:cs="宋体"/>
          <w:color w:val="000000"/>
          <w:sz w:val="24"/>
        </w:rPr>
        <w:t>2.6</w:t>
      </w:r>
      <w:r>
        <w:rPr>
          <w:rFonts w:hint="eastAsia" w:ascii="仿宋" w:hAnsi="仿宋" w:eastAsia="仿宋" w:cs="宋体"/>
          <w:color w:val="000000"/>
          <w:sz w:val="24"/>
        </w:rPr>
        <w:t>单位负责人为同一人或存在控股、管理关系的不同单位，不得参加同一标段/标包的</w:t>
      </w:r>
      <w:r>
        <w:rPr>
          <w:rFonts w:hint="eastAsia" w:ascii="仿宋" w:hAnsi="仿宋" w:eastAsia="仿宋" w:cs="宋体"/>
          <w:color w:val="000000"/>
          <w:sz w:val="24"/>
          <w:lang w:eastAsia="zh-CN"/>
        </w:rPr>
        <w:t>比选</w:t>
      </w:r>
      <w:r>
        <w:rPr>
          <w:rFonts w:hint="eastAsia" w:ascii="仿宋" w:hAnsi="仿宋" w:eastAsia="仿宋" w:cs="宋体"/>
          <w:color w:val="000000"/>
          <w:sz w:val="24"/>
        </w:rPr>
        <w:t>响应或未划</w:t>
      </w:r>
      <w:r>
        <w:rPr>
          <w:rFonts w:hint="eastAsia" w:ascii="仿宋" w:hAnsi="仿宋" w:eastAsia="仿宋" w:cs="宋体"/>
          <w:color w:val="000000"/>
          <w:sz w:val="24"/>
          <w:highlight w:val="none"/>
        </w:rPr>
        <w:t>分标段/标包的同一采购项目的</w:t>
      </w:r>
      <w:r>
        <w:rPr>
          <w:rFonts w:hint="eastAsia" w:ascii="仿宋" w:hAnsi="仿宋" w:eastAsia="仿宋" w:cs="宋体"/>
          <w:color w:val="000000"/>
          <w:sz w:val="24"/>
          <w:highlight w:val="none"/>
          <w:lang w:eastAsia="zh-CN"/>
        </w:rPr>
        <w:t>比选</w:t>
      </w:r>
      <w:r>
        <w:rPr>
          <w:rFonts w:hint="eastAsia" w:ascii="仿宋" w:hAnsi="仿宋" w:eastAsia="仿宋" w:cs="宋体"/>
          <w:color w:val="000000"/>
          <w:sz w:val="24"/>
          <w:highlight w:val="none"/>
        </w:rPr>
        <w:t>响应，</w:t>
      </w:r>
      <w:r>
        <w:rPr>
          <w:rFonts w:hint="eastAsia" w:ascii="仿宋" w:hAnsi="仿宋" w:eastAsia="仿宋" w:cs="Monaco"/>
          <w:color w:val="000000"/>
          <w:sz w:val="24"/>
          <w:highlight w:val="none"/>
        </w:rPr>
        <w:t>需填写《供应商控股及管理关系情况申报表》。</w:t>
      </w:r>
    </w:p>
    <w:p w14:paraId="76D2479B">
      <w:pPr>
        <w:spacing w:line="360" w:lineRule="auto"/>
        <w:ind w:firstLine="480"/>
        <w:rPr>
          <w:rFonts w:hint="eastAsia" w:ascii="仿宋" w:hAnsi="仿宋" w:eastAsia="仿宋" w:cs="宋体"/>
          <w:color w:val="000000"/>
          <w:sz w:val="24"/>
          <w:highlight w:val="none"/>
        </w:rPr>
      </w:pPr>
      <w:r>
        <w:rPr>
          <w:rFonts w:ascii="仿宋" w:hAnsi="仿宋" w:eastAsia="仿宋" w:cs="宋体"/>
          <w:color w:val="000000"/>
          <w:sz w:val="24"/>
          <w:highlight w:val="none"/>
        </w:rPr>
        <w:t>2.</w:t>
      </w:r>
      <w:r>
        <w:rPr>
          <w:rFonts w:hint="eastAsia" w:ascii="仿宋" w:hAnsi="仿宋" w:eastAsia="仿宋" w:cs="Cambria Math"/>
          <w:color w:val="000000"/>
          <w:sz w:val="24"/>
          <w:highlight w:val="none"/>
        </w:rPr>
        <w:t>7</w:t>
      </w:r>
      <w:r>
        <w:rPr>
          <w:rFonts w:hint="eastAsia" w:ascii="仿宋" w:hAnsi="仿宋" w:eastAsia="仿宋" w:cs="宋体"/>
          <w:color w:val="000000"/>
          <w:sz w:val="24"/>
          <w:highlight w:val="none"/>
        </w:rPr>
        <w:t>根据《中国人民保险集团供应商管理办法》及中国人民财产保险股份有限公司规定，严禁列入中国人民保险集团黑名单和中国人民财产保险股份有限公司黑名单且在禁入期内的供应商参与采购活动。</w:t>
      </w:r>
    </w:p>
    <w:p w14:paraId="4D0B208D">
      <w:pPr>
        <w:spacing w:line="360" w:lineRule="auto"/>
        <w:ind w:firstLine="480"/>
        <w:rPr>
          <w:rFonts w:hint="eastAsia" w:ascii="仿宋" w:hAnsi="仿宋" w:eastAsia="仿宋" w:cs="Cambria Math"/>
          <w:color w:val="000000"/>
          <w:sz w:val="24"/>
          <w:lang w:eastAsia="zh-CN"/>
        </w:rPr>
      </w:pPr>
      <w:r>
        <w:rPr>
          <w:rFonts w:hint="eastAsia" w:ascii="仿宋" w:hAnsi="仿宋" w:eastAsia="仿宋" w:cs="宋体"/>
          <w:color w:val="000000"/>
          <w:sz w:val="24"/>
          <w:highlight w:val="none"/>
          <w:lang w:val="en-US" w:eastAsia="zh-CN"/>
        </w:rPr>
        <w:t>2.8</w:t>
      </w:r>
      <w:r>
        <w:rPr>
          <w:rFonts w:hint="eastAsia" w:ascii="仿宋" w:hAnsi="仿宋" w:eastAsia="仿宋" w:cs="Cambria Math"/>
          <w:color w:val="000000"/>
          <w:sz w:val="24"/>
        </w:rPr>
        <w:t>本项目不接受联合体响应</w:t>
      </w:r>
      <w:r>
        <w:rPr>
          <w:rFonts w:hint="eastAsia" w:ascii="仿宋" w:hAnsi="仿宋" w:eastAsia="仿宋" w:cs="Cambria Math"/>
          <w:color w:val="000000"/>
          <w:sz w:val="24"/>
          <w:lang w:eastAsia="zh-CN"/>
        </w:rPr>
        <w:t>。</w:t>
      </w:r>
    </w:p>
    <w:p w14:paraId="1A1B61C3">
      <w:pPr>
        <w:spacing w:line="360" w:lineRule="auto"/>
        <w:ind w:firstLine="480"/>
        <w:rPr>
          <w:rFonts w:hint="eastAsia" w:ascii="仿宋" w:hAnsi="仿宋" w:eastAsia="仿宋" w:cs="Cambria Math"/>
          <w:color w:val="000000"/>
          <w:sz w:val="24"/>
          <w:lang w:val="en-US" w:eastAsia="zh-CN"/>
        </w:rPr>
      </w:pPr>
      <w:r>
        <w:rPr>
          <w:rFonts w:hint="eastAsia" w:ascii="仿宋" w:hAnsi="仿宋" w:eastAsia="仿宋" w:cs="Cambria Math"/>
          <w:color w:val="000000"/>
          <w:sz w:val="24"/>
          <w:lang w:val="en-US" w:eastAsia="zh-CN"/>
        </w:rPr>
        <w:t>2.9供应商应具有效的《食品经营许可证》或《食品生产许可证》，在响应截止时间前，若国家有关行政主管部门有新的关于食品方面许可的规定的，从其规定（提供证书复印件）。</w:t>
      </w:r>
    </w:p>
    <w:p w14:paraId="54616467">
      <w:pPr>
        <w:pStyle w:val="2"/>
        <w:ind w:firstLine="0"/>
        <w:rPr>
          <w:rFonts w:hint="eastAsia" w:ascii="仿宋" w:hAnsi="仿宋" w:cs="仿宋"/>
          <w:color w:val="000000"/>
          <w:szCs w:val="24"/>
        </w:rPr>
      </w:pPr>
      <w:bookmarkStart w:id="7" w:name="_Toc1423"/>
      <w:r>
        <w:rPr>
          <w:rFonts w:hint="eastAsia" w:ascii="仿宋" w:hAnsi="仿宋" w:cs="仿宋"/>
          <w:color w:val="000000"/>
          <w:szCs w:val="24"/>
        </w:rPr>
        <w:t>三、资格审查方法</w:t>
      </w:r>
      <w:bookmarkEnd w:id="7"/>
    </w:p>
    <w:p w14:paraId="0F1008AB">
      <w:pPr>
        <w:spacing w:line="360" w:lineRule="auto"/>
        <w:ind w:firstLine="480"/>
        <w:rPr>
          <w:rFonts w:ascii="仿宋" w:hAnsi="仿宋" w:eastAsia="仿宋" w:cs="仿宋"/>
          <w:color w:val="000000"/>
          <w:sz w:val="24"/>
        </w:rPr>
      </w:pPr>
      <w:r>
        <w:rPr>
          <w:rFonts w:hint="eastAsia" w:ascii="仿宋" w:hAnsi="仿宋" w:eastAsia="仿宋" w:cs="仿宋"/>
          <w:color w:val="000000"/>
          <w:sz w:val="24"/>
        </w:rPr>
        <w:t>本项目将进行资格后审，资格审查方法为合格制，资格审查标准和内容见</w:t>
      </w:r>
      <w:r>
        <w:rPr>
          <w:rFonts w:hint="eastAsia" w:ascii="仿宋" w:hAnsi="仿宋" w:eastAsia="仿宋" w:cs="仿宋"/>
          <w:color w:val="000000"/>
          <w:sz w:val="24"/>
          <w:lang w:eastAsia="zh-CN"/>
        </w:rPr>
        <w:t>比选</w:t>
      </w:r>
      <w:r>
        <w:rPr>
          <w:rFonts w:hint="eastAsia" w:ascii="仿宋" w:hAnsi="仿宋" w:eastAsia="仿宋" w:cs="仿宋"/>
          <w:color w:val="000000"/>
          <w:sz w:val="24"/>
        </w:rPr>
        <w:t>文件第三章评审办法。未通过资格后审的供应商，响应文件将被否决，不进入</w:t>
      </w:r>
      <w:r>
        <w:rPr>
          <w:rFonts w:hint="eastAsia" w:ascii="仿宋" w:hAnsi="仿宋" w:eastAsia="仿宋" w:cs="仿宋"/>
          <w:color w:val="000000"/>
          <w:sz w:val="24"/>
          <w:lang w:eastAsia="zh-CN"/>
        </w:rPr>
        <w:t>比选</w:t>
      </w:r>
      <w:r>
        <w:rPr>
          <w:rFonts w:hint="eastAsia" w:ascii="仿宋" w:hAnsi="仿宋" w:eastAsia="仿宋" w:cs="仿宋"/>
          <w:color w:val="000000"/>
          <w:sz w:val="24"/>
        </w:rPr>
        <w:t>、详细评审等后续环节。</w:t>
      </w:r>
    </w:p>
    <w:p w14:paraId="6F09494B">
      <w:pPr>
        <w:pStyle w:val="2"/>
        <w:ind w:firstLine="0"/>
        <w:rPr>
          <w:rFonts w:hint="eastAsia" w:ascii="仿宋" w:hAnsi="仿宋" w:cs="仿宋"/>
          <w:color w:val="000000"/>
          <w:szCs w:val="24"/>
        </w:rPr>
      </w:pPr>
      <w:bookmarkStart w:id="8" w:name="_Toc7831"/>
      <w:r>
        <w:rPr>
          <w:rFonts w:hint="eastAsia" w:ascii="仿宋" w:hAnsi="仿宋" w:cs="仿宋"/>
          <w:color w:val="000000"/>
          <w:szCs w:val="24"/>
        </w:rPr>
        <w:t>四、</w:t>
      </w:r>
      <w:r>
        <w:rPr>
          <w:rFonts w:hint="eastAsia" w:ascii="仿宋" w:hAnsi="仿宋" w:cs="仿宋"/>
          <w:color w:val="000000"/>
          <w:szCs w:val="24"/>
          <w:lang w:eastAsia="zh-CN"/>
        </w:rPr>
        <w:t>比选</w:t>
      </w:r>
      <w:r>
        <w:rPr>
          <w:rFonts w:hint="eastAsia" w:ascii="仿宋" w:hAnsi="仿宋" w:cs="仿宋"/>
          <w:color w:val="000000"/>
          <w:szCs w:val="24"/>
        </w:rPr>
        <w:t>文件的领取</w:t>
      </w:r>
      <w:bookmarkEnd w:id="8"/>
    </w:p>
    <w:p w14:paraId="3AF7EAFC">
      <w:pPr>
        <w:pStyle w:val="8"/>
        <w:jc w:val="left"/>
        <w:rPr>
          <w:rFonts w:hint="eastAsia" w:ascii="仿宋" w:hAnsi="仿宋" w:eastAsia="仿宋" w:cs="仿宋"/>
          <w:color w:val="000000"/>
          <w:sz w:val="24"/>
          <w:szCs w:val="24"/>
          <w:highlight w:val="none"/>
        </w:rPr>
      </w:pPr>
      <w:r>
        <w:rPr>
          <w:rFonts w:ascii="仿宋" w:hAnsi="仿宋" w:eastAsia="仿宋" w:cs="仿宋"/>
          <w:color w:val="000000"/>
          <w:sz w:val="24"/>
          <w:szCs w:val="24"/>
          <w:highlight w:val="none"/>
        </w:rPr>
        <w:t>4</w:t>
      </w:r>
      <w:r>
        <w:rPr>
          <w:rFonts w:hint="eastAsia" w:ascii="仿宋" w:hAnsi="仿宋" w:eastAsia="仿宋" w:cs="仿宋"/>
          <w:color w:val="000000"/>
          <w:sz w:val="24"/>
          <w:szCs w:val="24"/>
          <w:highlight w:val="none"/>
        </w:rPr>
        <w:t>.1</w:t>
      </w:r>
      <w:r>
        <w:rPr>
          <w:rFonts w:hint="eastAsia" w:ascii="仿宋" w:hAnsi="仿宋" w:eastAsia="仿宋" w:cs="仿宋"/>
          <w:color w:val="000000"/>
          <w:sz w:val="24"/>
          <w:szCs w:val="24"/>
          <w:highlight w:val="none"/>
          <w:lang w:eastAsia="zh-CN"/>
        </w:rPr>
        <w:t>比选</w:t>
      </w:r>
      <w:r>
        <w:rPr>
          <w:rFonts w:hint="eastAsia" w:ascii="仿宋" w:hAnsi="仿宋" w:eastAsia="仿宋" w:cs="仿宋"/>
          <w:color w:val="000000"/>
          <w:sz w:val="24"/>
          <w:szCs w:val="24"/>
          <w:highlight w:val="none"/>
        </w:rPr>
        <w:t>文件</w:t>
      </w:r>
      <w:r>
        <w:rPr>
          <w:rFonts w:hint="eastAsia" w:ascii="仿宋" w:hAnsi="仿宋" w:eastAsia="仿宋" w:cs="宋体"/>
          <w:color w:val="000000"/>
          <w:sz w:val="24"/>
          <w:szCs w:val="24"/>
          <w:highlight w:val="none"/>
        </w:rPr>
        <w:t>获取</w:t>
      </w:r>
      <w:r>
        <w:rPr>
          <w:rFonts w:hint="eastAsia" w:ascii="仿宋" w:hAnsi="仿宋" w:eastAsia="仿宋" w:cs="仿宋"/>
          <w:color w:val="000000"/>
          <w:sz w:val="24"/>
          <w:szCs w:val="24"/>
          <w:highlight w:val="none"/>
        </w:rPr>
        <w:t>时间：</w:t>
      </w:r>
      <w:r>
        <w:rPr>
          <w:rFonts w:hint="eastAsia" w:ascii="仿宋" w:hAnsi="仿宋" w:eastAsia="仿宋" w:cs="宋体"/>
          <w:b/>
          <w:color w:val="000000"/>
          <w:sz w:val="24"/>
          <w:szCs w:val="24"/>
          <w:highlight w:val="none"/>
          <w:u w:val="single"/>
        </w:rPr>
        <w:t>202</w:t>
      </w:r>
      <w:r>
        <w:rPr>
          <w:rFonts w:hint="eastAsia" w:ascii="仿宋" w:hAnsi="仿宋" w:eastAsia="仿宋" w:cs="宋体"/>
          <w:b/>
          <w:color w:val="000000"/>
          <w:sz w:val="24"/>
          <w:szCs w:val="24"/>
          <w:highlight w:val="none"/>
          <w:u w:val="single"/>
          <w:lang w:val="en-US" w:eastAsia="zh-CN"/>
        </w:rPr>
        <w:t>6</w:t>
      </w:r>
      <w:r>
        <w:rPr>
          <w:rFonts w:hint="eastAsia" w:ascii="仿宋" w:hAnsi="仿宋" w:eastAsia="仿宋" w:cs="宋体"/>
          <w:b/>
          <w:color w:val="000000"/>
          <w:sz w:val="24"/>
          <w:szCs w:val="24"/>
          <w:highlight w:val="none"/>
          <w:u w:val="single"/>
        </w:rPr>
        <w:t>年</w:t>
      </w:r>
      <w:r>
        <w:rPr>
          <w:rFonts w:hint="eastAsia" w:ascii="仿宋" w:hAnsi="仿宋" w:eastAsia="仿宋" w:cs="宋体"/>
          <w:b/>
          <w:color w:val="000000"/>
          <w:sz w:val="24"/>
          <w:szCs w:val="24"/>
          <w:highlight w:val="none"/>
          <w:u w:val="single"/>
          <w:lang w:val="en-US" w:eastAsia="zh-CN"/>
        </w:rPr>
        <w:t>10</w:t>
      </w:r>
      <w:r>
        <w:rPr>
          <w:rFonts w:hint="eastAsia" w:ascii="仿宋" w:hAnsi="仿宋" w:eastAsia="仿宋" w:cs="宋体"/>
          <w:b/>
          <w:color w:val="000000"/>
          <w:sz w:val="24"/>
          <w:szCs w:val="24"/>
          <w:highlight w:val="none"/>
          <w:u w:val="single"/>
        </w:rPr>
        <w:t>月</w:t>
      </w:r>
      <w:r>
        <w:rPr>
          <w:rFonts w:hint="eastAsia" w:ascii="仿宋" w:hAnsi="仿宋" w:eastAsia="仿宋" w:cs="宋体"/>
          <w:b/>
          <w:color w:val="000000"/>
          <w:sz w:val="24"/>
          <w:szCs w:val="24"/>
          <w:highlight w:val="none"/>
          <w:u w:val="single"/>
          <w:lang w:val="en-US" w:eastAsia="zh-CN"/>
        </w:rPr>
        <w:t>20</w:t>
      </w:r>
      <w:r>
        <w:rPr>
          <w:rFonts w:hint="eastAsia" w:ascii="仿宋" w:hAnsi="仿宋" w:eastAsia="仿宋" w:cs="宋体"/>
          <w:b/>
          <w:color w:val="000000"/>
          <w:sz w:val="24"/>
          <w:szCs w:val="24"/>
          <w:highlight w:val="none"/>
          <w:u w:val="single"/>
        </w:rPr>
        <w:t>日</w:t>
      </w:r>
      <w:r>
        <w:rPr>
          <w:rFonts w:hint="eastAsia" w:ascii="仿宋" w:hAnsi="仿宋" w:eastAsia="仿宋" w:cs="宋体"/>
          <w:b/>
          <w:color w:val="000000"/>
          <w:sz w:val="24"/>
          <w:szCs w:val="24"/>
          <w:highlight w:val="none"/>
        </w:rPr>
        <w:t>至</w:t>
      </w:r>
      <w:r>
        <w:rPr>
          <w:rFonts w:hint="eastAsia" w:ascii="仿宋" w:hAnsi="仿宋" w:eastAsia="仿宋" w:cs="宋体"/>
          <w:b/>
          <w:color w:val="000000"/>
          <w:sz w:val="24"/>
          <w:szCs w:val="24"/>
          <w:highlight w:val="none"/>
          <w:u w:val="single"/>
        </w:rPr>
        <w:t>202</w:t>
      </w:r>
      <w:r>
        <w:rPr>
          <w:rFonts w:hint="eastAsia" w:ascii="仿宋" w:hAnsi="仿宋" w:eastAsia="仿宋" w:cs="宋体"/>
          <w:b/>
          <w:color w:val="000000"/>
          <w:sz w:val="24"/>
          <w:szCs w:val="24"/>
          <w:highlight w:val="none"/>
          <w:u w:val="single"/>
          <w:lang w:val="en-US" w:eastAsia="zh-CN"/>
        </w:rPr>
        <w:t>6</w:t>
      </w:r>
      <w:r>
        <w:rPr>
          <w:rFonts w:hint="eastAsia" w:ascii="仿宋" w:hAnsi="仿宋" w:eastAsia="仿宋" w:cs="宋体"/>
          <w:b/>
          <w:color w:val="000000"/>
          <w:sz w:val="24"/>
          <w:szCs w:val="24"/>
          <w:highlight w:val="none"/>
          <w:u w:val="single"/>
        </w:rPr>
        <w:t>年</w:t>
      </w:r>
      <w:r>
        <w:rPr>
          <w:rFonts w:hint="eastAsia" w:ascii="仿宋" w:hAnsi="仿宋" w:eastAsia="仿宋" w:cs="宋体"/>
          <w:b/>
          <w:color w:val="000000"/>
          <w:sz w:val="24"/>
          <w:szCs w:val="24"/>
          <w:highlight w:val="none"/>
          <w:u w:val="single"/>
          <w:lang w:val="en-US" w:eastAsia="zh-CN"/>
        </w:rPr>
        <w:t>10</w:t>
      </w:r>
      <w:r>
        <w:rPr>
          <w:rFonts w:hint="eastAsia" w:ascii="仿宋" w:hAnsi="仿宋" w:eastAsia="仿宋" w:cs="宋体"/>
          <w:b/>
          <w:color w:val="000000"/>
          <w:sz w:val="24"/>
          <w:szCs w:val="24"/>
          <w:highlight w:val="none"/>
          <w:u w:val="single"/>
        </w:rPr>
        <w:t>月</w:t>
      </w:r>
      <w:r>
        <w:rPr>
          <w:rFonts w:hint="eastAsia" w:ascii="仿宋" w:hAnsi="仿宋" w:eastAsia="仿宋" w:cs="宋体"/>
          <w:b/>
          <w:color w:val="000000"/>
          <w:sz w:val="24"/>
          <w:szCs w:val="24"/>
          <w:highlight w:val="none"/>
          <w:u w:val="single"/>
          <w:lang w:val="en-US" w:eastAsia="zh-CN"/>
        </w:rPr>
        <w:t>23</w:t>
      </w:r>
      <w:r>
        <w:rPr>
          <w:rFonts w:hint="eastAsia" w:ascii="仿宋" w:hAnsi="仿宋" w:eastAsia="仿宋" w:cs="宋体"/>
          <w:b/>
          <w:color w:val="000000"/>
          <w:sz w:val="24"/>
          <w:szCs w:val="24"/>
          <w:highlight w:val="none"/>
          <w:u w:val="single"/>
        </w:rPr>
        <w:t>日</w:t>
      </w:r>
      <w:r>
        <w:rPr>
          <w:rFonts w:hint="eastAsia" w:ascii="仿宋" w:hAnsi="仿宋" w:eastAsia="仿宋" w:cs="宋体"/>
          <w:b w:val="0"/>
          <w:bCs/>
          <w:color w:val="000000"/>
          <w:sz w:val="24"/>
          <w:szCs w:val="24"/>
          <w:highlight w:val="none"/>
          <w:u w:val="none"/>
        </w:rPr>
        <w:t>，</w:t>
      </w:r>
      <w:r>
        <w:rPr>
          <w:rFonts w:hint="eastAsia" w:ascii="仿宋" w:hAnsi="仿宋" w:eastAsia="仿宋" w:cs="宋体"/>
          <w:color w:val="000000"/>
          <w:sz w:val="24"/>
          <w:szCs w:val="24"/>
          <w:highlight w:val="none"/>
        </w:rPr>
        <w:t>上午</w:t>
      </w:r>
      <w:r>
        <w:rPr>
          <w:rFonts w:hint="eastAsia" w:ascii="仿宋" w:hAnsi="仿宋" w:eastAsia="仿宋" w:cs="宋体"/>
          <w:color w:val="000000"/>
          <w:sz w:val="24"/>
          <w:szCs w:val="24"/>
          <w:highlight w:val="none"/>
          <w:lang w:val="en-US" w:eastAsia="zh-CN"/>
        </w:rPr>
        <w:t>09</w:t>
      </w:r>
      <w:r>
        <w:rPr>
          <w:rFonts w:hint="eastAsia" w:ascii="仿宋" w:hAnsi="仿宋" w:eastAsia="仿宋" w:cs="宋体"/>
          <w:color w:val="000000"/>
          <w:sz w:val="24"/>
          <w:szCs w:val="24"/>
          <w:highlight w:val="none"/>
        </w:rPr>
        <w:t>时至</w:t>
      </w:r>
      <w:r>
        <w:rPr>
          <w:rFonts w:hint="eastAsia" w:ascii="仿宋" w:hAnsi="仿宋" w:eastAsia="仿宋" w:cs="宋体"/>
          <w:color w:val="000000"/>
          <w:sz w:val="24"/>
          <w:szCs w:val="24"/>
          <w:highlight w:val="none"/>
          <w:lang w:val="en-US" w:eastAsia="zh-CN"/>
        </w:rPr>
        <w:t>12</w:t>
      </w:r>
      <w:r>
        <w:rPr>
          <w:rFonts w:hint="eastAsia" w:ascii="仿宋" w:hAnsi="仿宋" w:eastAsia="仿宋" w:cs="宋体"/>
          <w:color w:val="000000"/>
          <w:sz w:val="24"/>
          <w:szCs w:val="24"/>
          <w:highlight w:val="none"/>
        </w:rPr>
        <w:t>时，下午</w:t>
      </w:r>
      <w:r>
        <w:rPr>
          <w:rFonts w:hint="eastAsia" w:ascii="仿宋" w:hAnsi="仿宋" w:eastAsia="仿宋" w:cs="宋体"/>
          <w:color w:val="000000"/>
          <w:sz w:val="24"/>
          <w:szCs w:val="24"/>
          <w:highlight w:val="none"/>
          <w:lang w:val="en-US" w:eastAsia="zh-CN"/>
        </w:rPr>
        <w:t>14</w:t>
      </w:r>
      <w:r>
        <w:rPr>
          <w:rFonts w:hint="eastAsia" w:ascii="仿宋" w:hAnsi="仿宋" w:eastAsia="仿宋" w:cs="宋体"/>
          <w:color w:val="000000"/>
          <w:sz w:val="24"/>
          <w:szCs w:val="24"/>
          <w:highlight w:val="none"/>
        </w:rPr>
        <w:t>时至</w:t>
      </w:r>
      <w:r>
        <w:rPr>
          <w:rFonts w:hint="eastAsia" w:ascii="仿宋" w:hAnsi="仿宋" w:eastAsia="仿宋" w:cs="宋体"/>
          <w:color w:val="000000"/>
          <w:sz w:val="24"/>
          <w:szCs w:val="24"/>
          <w:highlight w:val="none"/>
          <w:lang w:val="en-US" w:eastAsia="zh-CN"/>
        </w:rPr>
        <w:t>17</w:t>
      </w:r>
      <w:r>
        <w:rPr>
          <w:rFonts w:hint="eastAsia" w:ascii="仿宋" w:hAnsi="仿宋" w:eastAsia="仿宋" w:cs="宋体"/>
          <w:color w:val="000000"/>
          <w:sz w:val="24"/>
          <w:szCs w:val="24"/>
          <w:highlight w:val="none"/>
        </w:rPr>
        <w:t>时（北京时间，下同）。</w:t>
      </w:r>
    </w:p>
    <w:p w14:paraId="73A28C53">
      <w:pPr>
        <w:spacing w:line="360" w:lineRule="auto"/>
        <w:ind w:firstLine="480"/>
        <w:rPr>
          <w:rFonts w:hint="eastAsia" w:ascii="仿宋" w:hAnsi="仿宋" w:eastAsia="仿宋" w:cs="宋体"/>
          <w:color w:val="000000"/>
          <w:sz w:val="24"/>
          <w:szCs w:val="24"/>
          <w:lang w:val="en-US" w:eastAsia="zh-CN"/>
        </w:rPr>
      </w:pPr>
      <w:r>
        <w:rPr>
          <w:rFonts w:ascii="仿宋" w:hAnsi="仿宋" w:eastAsia="仿宋" w:cs="宋体"/>
          <w:color w:val="000000"/>
          <w:sz w:val="24"/>
          <w:highlight w:val="none"/>
        </w:rPr>
        <w:t>4</w:t>
      </w:r>
      <w:r>
        <w:rPr>
          <w:rFonts w:hint="eastAsia" w:ascii="仿宋" w:hAnsi="仿宋" w:eastAsia="仿宋" w:cs="宋体"/>
          <w:color w:val="000000"/>
          <w:sz w:val="24"/>
          <w:highlight w:val="none"/>
        </w:rPr>
        <w:t>.2</w:t>
      </w:r>
      <w:r>
        <w:rPr>
          <w:rFonts w:hint="eastAsia" w:ascii="仿宋" w:hAnsi="仿宋" w:eastAsia="仿宋" w:cs="宋体"/>
          <w:color w:val="000000"/>
          <w:sz w:val="24"/>
          <w:szCs w:val="24"/>
          <w:lang w:val="en-US" w:eastAsia="zh-CN"/>
        </w:rPr>
        <w:t>凡拟报名参加人保财险分散采购项目的潜在供应商，均须先登录“人保e采”外网门户（https://ec.picc.com/）申请注册入库，审核通过后进行项目报名。“人保e采”管理系统供应商注册入库详情详见比选文件附件《人保e采管理系统供应商入库操作指南》。</w:t>
      </w:r>
    </w:p>
    <w:p w14:paraId="5FED3586">
      <w:pPr>
        <w:spacing w:line="360" w:lineRule="auto"/>
        <w:ind w:firstLine="480"/>
        <w:rPr>
          <w:rFonts w:hint="eastAsia"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4.3比选文件获取方式：凡有意参与的供应商，请按以下步骤顺序进行操作，获取比选文件：</w:t>
      </w:r>
    </w:p>
    <w:p w14:paraId="48B8F5F9">
      <w:pPr>
        <w:spacing w:line="360" w:lineRule="auto"/>
        <w:ind w:firstLine="480"/>
        <w:rPr>
          <w:rFonts w:hint="eastAsia"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通过“诚E招电子采购交易平台”（网址：https://www.chengezhao.com/）完成本项目的比选文件的购买。</w:t>
      </w:r>
    </w:p>
    <w:p w14:paraId="1C292AC9">
      <w:pPr>
        <w:spacing w:line="360" w:lineRule="auto"/>
        <w:ind w:firstLine="480"/>
        <w:rPr>
          <w:rFonts w:hint="eastAsia"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4.3.1诚E招平台注册：进入诚E招平台网址，点击【新用户注册】（注册步骤详见门户网站：【供应商操作指南】-【注册指引】）。登录账号后点击【常用文件】，下载《供应商&amp;供应商操作手册》。</w:t>
      </w:r>
    </w:p>
    <w:p w14:paraId="0E3491F2">
      <w:pPr>
        <w:spacing w:line="360" w:lineRule="auto"/>
        <w:ind w:firstLine="480"/>
        <w:rPr>
          <w:rFonts w:hint="eastAsia"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4.3.2购买比选文件：注册成功后登录诚E招平台，点击【商机发现】，检索本项目并</w:t>
      </w:r>
      <w:r>
        <w:rPr>
          <w:rFonts w:hint="eastAsia" w:ascii="仿宋" w:hAnsi="仿宋" w:eastAsia="仿宋" w:cs="宋体"/>
          <w:b/>
          <w:bCs/>
          <w:color w:val="000000"/>
          <w:sz w:val="24"/>
          <w:szCs w:val="24"/>
          <w:lang w:val="en-US" w:eastAsia="zh-CN"/>
        </w:rPr>
        <w:t>上传加盖公章的“人保e采”采购门户注册成功的截图提交审核</w:t>
      </w:r>
      <w:r>
        <w:rPr>
          <w:rFonts w:hint="eastAsia" w:ascii="仿宋" w:hAnsi="仿宋" w:eastAsia="仿宋" w:cs="宋体"/>
          <w:color w:val="000000"/>
          <w:sz w:val="24"/>
          <w:szCs w:val="24"/>
          <w:lang w:val="en-US" w:eastAsia="zh-CN"/>
        </w:rPr>
        <w:t>；</w:t>
      </w:r>
    </w:p>
    <w:p w14:paraId="3233E5CD">
      <w:pPr>
        <w:spacing w:line="360" w:lineRule="auto"/>
        <w:ind w:firstLine="480"/>
        <w:rPr>
          <w:rFonts w:hint="eastAsia"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4.3.3疑问反馈：具体操作若有疑问，可致电诚E招客服热线：020-89524219。服务时间8:30-17:30（工作日）。</w:t>
      </w:r>
    </w:p>
    <w:p w14:paraId="09B45831">
      <w:pPr>
        <w:spacing w:line="360" w:lineRule="auto"/>
        <w:ind w:firstLine="480"/>
        <w:rPr>
          <w:rFonts w:hint="eastAsia"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4.3.4比选文件费用：</w:t>
      </w:r>
    </w:p>
    <w:p w14:paraId="0E5E6344">
      <w:pPr>
        <w:spacing w:line="360" w:lineRule="auto"/>
        <w:ind w:firstLine="480"/>
        <w:rPr>
          <w:rFonts w:hint="eastAsia"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（1）比选文件费用：每套售价叁佰元人民币（小写：300元），售后不退。</w:t>
      </w:r>
    </w:p>
    <w:p w14:paraId="09AA59C3">
      <w:pPr>
        <w:spacing w:line="360" w:lineRule="auto"/>
        <w:ind w:firstLine="480"/>
        <w:rPr>
          <w:rFonts w:hint="eastAsia"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（2）支付方式（三选一）：①网上支付（微信/支付宝扫码）、②电汇（须上传汇款凭证）、③钱包支付（点击“钱包管理”，充值后即可支付）。</w:t>
      </w:r>
    </w:p>
    <w:p w14:paraId="2ACBD4BE">
      <w:pPr>
        <w:spacing w:line="360" w:lineRule="auto"/>
        <w:ind w:firstLine="480"/>
        <w:rPr>
          <w:rFonts w:hint="eastAsia"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开 户 名：公诚管理咨询有限公司</w:t>
      </w:r>
    </w:p>
    <w:p w14:paraId="3BF174DE">
      <w:pPr>
        <w:spacing w:line="360" w:lineRule="auto"/>
        <w:ind w:firstLine="480"/>
        <w:rPr>
          <w:rFonts w:hint="eastAsia"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开户银行：中信银行广州花园支行</w:t>
      </w:r>
    </w:p>
    <w:p w14:paraId="0B2BAF79">
      <w:pPr>
        <w:spacing w:line="360" w:lineRule="auto"/>
        <w:ind w:firstLine="480"/>
        <w:rPr>
          <w:rFonts w:hint="eastAsia"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 xml:space="preserve">账    </w:t>
      </w:r>
      <w:r>
        <w:rPr>
          <w:rFonts w:hint="eastAsia" w:ascii="仿宋" w:hAnsi="仿宋" w:eastAsia="仿宋" w:cs="宋体"/>
          <w:color w:val="000000"/>
          <w:sz w:val="24"/>
          <w:szCs w:val="24"/>
          <w:highlight w:val="none"/>
          <w:lang w:val="en-US" w:eastAsia="zh-CN"/>
        </w:rPr>
        <w:t>号：3110910037672627144</w:t>
      </w:r>
      <w:r>
        <w:rPr>
          <w:rFonts w:hint="eastAsia" w:ascii="仿宋" w:hAnsi="仿宋" w:eastAsia="仿宋" w:cs="宋体"/>
          <w:color w:val="000000"/>
          <w:sz w:val="24"/>
          <w:szCs w:val="24"/>
          <w:lang w:val="en-US" w:eastAsia="zh-CN"/>
        </w:rPr>
        <w:t xml:space="preserve"> </w:t>
      </w:r>
    </w:p>
    <w:p w14:paraId="27C1B43C">
      <w:pPr>
        <w:spacing w:line="360" w:lineRule="auto"/>
        <w:ind w:firstLine="480"/>
        <w:rPr>
          <w:rFonts w:hint="eastAsia" w:ascii="仿宋" w:hAnsi="仿宋" w:eastAsia="仿宋" w:cs="仿宋"/>
          <w:color w:val="000000"/>
          <w:sz w:val="24"/>
        </w:rPr>
      </w:pPr>
      <w:r>
        <w:rPr>
          <w:rFonts w:hint="eastAsia" w:ascii="仿宋" w:hAnsi="仿宋" w:eastAsia="仿宋" w:cs="宋体"/>
          <w:color w:val="000000"/>
          <w:sz w:val="24"/>
          <w:szCs w:val="24"/>
          <w:lang w:val="en-US" w:eastAsia="zh-CN"/>
        </w:rPr>
        <w:t>（3）免责声明：“诚E招电子采购交易平台”（网址：https://www.chengezhao.com/）为本项目标书费支付的唯一渠道，其他平台的支付均属无效</w:t>
      </w:r>
      <w:r>
        <w:rPr>
          <w:rFonts w:hint="eastAsia" w:ascii="仿宋" w:hAnsi="仿宋" w:eastAsia="仿宋" w:cs="仿宋"/>
          <w:color w:val="000000"/>
          <w:sz w:val="24"/>
        </w:rPr>
        <w:t>。</w:t>
      </w:r>
    </w:p>
    <w:p w14:paraId="1EA42A2E">
      <w:pPr>
        <w:pStyle w:val="2"/>
        <w:ind w:firstLine="0"/>
        <w:rPr>
          <w:rFonts w:hint="eastAsia" w:ascii="仿宋" w:hAnsi="仿宋" w:cs="仿宋"/>
          <w:color w:val="000000"/>
          <w:szCs w:val="24"/>
        </w:rPr>
      </w:pPr>
      <w:bookmarkStart w:id="9" w:name="_Toc11684"/>
      <w:r>
        <w:rPr>
          <w:rFonts w:hint="eastAsia" w:ascii="仿宋" w:hAnsi="仿宋" w:cs="仿宋"/>
          <w:color w:val="000000"/>
          <w:szCs w:val="24"/>
        </w:rPr>
        <w:t>五、响应文件的递交</w:t>
      </w:r>
      <w:bookmarkEnd w:id="9"/>
    </w:p>
    <w:p w14:paraId="192BE4C0">
      <w:pPr>
        <w:spacing w:line="360" w:lineRule="auto"/>
        <w:ind w:firstLine="480"/>
        <w:rPr>
          <w:rFonts w:hint="eastAsia" w:ascii="仿宋" w:hAnsi="仿宋" w:eastAsia="仿宋" w:cs="宋体"/>
          <w:color w:val="000000"/>
          <w:sz w:val="24"/>
          <w:highlight w:val="none"/>
        </w:rPr>
      </w:pPr>
      <w:r>
        <w:rPr>
          <w:rFonts w:ascii="仿宋" w:hAnsi="仿宋" w:eastAsia="仿宋" w:cs="宋体"/>
          <w:color w:val="000000"/>
          <w:sz w:val="24"/>
          <w:highlight w:val="none"/>
        </w:rPr>
        <w:t>5</w:t>
      </w:r>
      <w:r>
        <w:rPr>
          <w:rFonts w:hint="eastAsia" w:ascii="仿宋" w:hAnsi="仿宋" w:eastAsia="仿宋" w:cs="宋体"/>
          <w:color w:val="000000"/>
          <w:sz w:val="24"/>
          <w:highlight w:val="none"/>
        </w:rPr>
        <w:t>.1响应文件递交截止时间：</w:t>
      </w:r>
      <w:r>
        <w:rPr>
          <w:rFonts w:hint="eastAsia" w:ascii="仿宋" w:hAnsi="仿宋" w:eastAsia="仿宋" w:cs="宋体"/>
          <w:color w:val="000000"/>
          <w:sz w:val="24"/>
          <w:szCs w:val="24"/>
          <w:highlight w:val="none"/>
          <w:u w:val="single"/>
        </w:rPr>
        <w:t>20</w:t>
      </w:r>
      <w:r>
        <w:rPr>
          <w:rFonts w:hint="eastAsia" w:ascii="仿宋" w:hAnsi="仿宋" w:eastAsia="仿宋" w:cs="宋体"/>
          <w:color w:val="000000"/>
          <w:sz w:val="24"/>
          <w:szCs w:val="24"/>
          <w:highlight w:val="none"/>
          <w:u w:val="single"/>
          <w:lang w:val="en-US" w:eastAsia="zh-CN"/>
        </w:rPr>
        <w:t>26</w:t>
      </w:r>
      <w:r>
        <w:rPr>
          <w:rFonts w:hint="eastAsia" w:ascii="仿宋" w:hAnsi="仿宋" w:eastAsia="仿宋" w:cs="宋体"/>
          <w:color w:val="000000"/>
          <w:sz w:val="24"/>
          <w:szCs w:val="24"/>
          <w:highlight w:val="none"/>
          <w:u w:val="single"/>
        </w:rPr>
        <w:t>年</w:t>
      </w:r>
      <w:r>
        <w:rPr>
          <w:rFonts w:hint="eastAsia" w:ascii="仿宋" w:hAnsi="仿宋" w:eastAsia="仿宋" w:cs="宋体"/>
          <w:color w:val="000000"/>
          <w:sz w:val="24"/>
          <w:szCs w:val="24"/>
          <w:highlight w:val="none"/>
          <w:u w:val="single"/>
          <w:lang w:val="en-US" w:eastAsia="zh-CN"/>
        </w:rPr>
        <w:t>10</w:t>
      </w:r>
      <w:r>
        <w:rPr>
          <w:rFonts w:hint="eastAsia" w:ascii="仿宋" w:hAnsi="仿宋" w:eastAsia="仿宋" w:cs="宋体"/>
          <w:color w:val="000000"/>
          <w:sz w:val="24"/>
          <w:szCs w:val="24"/>
          <w:highlight w:val="none"/>
          <w:u w:val="single"/>
        </w:rPr>
        <w:t>月</w:t>
      </w:r>
      <w:r>
        <w:rPr>
          <w:rFonts w:hint="eastAsia" w:ascii="仿宋" w:hAnsi="仿宋" w:eastAsia="仿宋" w:cs="宋体"/>
          <w:color w:val="000000"/>
          <w:sz w:val="24"/>
          <w:szCs w:val="24"/>
          <w:highlight w:val="none"/>
          <w:u w:val="single"/>
          <w:lang w:val="en-US" w:eastAsia="zh-CN"/>
        </w:rPr>
        <w:t>27</w:t>
      </w:r>
      <w:r>
        <w:rPr>
          <w:rFonts w:hint="eastAsia" w:ascii="仿宋" w:hAnsi="仿宋" w:eastAsia="仿宋" w:cs="宋体"/>
          <w:color w:val="000000"/>
          <w:sz w:val="24"/>
          <w:szCs w:val="24"/>
          <w:highlight w:val="none"/>
          <w:u w:val="single"/>
        </w:rPr>
        <w:t>日</w:t>
      </w:r>
      <w:r>
        <w:rPr>
          <w:rFonts w:hint="eastAsia" w:ascii="仿宋" w:hAnsi="仿宋" w:eastAsia="仿宋" w:cs="宋体"/>
          <w:color w:val="000000"/>
          <w:sz w:val="24"/>
          <w:szCs w:val="24"/>
          <w:highlight w:val="none"/>
          <w:u w:val="single"/>
          <w:lang w:val="en-US" w:eastAsia="zh-CN"/>
        </w:rPr>
        <w:t>09</w:t>
      </w:r>
      <w:r>
        <w:rPr>
          <w:rFonts w:hint="eastAsia" w:ascii="仿宋" w:hAnsi="仿宋" w:eastAsia="仿宋" w:cs="宋体"/>
          <w:color w:val="000000"/>
          <w:sz w:val="24"/>
          <w:szCs w:val="24"/>
          <w:highlight w:val="none"/>
          <w:u w:val="single"/>
        </w:rPr>
        <w:t>时</w:t>
      </w:r>
      <w:r>
        <w:rPr>
          <w:rFonts w:hint="eastAsia" w:ascii="仿宋" w:hAnsi="仿宋" w:eastAsia="仿宋" w:cs="宋体"/>
          <w:color w:val="000000"/>
          <w:sz w:val="24"/>
          <w:szCs w:val="24"/>
          <w:highlight w:val="none"/>
          <w:u w:val="single"/>
          <w:lang w:val="en-US" w:eastAsia="zh-CN"/>
        </w:rPr>
        <w:t>30</w:t>
      </w:r>
      <w:r>
        <w:rPr>
          <w:rFonts w:hint="eastAsia" w:ascii="仿宋" w:hAnsi="仿宋" w:eastAsia="仿宋" w:cs="宋体"/>
          <w:color w:val="000000"/>
          <w:sz w:val="24"/>
          <w:szCs w:val="24"/>
          <w:highlight w:val="none"/>
          <w:u w:val="single"/>
        </w:rPr>
        <w:t>分00秒</w:t>
      </w:r>
      <w:r>
        <w:rPr>
          <w:rFonts w:hint="eastAsia" w:ascii="仿宋" w:hAnsi="仿宋" w:eastAsia="仿宋" w:cs="宋体"/>
          <w:color w:val="000000"/>
          <w:sz w:val="24"/>
          <w:highlight w:val="none"/>
        </w:rPr>
        <w:t>。</w:t>
      </w:r>
    </w:p>
    <w:p w14:paraId="4949AE37">
      <w:pPr>
        <w:spacing w:line="360" w:lineRule="auto"/>
        <w:ind w:firstLine="480"/>
        <w:jc w:val="left"/>
        <w:rPr>
          <w:rFonts w:hint="eastAsia"/>
          <w:highlight w:val="none"/>
        </w:rPr>
      </w:pPr>
      <w:r>
        <w:rPr>
          <w:rFonts w:hint="eastAsia" w:ascii="仿宋" w:hAnsi="仿宋" w:eastAsia="仿宋" w:cs="宋体"/>
          <w:color w:val="000000"/>
          <w:sz w:val="24"/>
          <w:highlight w:val="none"/>
        </w:rPr>
        <w:t>5.2响应文件的递交：须现场递交至</w:t>
      </w:r>
      <w:r>
        <w:rPr>
          <w:rFonts w:hint="eastAsia" w:ascii="仿宋" w:hAnsi="仿宋" w:eastAsia="仿宋" w:cs="宋体"/>
          <w:color w:val="000000"/>
          <w:sz w:val="24"/>
          <w:szCs w:val="24"/>
          <w:highlight w:val="none"/>
          <w:u w:val="single"/>
          <w:lang w:eastAsia="zh-CN"/>
        </w:rPr>
        <w:t>福建省福州市闽侯县荆溪镇大数据科技园B5栋13层本项目开评标室</w:t>
      </w:r>
      <w:r>
        <w:rPr>
          <w:rFonts w:hint="eastAsia" w:ascii="仿宋" w:hAnsi="仿宋" w:eastAsia="仿宋" w:cs="宋体"/>
          <w:color w:val="000000"/>
          <w:sz w:val="24"/>
          <w:highlight w:val="none"/>
        </w:rPr>
        <w:t>，</w:t>
      </w:r>
      <w:r>
        <w:rPr>
          <w:rFonts w:hint="eastAsia" w:ascii="仿宋" w:hAnsi="仿宋" w:eastAsia="仿宋" w:cs="宋体"/>
          <w:b/>
          <w:bCs/>
          <w:color w:val="000000"/>
          <w:sz w:val="24"/>
          <w:highlight w:val="none"/>
        </w:rPr>
        <w:t>逾期送达或者未送达指定地点或者未按照</w:t>
      </w:r>
      <w:r>
        <w:rPr>
          <w:rFonts w:hint="eastAsia" w:ascii="仿宋" w:hAnsi="仿宋" w:eastAsia="仿宋" w:cs="宋体"/>
          <w:b/>
          <w:bCs/>
          <w:color w:val="000000"/>
          <w:sz w:val="24"/>
          <w:highlight w:val="none"/>
          <w:lang w:val="en-US" w:eastAsia="zh-CN"/>
        </w:rPr>
        <w:t>比选</w:t>
      </w:r>
      <w:r>
        <w:rPr>
          <w:rFonts w:hint="eastAsia" w:ascii="仿宋" w:hAnsi="仿宋" w:eastAsia="仿宋" w:cs="宋体"/>
          <w:b/>
          <w:bCs/>
          <w:color w:val="000000"/>
          <w:sz w:val="24"/>
          <w:highlight w:val="none"/>
        </w:rPr>
        <w:t>文件要求封装的纸质响应文件不予接收。</w:t>
      </w:r>
    </w:p>
    <w:p w14:paraId="516A7757">
      <w:pPr>
        <w:spacing w:line="360" w:lineRule="auto"/>
        <w:ind w:firstLine="480"/>
        <w:rPr>
          <w:rFonts w:hint="eastAsia" w:ascii="仿宋" w:hAnsi="仿宋" w:eastAsia="仿宋" w:cs="宋体"/>
          <w:b w:val="0"/>
          <w:bCs w:val="0"/>
          <w:color w:val="000000"/>
          <w:sz w:val="24"/>
          <w:szCs w:val="24"/>
          <w:highlight w:val="none"/>
          <w:lang w:val="en-US" w:eastAsia="zh-CN" w:bidi="ar-SA"/>
        </w:rPr>
      </w:pPr>
      <w:r>
        <w:rPr>
          <w:rFonts w:hint="eastAsia" w:ascii="仿宋" w:hAnsi="仿宋" w:eastAsia="仿宋" w:cs="宋体"/>
          <w:b w:val="0"/>
          <w:color w:val="000000"/>
          <w:sz w:val="24"/>
          <w:szCs w:val="24"/>
          <w:highlight w:val="none"/>
          <w:lang w:val="en-US" w:eastAsia="zh-CN" w:bidi="ar-SA"/>
        </w:rPr>
        <w:t>5.3</w:t>
      </w:r>
      <w:r>
        <w:rPr>
          <w:rFonts w:hint="eastAsia" w:ascii="仿宋" w:hAnsi="仿宋" w:eastAsia="仿宋" w:cs="宋体"/>
          <w:b w:val="0"/>
          <w:bCs w:val="0"/>
          <w:color w:val="000000"/>
          <w:sz w:val="24"/>
          <w:szCs w:val="24"/>
          <w:highlight w:val="none"/>
          <w:lang w:val="en-US" w:eastAsia="zh-CN" w:bidi="ar-SA"/>
        </w:rPr>
        <w:t>本项目将于上述同一时间、地点进行比选，采购人/采购代理机构邀请供应商代表准时参加。</w:t>
      </w:r>
    </w:p>
    <w:p w14:paraId="3BBA8F05">
      <w:pPr>
        <w:spacing w:line="360" w:lineRule="auto"/>
        <w:ind w:firstLine="480"/>
        <w:rPr>
          <w:rFonts w:hint="eastAsia" w:ascii="仿宋" w:hAnsi="仿宋" w:eastAsia="仿宋" w:cs="宋体"/>
          <w:b/>
          <w:bCs/>
          <w:color w:val="000000"/>
          <w:sz w:val="24"/>
          <w:szCs w:val="24"/>
          <w:highlight w:val="none"/>
          <w:lang w:val="en-US" w:eastAsia="zh-CN" w:bidi="ar-SA"/>
        </w:rPr>
      </w:pPr>
      <w:r>
        <w:rPr>
          <w:rFonts w:hint="eastAsia" w:ascii="仿宋" w:hAnsi="仿宋" w:eastAsia="仿宋" w:cs="宋体"/>
          <w:b w:val="0"/>
          <w:color w:val="000000"/>
          <w:sz w:val="24"/>
          <w:szCs w:val="24"/>
          <w:highlight w:val="none"/>
          <w:lang w:val="en-US" w:eastAsia="zh-CN" w:bidi="ar-SA"/>
        </w:rPr>
        <w:t>5.4</w:t>
      </w:r>
      <w:r>
        <w:rPr>
          <w:rFonts w:hint="eastAsia" w:ascii="仿宋" w:hAnsi="仿宋" w:eastAsia="仿宋" w:cs="宋体"/>
          <w:b/>
          <w:bCs/>
          <w:color w:val="000000"/>
          <w:sz w:val="24"/>
          <w:szCs w:val="24"/>
          <w:highlight w:val="none"/>
          <w:lang w:val="en-US" w:eastAsia="zh-CN" w:bidi="ar-SA"/>
        </w:rPr>
        <w:t>出现以下情形之一时，采购人/采购代理机构不予接收响应文件：</w:t>
      </w:r>
    </w:p>
    <w:p w14:paraId="45771113">
      <w:pPr>
        <w:spacing w:line="360" w:lineRule="auto"/>
        <w:ind w:firstLine="480"/>
        <w:rPr>
          <w:rFonts w:hint="eastAsia" w:ascii="仿宋" w:hAnsi="仿宋" w:eastAsia="仿宋" w:cs="宋体"/>
          <w:b w:val="0"/>
          <w:color w:val="000000"/>
          <w:sz w:val="24"/>
          <w:szCs w:val="24"/>
          <w:highlight w:val="none"/>
          <w:lang w:val="en-US" w:eastAsia="zh-CN" w:bidi="ar-SA"/>
        </w:rPr>
      </w:pPr>
      <w:r>
        <w:rPr>
          <w:rFonts w:hint="eastAsia" w:ascii="仿宋" w:hAnsi="仿宋" w:eastAsia="仿宋" w:cs="宋体"/>
          <w:b w:val="0"/>
          <w:color w:val="000000"/>
          <w:sz w:val="24"/>
          <w:szCs w:val="24"/>
          <w:highlight w:val="none"/>
          <w:lang w:val="en-US" w:eastAsia="zh-CN" w:bidi="ar-SA"/>
        </w:rPr>
        <w:t>5.4.1  逾期送达或者未送达指定地点的；</w:t>
      </w:r>
    </w:p>
    <w:p w14:paraId="53392525">
      <w:pPr>
        <w:spacing w:line="360" w:lineRule="auto"/>
        <w:ind w:firstLine="480"/>
        <w:rPr>
          <w:rFonts w:hint="eastAsia" w:ascii="仿宋" w:hAnsi="仿宋" w:eastAsia="仿宋" w:cs="宋体"/>
          <w:b w:val="0"/>
          <w:color w:val="000000"/>
          <w:sz w:val="24"/>
          <w:szCs w:val="24"/>
          <w:highlight w:val="none"/>
          <w:lang w:val="en-US" w:eastAsia="zh-CN" w:bidi="ar-SA"/>
        </w:rPr>
      </w:pPr>
      <w:r>
        <w:rPr>
          <w:rFonts w:hint="eastAsia" w:ascii="仿宋" w:hAnsi="仿宋" w:eastAsia="仿宋" w:cs="宋体"/>
          <w:b w:val="0"/>
          <w:color w:val="000000"/>
          <w:sz w:val="24"/>
          <w:szCs w:val="24"/>
          <w:highlight w:val="none"/>
          <w:lang w:val="en-US" w:eastAsia="zh-CN" w:bidi="ar-SA"/>
        </w:rPr>
        <w:t>5.4.2  未按照响应文件要求密封的；</w:t>
      </w:r>
    </w:p>
    <w:p w14:paraId="487C4327">
      <w:pPr>
        <w:spacing w:line="360" w:lineRule="auto"/>
        <w:ind w:firstLine="480"/>
        <w:rPr>
          <w:rFonts w:ascii="仿宋" w:hAnsi="仿宋" w:eastAsia="仿宋" w:cs="仿宋"/>
          <w:color w:val="000000"/>
          <w:sz w:val="24"/>
        </w:rPr>
      </w:pPr>
      <w:r>
        <w:rPr>
          <w:rFonts w:hint="eastAsia" w:ascii="仿宋" w:hAnsi="仿宋" w:eastAsia="仿宋" w:cs="宋体"/>
          <w:b w:val="0"/>
          <w:color w:val="000000"/>
          <w:sz w:val="24"/>
          <w:szCs w:val="24"/>
          <w:highlight w:val="none"/>
          <w:lang w:val="en-US" w:eastAsia="zh-CN" w:bidi="ar-SA"/>
        </w:rPr>
        <w:t>5.4.3  未按照比选公告要求获取比选文件的</w:t>
      </w:r>
      <w:r>
        <w:rPr>
          <w:rFonts w:hint="eastAsia" w:ascii="仿宋" w:hAnsi="仿宋" w:eastAsia="仿宋" w:cs="宋体"/>
          <w:color w:val="000000"/>
          <w:sz w:val="24"/>
        </w:rPr>
        <w:t>。</w:t>
      </w:r>
    </w:p>
    <w:p w14:paraId="584D8C57">
      <w:pPr>
        <w:pStyle w:val="2"/>
        <w:ind w:firstLine="0"/>
        <w:rPr>
          <w:rFonts w:hint="eastAsia" w:ascii="仿宋" w:hAnsi="仿宋" w:cs="仿宋"/>
          <w:color w:val="000000"/>
          <w:szCs w:val="24"/>
        </w:rPr>
      </w:pPr>
      <w:bookmarkStart w:id="10" w:name="_Toc15235"/>
      <w:r>
        <w:rPr>
          <w:rFonts w:hint="eastAsia" w:ascii="仿宋" w:hAnsi="仿宋" w:cs="仿宋"/>
          <w:color w:val="000000"/>
          <w:szCs w:val="24"/>
        </w:rPr>
        <w:t>六、发布公告的媒介</w:t>
      </w:r>
      <w:bookmarkEnd w:id="10"/>
    </w:p>
    <w:p w14:paraId="719FD59E">
      <w:pPr>
        <w:spacing w:line="360" w:lineRule="auto"/>
        <w:ind w:firstLine="480"/>
        <w:rPr>
          <w:rFonts w:hint="eastAsia" w:ascii="仿宋" w:hAnsi="仿宋" w:eastAsia="仿宋" w:cs="仿宋"/>
          <w:color w:val="000000"/>
          <w:sz w:val="24"/>
        </w:rPr>
      </w:pPr>
      <w:bookmarkStart w:id="11" w:name="_Hlk116144649"/>
      <w:r>
        <w:rPr>
          <w:rFonts w:hint="eastAsia" w:ascii="仿宋" w:hAnsi="仿宋" w:eastAsia="仿宋" w:cs="仿宋"/>
          <w:color w:val="000000"/>
          <w:sz w:val="24"/>
        </w:rPr>
        <w:t>本项目</w:t>
      </w:r>
      <w:r>
        <w:rPr>
          <w:rFonts w:hint="eastAsia" w:ascii="仿宋" w:hAnsi="仿宋" w:eastAsia="仿宋" w:cs="仿宋"/>
          <w:color w:val="000000"/>
          <w:sz w:val="24"/>
          <w:lang w:val="en-US" w:eastAsia="zh-CN"/>
        </w:rPr>
        <w:t>比选</w:t>
      </w:r>
      <w:r>
        <w:rPr>
          <w:rFonts w:hint="eastAsia" w:ascii="仿宋" w:hAnsi="仿宋" w:eastAsia="仿宋" w:cs="宋体"/>
          <w:color w:val="000000"/>
          <w:sz w:val="24"/>
        </w:rPr>
        <w:t>公告</w:t>
      </w:r>
      <w:r>
        <w:rPr>
          <w:rFonts w:hint="eastAsia" w:ascii="仿宋" w:hAnsi="仿宋" w:eastAsia="仿宋" w:cs="仿宋"/>
          <w:color w:val="000000"/>
          <w:sz w:val="24"/>
          <w:highlight w:val="none"/>
        </w:rPr>
        <w:t>同时在</w:t>
      </w:r>
      <w:r>
        <w:rPr>
          <w:rFonts w:hint="eastAsia" w:ascii="仿宋" w:hAnsi="仿宋" w:eastAsia="仿宋" w:cs="宋体"/>
          <w:color w:val="000000"/>
          <w:sz w:val="24"/>
          <w:highlight w:val="none"/>
          <w:u w:val="single"/>
        </w:rPr>
        <w:t>“人保e采”外网门户（https://ec.picc.com/）</w:t>
      </w:r>
      <w:r>
        <w:rPr>
          <w:rFonts w:hint="eastAsia" w:ascii="仿宋" w:hAnsi="仿宋" w:eastAsia="仿宋" w:cs="宋体"/>
          <w:color w:val="000000"/>
          <w:sz w:val="24"/>
          <w:highlight w:val="none"/>
          <w:u w:val="single"/>
          <w:lang w:eastAsia="zh-CN"/>
        </w:rPr>
        <w:t>中国采购与招标网（网址：https://www.chinabidding.cn）、“诚E招电子采购交易平台”（网址：https://www.chengezhao.com/）</w:t>
      </w:r>
      <w:r>
        <w:rPr>
          <w:rFonts w:hint="eastAsia" w:ascii="仿宋" w:hAnsi="仿宋" w:eastAsia="仿宋" w:cs="仿宋"/>
          <w:color w:val="000000"/>
          <w:sz w:val="24"/>
          <w:highlight w:val="none"/>
        </w:rPr>
        <w:t>上发布，</w:t>
      </w:r>
      <w:r>
        <w:rPr>
          <w:rFonts w:hint="eastAsia" w:ascii="仿宋" w:hAnsi="仿宋" w:eastAsia="仿宋" w:cs="宋体"/>
          <w:color w:val="000000"/>
          <w:sz w:val="24"/>
          <w:highlight w:val="none"/>
        </w:rPr>
        <w:t>除上述外，采购人/采购代理机构不在其他任何网站、论坛等媒介上发布任何采购信息，其他任何媒介上转载的、以采购人/采购代理机构为采购主体的采购信息均为非法转载，均为无效</w:t>
      </w:r>
      <w:r>
        <w:rPr>
          <w:rFonts w:hint="eastAsia" w:ascii="仿宋" w:hAnsi="仿宋" w:eastAsia="仿宋" w:cs="仿宋"/>
          <w:color w:val="000000"/>
          <w:sz w:val="24"/>
          <w:highlight w:val="none"/>
        </w:rPr>
        <w:t>。对于非法转载、篡改采购公告信息的组织或个人，采购人/采购代理机构保留追究其法律责任的权利</w:t>
      </w:r>
      <w:r>
        <w:rPr>
          <w:rFonts w:hint="eastAsia" w:ascii="仿宋" w:hAnsi="仿宋" w:eastAsia="仿宋" w:cs="仿宋"/>
          <w:color w:val="000000"/>
          <w:sz w:val="24"/>
        </w:rPr>
        <w:t>。</w:t>
      </w:r>
    </w:p>
    <w:bookmarkEnd w:id="11"/>
    <w:p w14:paraId="7EC7E97C">
      <w:pPr>
        <w:pStyle w:val="2"/>
        <w:ind w:firstLine="0"/>
        <w:rPr>
          <w:rFonts w:hint="eastAsia" w:ascii="仿宋" w:hAnsi="仿宋" w:cs="仿宋"/>
          <w:color w:val="000000"/>
          <w:szCs w:val="24"/>
        </w:rPr>
      </w:pPr>
      <w:bookmarkStart w:id="12" w:name="_Toc17543"/>
      <w:r>
        <w:rPr>
          <w:rFonts w:hint="eastAsia" w:ascii="仿宋" w:hAnsi="仿宋" w:cs="仿宋"/>
          <w:color w:val="000000"/>
          <w:szCs w:val="24"/>
        </w:rPr>
        <w:t>七、联系方式</w:t>
      </w:r>
      <w:bookmarkEnd w:id="12"/>
    </w:p>
    <w:p w14:paraId="6A2B3D3F">
      <w:pPr>
        <w:spacing w:line="360" w:lineRule="auto"/>
        <w:ind w:firstLine="480"/>
        <w:rPr>
          <w:rFonts w:hint="eastAsia" w:ascii="仿宋" w:hAnsi="仿宋" w:eastAsia="仿宋" w:cs="宋体"/>
          <w:color w:val="000000"/>
          <w:sz w:val="24"/>
          <w:highlight w:val="none"/>
        </w:rPr>
      </w:pPr>
      <w:bookmarkStart w:id="13" w:name="_Hlk112069734"/>
      <w:r>
        <w:rPr>
          <w:rFonts w:hint="eastAsia" w:ascii="仿宋" w:hAnsi="仿宋" w:eastAsia="仿宋" w:cs="宋体"/>
          <w:color w:val="000000"/>
          <w:sz w:val="24"/>
          <w:highlight w:val="none"/>
        </w:rPr>
        <w:t>招 标 人：</w:t>
      </w:r>
      <w:r>
        <w:rPr>
          <w:rFonts w:hint="eastAsia" w:ascii="仿宋" w:hAnsi="仿宋" w:eastAsia="仿宋" w:cs="宋体"/>
          <w:color w:val="000000"/>
          <w:sz w:val="24"/>
          <w:highlight w:val="none"/>
          <w:lang w:eastAsia="zh-CN"/>
        </w:rPr>
        <w:t>中国人民财产保险股份有限公司福州市分公司</w:t>
      </w:r>
      <w:r>
        <w:rPr>
          <w:rFonts w:hint="eastAsia" w:ascii="仿宋" w:hAnsi="仿宋" w:eastAsia="仿宋" w:cs="宋体"/>
          <w:color w:val="000000"/>
          <w:sz w:val="24"/>
          <w:highlight w:val="none"/>
        </w:rPr>
        <w:t xml:space="preserve">     </w:t>
      </w:r>
    </w:p>
    <w:p w14:paraId="2F60E18A">
      <w:pPr>
        <w:spacing w:line="360" w:lineRule="auto"/>
        <w:ind w:firstLine="480"/>
        <w:rPr>
          <w:rFonts w:hint="eastAsia" w:ascii="仿宋" w:hAnsi="仿宋" w:eastAsia="仿宋" w:cs="宋体"/>
          <w:color w:val="000000"/>
          <w:sz w:val="24"/>
          <w:highlight w:val="none"/>
        </w:rPr>
      </w:pPr>
      <w:r>
        <w:rPr>
          <w:rFonts w:hint="eastAsia" w:ascii="仿宋" w:hAnsi="仿宋" w:eastAsia="仿宋" w:cs="宋体"/>
          <w:color w:val="000000"/>
          <w:sz w:val="24"/>
          <w:highlight w:val="none"/>
        </w:rPr>
        <w:t xml:space="preserve">地    址：福建省福州市湖滨路60号  </w:t>
      </w:r>
    </w:p>
    <w:p w14:paraId="351A422B">
      <w:pPr>
        <w:spacing w:line="360" w:lineRule="auto"/>
        <w:ind w:firstLine="480"/>
        <w:rPr>
          <w:rFonts w:hint="eastAsia" w:ascii="仿宋" w:hAnsi="仿宋" w:eastAsia="仿宋" w:cs="宋体"/>
          <w:color w:val="000000"/>
          <w:sz w:val="24"/>
          <w:highlight w:val="none"/>
        </w:rPr>
      </w:pPr>
      <w:r>
        <w:rPr>
          <w:rFonts w:hint="eastAsia" w:ascii="仿宋" w:hAnsi="仿宋" w:eastAsia="仿宋" w:cs="宋体"/>
          <w:color w:val="000000"/>
          <w:sz w:val="24"/>
          <w:highlight w:val="none"/>
        </w:rPr>
        <w:t>招标代理机构：公诚管理咨询有限公司</w:t>
      </w:r>
    </w:p>
    <w:p w14:paraId="5DC02744">
      <w:pPr>
        <w:spacing w:line="360" w:lineRule="auto"/>
        <w:ind w:firstLine="480"/>
        <w:rPr>
          <w:rFonts w:hint="eastAsia" w:ascii="仿宋" w:hAnsi="仿宋" w:eastAsia="仿宋" w:cs="宋体"/>
          <w:color w:val="000000"/>
          <w:sz w:val="24"/>
          <w:highlight w:val="none"/>
        </w:rPr>
      </w:pPr>
      <w:r>
        <w:rPr>
          <w:rFonts w:hint="eastAsia" w:ascii="仿宋" w:hAnsi="仿宋" w:eastAsia="仿宋" w:cs="宋体"/>
          <w:color w:val="000000"/>
          <w:sz w:val="24"/>
          <w:highlight w:val="none"/>
        </w:rPr>
        <w:t>地    址：福建省福州市闽侯县荆溪镇大数据科技园B5栋13层</w:t>
      </w:r>
    </w:p>
    <w:p w14:paraId="78605722">
      <w:pPr>
        <w:spacing w:line="360" w:lineRule="auto"/>
        <w:ind w:firstLine="480"/>
        <w:rPr>
          <w:rFonts w:hint="eastAsia" w:ascii="仿宋" w:hAnsi="仿宋" w:eastAsia="仿宋" w:cs="宋体"/>
          <w:color w:val="000000"/>
          <w:sz w:val="24"/>
          <w:highlight w:val="none"/>
          <w:lang w:eastAsia="zh-CN"/>
        </w:rPr>
      </w:pPr>
      <w:r>
        <w:rPr>
          <w:rFonts w:hint="eastAsia" w:ascii="仿宋" w:hAnsi="仿宋" w:eastAsia="仿宋" w:cs="宋体"/>
          <w:color w:val="000000"/>
          <w:sz w:val="24"/>
          <w:highlight w:val="none"/>
        </w:rPr>
        <w:t>邮    编：35000</w:t>
      </w:r>
      <w:r>
        <w:rPr>
          <w:rFonts w:hint="eastAsia" w:ascii="仿宋" w:hAnsi="仿宋" w:eastAsia="仿宋" w:cs="宋体"/>
          <w:color w:val="000000"/>
          <w:sz w:val="24"/>
          <w:highlight w:val="none"/>
          <w:lang w:val="en-US" w:eastAsia="zh-CN"/>
        </w:rPr>
        <w:t>1</w:t>
      </w:r>
    </w:p>
    <w:p w14:paraId="7BFC367D">
      <w:pPr>
        <w:spacing w:line="360" w:lineRule="auto"/>
        <w:ind w:firstLine="480"/>
        <w:rPr>
          <w:rFonts w:hint="eastAsia" w:ascii="仿宋" w:hAnsi="仿宋" w:eastAsia="仿宋" w:cs="宋体"/>
          <w:color w:val="000000"/>
          <w:sz w:val="24"/>
          <w:highlight w:val="none"/>
          <w:lang w:val="en-US" w:eastAsia="zh-CN"/>
        </w:rPr>
      </w:pPr>
      <w:r>
        <w:rPr>
          <w:rFonts w:hint="eastAsia" w:ascii="仿宋" w:hAnsi="仿宋" w:eastAsia="仿宋" w:cs="宋体"/>
          <w:color w:val="000000"/>
          <w:sz w:val="24"/>
          <w:highlight w:val="none"/>
        </w:rPr>
        <w:t>项目联系人：林书娴</w:t>
      </w:r>
      <w:r>
        <w:rPr>
          <w:rFonts w:hint="eastAsia" w:ascii="仿宋" w:hAnsi="仿宋" w:eastAsia="仿宋" w:cs="宋体"/>
          <w:color w:val="000000"/>
          <w:sz w:val="24"/>
          <w:highlight w:val="none"/>
          <w:lang w:eastAsia="zh-CN"/>
        </w:rPr>
        <w:t>，</w:t>
      </w:r>
      <w:r>
        <w:rPr>
          <w:rFonts w:hint="eastAsia" w:ascii="仿宋" w:hAnsi="仿宋" w:eastAsia="仿宋" w:cs="宋体"/>
          <w:color w:val="000000"/>
          <w:sz w:val="24"/>
          <w:highlight w:val="none"/>
        </w:rPr>
        <w:t>陈碧霞</w:t>
      </w:r>
      <w:r>
        <w:rPr>
          <w:rFonts w:hint="eastAsia" w:ascii="仿宋" w:hAnsi="仿宋" w:eastAsia="仿宋" w:cs="宋体"/>
          <w:color w:val="000000"/>
          <w:sz w:val="24"/>
          <w:highlight w:val="none"/>
          <w:lang w:eastAsia="zh-CN"/>
        </w:rPr>
        <w:t>，</w:t>
      </w:r>
      <w:r>
        <w:rPr>
          <w:rFonts w:hint="eastAsia" w:ascii="仿宋" w:hAnsi="仿宋" w:eastAsia="仿宋" w:cs="宋体"/>
          <w:color w:val="000000"/>
          <w:sz w:val="24"/>
          <w:highlight w:val="none"/>
        </w:rPr>
        <w:t>王红兰，殷浩楠，李昊</w:t>
      </w:r>
    </w:p>
    <w:p w14:paraId="789B9AB7">
      <w:pPr>
        <w:spacing w:line="360" w:lineRule="auto"/>
        <w:ind w:firstLine="480"/>
        <w:rPr>
          <w:rFonts w:hint="eastAsia" w:ascii="仿宋" w:hAnsi="仿宋" w:eastAsia="仿宋" w:cs="宋体"/>
          <w:color w:val="000000"/>
          <w:sz w:val="24"/>
          <w:highlight w:val="none"/>
          <w:lang w:val="en-US" w:eastAsia="zh-CN"/>
        </w:rPr>
      </w:pPr>
      <w:r>
        <w:rPr>
          <w:rFonts w:hint="eastAsia" w:ascii="仿宋" w:hAnsi="仿宋" w:eastAsia="仿宋" w:cs="宋体"/>
          <w:color w:val="000000"/>
          <w:sz w:val="24"/>
          <w:highlight w:val="none"/>
        </w:rPr>
        <w:t>电    话：</w:t>
      </w:r>
      <w:r>
        <w:rPr>
          <w:rFonts w:hint="eastAsia" w:ascii="仿宋" w:hAnsi="仿宋" w:eastAsia="仿宋" w:cs="宋体"/>
          <w:color w:val="000000"/>
          <w:sz w:val="24"/>
          <w:highlight w:val="none"/>
          <w:lang w:val="en-US" w:eastAsia="zh-CN"/>
        </w:rPr>
        <w:t>18649863796、</w:t>
      </w:r>
      <w:r>
        <w:rPr>
          <w:rFonts w:hint="eastAsia" w:ascii="仿宋" w:hAnsi="仿宋" w:eastAsia="仿宋" w:cs="宋体"/>
          <w:color w:val="000000"/>
          <w:sz w:val="24"/>
          <w:highlight w:val="none"/>
        </w:rPr>
        <w:t>18396015865</w:t>
      </w:r>
    </w:p>
    <w:p w14:paraId="09F32153">
      <w:pPr>
        <w:spacing w:line="360" w:lineRule="auto"/>
        <w:ind w:firstLine="480"/>
        <w:rPr>
          <w:rFonts w:hint="eastAsia" w:ascii="仿宋" w:hAnsi="仿宋" w:eastAsia="仿宋" w:cs="宋体"/>
          <w:color w:val="000000"/>
          <w:sz w:val="24"/>
          <w:highlight w:val="none"/>
          <w:lang w:val="en-US" w:eastAsia="zh-CN"/>
        </w:rPr>
      </w:pPr>
      <w:r>
        <w:rPr>
          <w:rFonts w:hint="eastAsia" w:ascii="仿宋" w:hAnsi="仿宋" w:eastAsia="仿宋" w:cs="宋体"/>
          <w:color w:val="000000"/>
          <w:sz w:val="24"/>
          <w:highlight w:val="none"/>
        </w:rPr>
        <w:t>电子邮件：</w:t>
      </w:r>
      <w:r>
        <w:rPr>
          <w:rFonts w:hint="eastAsia" w:ascii="仿宋" w:hAnsi="仿宋" w:eastAsia="仿宋" w:cs="宋体"/>
          <w:color w:val="000000"/>
          <w:sz w:val="24"/>
          <w:highlight w:val="none"/>
          <w:lang w:val="en-US" w:eastAsia="zh-CN"/>
        </w:rPr>
        <w:t>18649863796</w:t>
      </w:r>
      <w:r>
        <w:rPr>
          <w:rFonts w:hint="eastAsia" w:ascii="仿宋" w:hAnsi="仿宋" w:eastAsia="仿宋" w:cs="宋体"/>
          <w:color w:val="000000"/>
          <w:sz w:val="24"/>
          <w:highlight w:val="none"/>
        </w:rPr>
        <w:t>@163.com</w:t>
      </w:r>
    </w:p>
    <w:p w14:paraId="600B497D">
      <w:pPr>
        <w:spacing w:line="360" w:lineRule="auto"/>
        <w:ind w:firstLine="480"/>
        <w:rPr>
          <w:rFonts w:hint="eastAsia" w:ascii="仿宋" w:hAnsi="仿宋" w:eastAsia="仿宋" w:cs="宋体"/>
          <w:color w:val="000000"/>
          <w:sz w:val="24"/>
          <w:highlight w:val="none"/>
        </w:rPr>
      </w:pPr>
      <w:r>
        <w:rPr>
          <w:rFonts w:hint="eastAsia" w:ascii="仿宋" w:hAnsi="仿宋" w:eastAsia="仿宋" w:cs="宋体"/>
          <w:color w:val="000000"/>
          <w:sz w:val="24"/>
          <w:highlight w:val="none"/>
        </w:rPr>
        <w:t>开户银行：中信银行广州花园支行</w:t>
      </w:r>
    </w:p>
    <w:p w14:paraId="0ECED6D4">
      <w:pPr>
        <w:spacing w:line="360" w:lineRule="auto"/>
        <w:ind w:firstLine="480"/>
        <w:rPr>
          <w:rFonts w:hint="eastAsia" w:ascii="仿宋" w:hAnsi="仿宋" w:eastAsia="仿宋" w:cs="宋体"/>
          <w:color w:val="000000"/>
          <w:sz w:val="24"/>
          <w:highlight w:val="none"/>
        </w:rPr>
      </w:pPr>
      <w:r>
        <w:rPr>
          <w:rFonts w:hint="eastAsia" w:ascii="仿宋" w:hAnsi="仿宋" w:eastAsia="仿宋" w:cs="宋体"/>
          <w:color w:val="000000"/>
          <w:sz w:val="24"/>
          <w:highlight w:val="none"/>
        </w:rPr>
        <w:t>账    号：</w:t>
      </w:r>
      <w:r>
        <w:rPr>
          <w:rFonts w:hint="eastAsia" w:ascii="仿宋" w:hAnsi="仿宋" w:eastAsia="仿宋" w:cs="宋体"/>
          <w:color w:val="000000"/>
          <w:sz w:val="24"/>
          <w:highlight w:val="none"/>
          <w:lang w:eastAsia="zh-CN"/>
        </w:rPr>
        <w:t>3110910037672528521</w:t>
      </w:r>
    </w:p>
    <w:p w14:paraId="7AC838DD">
      <w:pPr>
        <w:spacing w:line="360" w:lineRule="auto"/>
        <w:ind w:firstLine="480"/>
        <w:rPr>
          <w:rFonts w:hint="eastAsia" w:ascii="仿宋" w:hAnsi="仿宋" w:eastAsia="仿宋" w:cs="宋体"/>
          <w:color w:val="000000"/>
          <w:sz w:val="24"/>
          <w:highlight w:val="none"/>
          <w:lang w:val="en-US" w:eastAsia="zh-CN"/>
        </w:rPr>
      </w:pPr>
      <w:r>
        <w:rPr>
          <w:rFonts w:hint="eastAsia" w:ascii="仿宋" w:hAnsi="仿宋" w:eastAsia="仿宋" w:cs="宋体"/>
          <w:color w:val="000000"/>
          <w:sz w:val="24"/>
          <w:highlight w:val="none"/>
          <w:lang w:val="en-US" w:eastAsia="zh-CN"/>
        </w:rPr>
        <w:t>异议联系人：林书娴</w:t>
      </w:r>
    </w:p>
    <w:p w14:paraId="41F89616">
      <w:pPr>
        <w:spacing w:line="360" w:lineRule="auto"/>
        <w:ind w:firstLine="480"/>
        <w:rPr>
          <w:rFonts w:hint="eastAsia" w:ascii="仿宋" w:hAnsi="仿宋" w:eastAsia="仿宋" w:cs="宋体"/>
          <w:color w:val="000000"/>
          <w:sz w:val="24"/>
          <w:highlight w:val="none"/>
        </w:rPr>
      </w:pPr>
      <w:r>
        <w:rPr>
          <w:rFonts w:hint="eastAsia" w:ascii="仿宋" w:hAnsi="仿宋" w:eastAsia="仿宋" w:cs="宋体"/>
          <w:color w:val="000000"/>
          <w:sz w:val="24"/>
          <w:highlight w:val="none"/>
          <w:lang w:val="en-US" w:eastAsia="zh-CN"/>
        </w:rPr>
        <w:t>异议联系方式：18649863796</w:t>
      </w:r>
      <w:bookmarkEnd w:id="13"/>
    </w:p>
    <w:p w14:paraId="6A44A965">
      <w:pPr>
        <w:spacing w:line="360" w:lineRule="auto"/>
        <w:jc w:val="right"/>
        <w:rPr>
          <w:rFonts w:hint="eastAsia" w:ascii="仿宋" w:hAnsi="仿宋" w:eastAsia="仿宋" w:cs="宋体"/>
          <w:color w:val="000000"/>
          <w:sz w:val="24"/>
          <w:lang w:eastAsia="zh-CN"/>
        </w:rPr>
      </w:pPr>
      <w:r>
        <w:rPr>
          <w:rFonts w:hint="eastAsia" w:ascii="仿宋" w:hAnsi="仿宋" w:eastAsia="仿宋" w:cs="宋体"/>
          <w:color w:val="000000"/>
          <w:sz w:val="24"/>
        </w:rPr>
        <w:t>采购人：</w:t>
      </w:r>
      <w:r>
        <w:rPr>
          <w:rFonts w:hint="eastAsia" w:ascii="仿宋" w:hAnsi="仿宋" w:eastAsia="仿宋" w:cs="宋体"/>
          <w:color w:val="000000"/>
          <w:sz w:val="24"/>
          <w:lang w:eastAsia="zh-CN"/>
        </w:rPr>
        <w:t>中国人民财产保险股份有限公司福州市分公司</w:t>
      </w:r>
    </w:p>
    <w:p w14:paraId="296F7E43">
      <w:pPr>
        <w:spacing w:line="360" w:lineRule="auto"/>
        <w:ind w:firstLine="480"/>
        <w:jc w:val="right"/>
        <w:rPr>
          <w:rFonts w:hint="eastAsia" w:ascii="仿宋" w:hAnsi="仿宋" w:eastAsia="仿宋" w:cs="宋体"/>
          <w:color w:val="000000"/>
          <w:sz w:val="24"/>
        </w:rPr>
      </w:pPr>
      <w:r>
        <w:rPr>
          <w:rFonts w:hint="eastAsia" w:ascii="仿宋" w:hAnsi="仿宋" w:eastAsia="仿宋" w:cs="宋体"/>
          <w:color w:val="000000"/>
          <w:sz w:val="24"/>
        </w:rPr>
        <w:t>采购代理机构：公诚管理咨询有限公司</w:t>
      </w:r>
    </w:p>
    <w:p w14:paraId="0609C2C4">
      <w:pPr>
        <w:spacing w:line="360" w:lineRule="auto"/>
        <w:ind w:firstLine="480"/>
        <w:jc w:val="right"/>
        <w:rPr>
          <w:rFonts w:ascii="仿宋" w:hAnsi="仿宋" w:eastAsia="仿宋" w:cs="宋体"/>
          <w:color w:val="000000"/>
          <w:sz w:val="24"/>
          <w:highlight w:val="none"/>
        </w:rPr>
      </w:pPr>
      <w:r>
        <w:rPr>
          <w:rFonts w:hint="eastAsia" w:ascii="仿宋" w:hAnsi="仿宋" w:eastAsia="仿宋" w:cs="宋体"/>
          <w:color w:val="000000"/>
          <w:sz w:val="24"/>
          <w:highlight w:val="none"/>
        </w:rPr>
        <w:t>2026年</w:t>
      </w:r>
      <w:r>
        <w:rPr>
          <w:rFonts w:hint="eastAsia" w:ascii="仿宋" w:hAnsi="仿宋" w:eastAsia="仿宋" w:cs="宋体"/>
          <w:color w:val="000000"/>
          <w:sz w:val="24"/>
          <w:highlight w:val="none"/>
          <w:lang w:val="en-US" w:eastAsia="zh-CN"/>
        </w:rPr>
        <w:t>10</w:t>
      </w:r>
      <w:r>
        <w:rPr>
          <w:rFonts w:hint="eastAsia" w:ascii="仿宋" w:hAnsi="仿宋" w:eastAsia="仿宋" w:cs="宋体"/>
          <w:color w:val="000000"/>
          <w:sz w:val="24"/>
          <w:highlight w:val="none"/>
        </w:rPr>
        <w:t>月</w:t>
      </w:r>
      <w:r>
        <w:rPr>
          <w:rFonts w:hint="eastAsia" w:ascii="仿宋" w:hAnsi="仿宋" w:eastAsia="仿宋" w:cs="宋体"/>
          <w:color w:val="000000"/>
          <w:sz w:val="24"/>
          <w:highlight w:val="none"/>
          <w:lang w:val="en-US" w:eastAsia="zh-CN"/>
        </w:rPr>
        <w:t>20</w:t>
      </w:r>
      <w:r>
        <w:rPr>
          <w:rFonts w:hint="eastAsia" w:ascii="仿宋" w:hAnsi="仿宋" w:eastAsia="仿宋" w:cs="宋体"/>
          <w:color w:val="000000"/>
          <w:sz w:val="24"/>
          <w:highlight w:val="none"/>
        </w:rPr>
        <w:t>日</w:t>
      </w:r>
    </w:p>
    <w:p w14:paraId="461FDF7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 w:name="Monaco">
    <w:altName w:val="Courier New"/>
    <w:panose1 w:val="00020600040101010101"/>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A5857"/>
    <w:rsid w:val="1580358B"/>
    <w:rsid w:val="51EC2961"/>
    <w:rsid w:val="600C0AFA"/>
    <w:rsid w:val="6F351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标题 21"/>
    <w:basedOn w:val="1"/>
    <w:next w:val="3"/>
    <w:qFormat/>
    <w:uiPriority w:val="0"/>
    <w:pPr>
      <w:keepNext/>
      <w:keepLines/>
      <w:spacing w:before="120" w:after="120" w:line="360" w:lineRule="auto"/>
      <w:ind w:firstLine="540"/>
      <w:jc w:val="left"/>
      <w:outlineLvl w:val="1"/>
    </w:pPr>
    <w:rPr>
      <w:rFonts w:ascii="Arial" w:hAnsi="Arial" w:eastAsia="仿宋"/>
      <w:b/>
      <w:bCs/>
      <w:sz w:val="24"/>
      <w:szCs w:val="32"/>
    </w:rPr>
  </w:style>
  <w:style w:type="paragraph" w:customStyle="1" w:styleId="3">
    <w:name w:val="FC正文"/>
    <w:basedOn w:val="1"/>
    <w:qFormat/>
    <w:uiPriority w:val="0"/>
    <w:pPr>
      <w:spacing w:before="50" w:after="50" w:line="360" w:lineRule="auto"/>
      <w:ind w:firstLine="200"/>
      <w:contextualSpacing/>
    </w:pPr>
    <w:rPr>
      <w:rFonts w:ascii="宋体" w:hAnsi="宋体" w:cs="宋体"/>
      <w:sz w:val="24"/>
    </w:rPr>
  </w:style>
  <w:style w:type="paragraph" w:customStyle="1" w:styleId="6">
    <w:name w:val="标题 11"/>
    <w:basedOn w:val="1"/>
    <w:next w:val="1"/>
    <w:qFormat/>
    <w:uiPriority w:val="0"/>
    <w:pPr>
      <w:keepNext/>
      <w:keepLines/>
      <w:spacing w:before="340" w:after="330" w:line="578" w:lineRule="auto"/>
      <w:outlineLvl w:val="0"/>
    </w:pPr>
    <w:rPr>
      <w:b/>
      <w:bCs/>
      <w:sz w:val="44"/>
      <w:szCs w:val="44"/>
    </w:rPr>
  </w:style>
  <w:style w:type="paragraph" w:customStyle="1" w:styleId="7">
    <w:name w:val="标题1"/>
    <w:basedOn w:val="1"/>
    <w:next w:val="1"/>
    <w:qFormat/>
    <w:uiPriority w:val="10"/>
    <w:pPr>
      <w:spacing w:before="240" w:after="60" w:line="312" w:lineRule="atLeast"/>
      <w:jc w:val="center"/>
    </w:pPr>
    <w:rPr>
      <w:rFonts w:ascii="Arial" w:hAnsi="Arial"/>
      <w:b/>
      <w:sz w:val="32"/>
      <w:szCs w:val="20"/>
    </w:rPr>
  </w:style>
  <w:style w:type="paragraph" w:customStyle="1" w:styleId="8">
    <w:name w:val="中文正文、"/>
    <w:basedOn w:val="1"/>
    <w:qFormat/>
    <w:uiPriority w:val="0"/>
    <w:pPr>
      <w:spacing w:line="360" w:lineRule="auto"/>
      <w:ind w:firstLine="420"/>
    </w:pPr>
    <w:rPr>
      <w:szCs w:val="21"/>
    </w:rPr>
  </w:style>
  <w:style w:type="paragraph" w:customStyle="1" w:styleId="9">
    <w:name w:val="页眉1"/>
    <w:basedOn w:val="1"/>
    <w:qFormat/>
    <w:uiPriority w:val="99"/>
    <w:pPr>
      <w:pBdr>
        <w:bottom w:val="single" w:color="000000" w:sz="6" w:space="1"/>
      </w:pBdr>
      <w:tabs>
        <w:tab w:val="center" w:pos="4153"/>
        <w:tab w:val="right" w:pos="8306"/>
      </w:tabs>
      <w:jc w:val="center"/>
    </w:pPr>
    <w:rPr>
      <w:sz w:val="18"/>
      <w:szCs w:val="18"/>
    </w:rPr>
  </w:style>
  <w:style w:type="paragraph" w:customStyle="1" w:styleId="10">
    <w:name w:val="页脚1"/>
    <w:basedOn w:val="1"/>
    <w:qFormat/>
    <w:uiPriority w:val="99"/>
    <w:pPr>
      <w:tabs>
        <w:tab w:val="center" w:pos="4153"/>
        <w:tab w:val="right" w:pos="8306"/>
      </w:tabs>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2524</Words>
  <Characters>2966</Characters>
  <Lines>0</Lines>
  <Paragraphs>0</Paragraphs>
  <TotalTime>1</TotalTime>
  <ScaleCrop>false</ScaleCrop>
  <LinksUpToDate>false</LinksUpToDate>
  <CharactersWithSpaces>3016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2026-10-20T01:11:00Z</dcterms:created>
  <dc:creator>HUAWEI</dc:creator>
  <cp:lastModifiedBy>一个不知姓名的黄某</cp:lastModifiedBy>
  <dcterms:modified xsi:type="dcterms:W3CDTF">2026-10-20T02:56:54Z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eyJoZGlkIjoiODViY2JkMjU3NGYzZTEwMzZmMGFkZWViYmNkYWU3NDIiLCJ1c2VySWQiOiIzODkxMTgzOTYifQ==</vt:lpwstr>
  </property>
  <property fmtid="{D5CDD505-2E9C-101B-9397-08002B2CF9AE}" pid="4" name="ICV">
    <vt:lpwstr>B33681C57FAC49B682091FB3DECB5292_12</vt:lpwstr>
  </property>
</Properties>
</file>