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DBCD2C">
      <w:pPr>
        <w:spacing w:line="360" w:lineRule="auto"/>
        <w:rPr>
          <w:rFonts w:hint="eastAsia" w:ascii="宋体" w:hAnsi="宋体" w:eastAsia="宋体" w:cs="宋体"/>
          <w:color w:val="auto"/>
          <w:sz w:val="30"/>
          <w:szCs w:val="30"/>
          <w:lang w:eastAsia="zh-CN"/>
        </w:rPr>
      </w:pPr>
      <w:bookmarkStart w:id="0" w:name="_Toc11035"/>
      <w:bookmarkStart w:id="1" w:name="_Toc12649"/>
      <w:bookmarkStart w:id="2" w:name="_Toc21605"/>
      <w:bookmarkStart w:id="3" w:name="_Toc32406"/>
      <w:bookmarkStart w:id="4" w:name="_Toc3171"/>
      <w:bookmarkStart w:id="5" w:name="_Toc30015"/>
      <w:bookmarkStart w:id="6" w:name="_Toc4666"/>
      <w:r>
        <w:rPr>
          <w:rFonts w:hint="eastAsia" w:ascii="宋体" w:hAnsi="宋体" w:eastAsia="宋体" w:cs="宋体"/>
          <w:color w:val="auto"/>
          <w:sz w:val="30"/>
          <w:szCs w:val="30"/>
        </w:rPr>
        <w:t>附件 1</w:t>
      </w:r>
      <w:r>
        <w:rPr>
          <w:rFonts w:hint="eastAsia" w:ascii="宋体" w:hAnsi="宋体" w:eastAsia="宋体" w:cs="宋体"/>
          <w:color w:val="auto"/>
          <w:sz w:val="30"/>
          <w:szCs w:val="30"/>
          <w:lang w:eastAsia="zh-CN"/>
        </w:rPr>
        <w:t>：</w:t>
      </w:r>
      <w:r>
        <w:rPr>
          <w:rFonts w:hint="eastAsia" w:ascii="宋体" w:hAnsi="宋体" w:eastAsia="宋体" w:cs="宋体"/>
          <w:color w:val="auto"/>
          <w:sz w:val="30"/>
          <w:szCs w:val="30"/>
        </w:rPr>
        <w:t>总公司授权投标书</w:t>
      </w:r>
      <w:bookmarkEnd w:id="0"/>
      <w:bookmarkEnd w:id="1"/>
      <w:bookmarkEnd w:id="2"/>
      <w:bookmarkEnd w:id="3"/>
      <w:bookmarkEnd w:id="4"/>
      <w:bookmarkEnd w:id="5"/>
      <w:bookmarkEnd w:id="6"/>
    </w:p>
    <w:p w14:paraId="31475146">
      <w:pPr>
        <w:spacing w:before="29" w:line="360" w:lineRule="auto"/>
        <w:ind w:left="3565"/>
        <w:rPr>
          <w:rFonts w:ascii="宋体" w:hAnsi="宋体" w:eastAsia="宋体" w:cs="宋体"/>
          <w:color w:val="auto"/>
          <w:sz w:val="28"/>
          <w:szCs w:val="28"/>
        </w:rPr>
      </w:pPr>
      <w:r>
        <w:rPr>
          <w:rFonts w:ascii="宋体" w:hAnsi="宋体" w:eastAsia="宋体" w:cs="宋体"/>
          <w:b/>
          <w:bCs/>
          <w:color w:val="auto"/>
          <w:spacing w:val="-5"/>
          <w:sz w:val="28"/>
          <w:szCs w:val="28"/>
        </w:rPr>
        <w:t>总公司授权投标书</w:t>
      </w:r>
    </w:p>
    <w:p w14:paraId="4030646F">
      <w:pPr>
        <w:spacing w:line="360" w:lineRule="auto"/>
        <w:rPr>
          <w:rFonts w:ascii="Arial"/>
          <w:color w:val="auto"/>
          <w:sz w:val="21"/>
        </w:rPr>
      </w:pPr>
    </w:p>
    <w:p w14:paraId="2CDFD6FF">
      <w:pPr>
        <w:spacing w:line="360" w:lineRule="auto"/>
        <w:rPr>
          <w:rFonts w:ascii="Arial"/>
          <w:color w:val="auto"/>
          <w:sz w:val="21"/>
        </w:rPr>
      </w:pPr>
    </w:p>
    <w:p w14:paraId="48D3CDBD">
      <w:pPr>
        <w:tabs>
          <w:tab w:val="left" w:pos="1326"/>
        </w:tabs>
        <w:spacing w:before="78" w:line="360" w:lineRule="auto"/>
        <w:ind w:firstLine="590"/>
        <w:jc w:val="both"/>
        <w:rPr>
          <w:rFonts w:ascii="宋体" w:hAnsi="宋体" w:eastAsia="宋体" w:cs="宋体"/>
          <w:color w:val="auto"/>
          <w:sz w:val="24"/>
          <w:szCs w:val="24"/>
        </w:rPr>
      </w:pPr>
      <w:r>
        <w:rPr>
          <w:rFonts w:ascii="宋体" w:hAnsi="宋体" w:eastAsia="宋体" w:cs="宋体"/>
          <w:color w:val="auto"/>
          <w:sz w:val="24"/>
          <w:szCs w:val="24"/>
          <w:u w:val="single" w:color="auto"/>
        </w:rPr>
        <w:tab/>
      </w:r>
      <w:r>
        <w:rPr>
          <w:rFonts w:ascii="宋体" w:hAnsi="宋体" w:eastAsia="宋体" w:cs="宋体"/>
          <w:color w:val="auto"/>
          <w:spacing w:val="-1"/>
          <w:sz w:val="24"/>
          <w:szCs w:val="24"/>
          <w:u w:val="single" w:color="auto"/>
        </w:rPr>
        <w:t xml:space="preserve">（投标人全称）     </w:t>
      </w:r>
      <w:r>
        <w:rPr>
          <w:rFonts w:ascii="宋体" w:hAnsi="宋体" w:eastAsia="宋体" w:cs="宋体"/>
          <w:color w:val="auto"/>
          <w:spacing w:val="-107"/>
          <w:sz w:val="24"/>
          <w:szCs w:val="24"/>
        </w:rPr>
        <w:t xml:space="preserve"> </w:t>
      </w:r>
      <w:r>
        <w:rPr>
          <w:rFonts w:ascii="宋体" w:hAnsi="宋体" w:eastAsia="宋体" w:cs="宋体"/>
          <w:color w:val="auto"/>
          <w:spacing w:val="-1"/>
          <w:sz w:val="24"/>
          <w:szCs w:val="24"/>
        </w:rPr>
        <w:t>是我司</w:t>
      </w:r>
      <w:r>
        <w:rPr>
          <w:rFonts w:ascii="宋体" w:hAnsi="宋体" w:eastAsia="宋体" w:cs="宋体"/>
          <w:color w:val="auto"/>
          <w:spacing w:val="-1"/>
          <w:sz w:val="24"/>
          <w:szCs w:val="24"/>
          <w:u w:val="single" w:color="auto"/>
        </w:rPr>
        <w:t xml:space="preserve">  （投标人总公司全称）  </w:t>
      </w:r>
      <w:r>
        <w:rPr>
          <w:rFonts w:ascii="宋体" w:hAnsi="宋体" w:eastAsia="宋体" w:cs="宋体"/>
          <w:color w:val="auto"/>
          <w:spacing w:val="-111"/>
          <w:sz w:val="24"/>
          <w:szCs w:val="24"/>
          <w:highlight w:val="none"/>
        </w:rPr>
        <w:t xml:space="preserve"> </w:t>
      </w:r>
      <w:r>
        <w:rPr>
          <w:rFonts w:hint="default" w:ascii="宋体" w:hAnsi="宋体" w:eastAsia="宋体" w:cs="宋体"/>
          <w:color w:val="auto"/>
          <w:spacing w:val="5"/>
          <w:sz w:val="24"/>
          <w:szCs w:val="24"/>
        </w:rPr>
        <w:t>省</w:t>
      </w:r>
      <w:r>
        <w:rPr>
          <w:rFonts w:hint="default" w:ascii="宋体" w:hAnsi="宋体" w:eastAsia="宋体" w:cs="宋体"/>
          <w:color w:val="auto"/>
          <w:spacing w:val="5"/>
          <w:sz w:val="24"/>
          <w:szCs w:val="24"/>
          <w:lang w:eastAsia="zh-CN"/>
        </w:rPr>
        <w:t>（</w:t>
      </w:r>
      <w:r>
        <w:rPr>
          <w:rFonts w:hint="default" w:ascii="宋体" w:hAnsi="宋体" w:eastAsia="宋体" w:cs="宋体"/>
          <w:color w:val="auto"/>
          <w:spacing w:val="5"/>
          <w:sz w:val="24"/>
          <w:szCs w:val="24"/>
          <w:lang w:val="en-US" w:eastAsia="zh-CN"/>
        </w:rPr>
        <w:t>市</w:t>
      </w:r>
      <w:r>
        <w:rPr>
          <w:rFonts w:hint="default" w:ascii="宋体" w:hAnsi="宋体" w:eastAsia="宋体" w:cs="宋体"/>
          <w:color w:val="auto"/>
          <w:spacing w:val="5"/>
          <w:sz w:val="24"/>
          <w:szCs w:val="24"/>
          <w:lang w:eastAsia="zh-CN"/>
        </w:rPr>
        <w:t>）</w:t>
      </w:r>
      <w:r>
        <w:rPr>
          <w:rFonts w:hint="default" w:ascii="宋体" w:hAnsi="宋体" w:eastAsia="宋体" w:cs="宋体"/>
          <w:color w:val="auto"/>
          <w:spacing w:val="5"/>
          <w:sz w:val="24"/>
          <w:szCs w:val="24"/>
        </w:rPr>
        <w:t>级分支机构</w:t>
      </w:r>
      <w:r>
        <w:rPr>
          <w:rFonts w:ascii="宋体" w:hAnsi="宋体" w:eastAsia="宋体" w:cs="宋体"/>
          <w:color w:val="auto"/>
          <w:spacing w:val="5"/>
          <w:sz w:val="24"/>
          <w:szCs w:val="24"/>
        </w:rPr>
        <w:t>。</w:t>
      </w:r>
      <w:r>
        <w:rPr>
          <w:rFonts w:ascii="宋体" w:hAnsi="宋体" w:eastAsia="宋体" w:cs="宋体"/>
          <w:color w:val="auto"/>
          <w:spacing w:val="4"/>
          <w:sz w:val="24"/>
          <w:szCs w:val="24"/>
        </w:rPr>
        <w:t>现我司正式授权</w:t>
      </w:r>
      <w:r>
        <w:rPr>
          <w:rFonts w:ascii="宋体" w:hAnsi="宋体" w:eastAsia="宋体" w:cs="宋体"/>
          <w:color w:val="auto"/>
          <w:spacing w:val="-112"/>
          <w:sz w:val="24"/>
          <w:szCs w:val="24"/>
        </w:rPr>
        <w:t xml:space="preserve"> </w:t>
      </w:r>
      <w:r>
        <w:rPr>
          <w:rFonts w:ascii="宋体" w:hAnsi="宋体" w:eastAsia="宋体" w:cs="宋体"/>
          <w:color w:val="auto"/>
          <w:spacing w:val="4"/>
          <w:sz w:val="24"/>
          <w:szCs w:val="24"/>
          <w:u w:val="single" w:color="auto"/>
        </w:rPr>
        <w:t xml:space="preserve">     （投标人全称）     </w:t>
      </w:r>
      <w:r>
        <w:rPr>
          <w:rFonts w:ascii="宋体" w:hAnsi="宋体" w:eastAsia="宋体" w:cs="宋体"/>
          <w:color w:val="auto"/>
          <w:spacing w:val="-109"/>
          <w:sz w:val="24"/>
          <w:szCs w:val="24"/>
        </w:rPr>
        <w:t xml:space="preserve"> </w:t>
      </w:r>
      <w:r>
        <w:rPr>
          <w:rFonts w:ascii="宋体" w:hAnsi="宋体" w:eastAsia="宋体" w:cs="宋体"/>
          <w:color w:val="auto"/>
          <w:spacing w:val="4"/>
          <w:sz w:val="24"/>
          <w:szCs w:val="24"/>
        </w:rPr>
        <w:t>作为广佛</w:t>
      </w:r>
      <w:r>
        <w:rPr>
          <w:rFonts w:ascii="宋体" w:hAnsi="宋体" w:eastAsia="宋体" w:cs="宋体"/>
          <w:color w:val="auto"/>
          <w:spacing w:val="3"/>
          <w:sz w:val="24"/>
          <w:szCs w:val="24"/>
        </w:rPr>
        <w:t>高速公路</w:t>
      </w:r>
      <w:r>
        <w:rPr>
          <w:rFonts w:hint="default" w:ascii="宋体" w:hAnsi="宋体" w:eastAsia="宋体" w:cs="宋体"/>
          <w:color w:val="auto"/>
          <w:spacing w:val="4"/>
          <w:sz w:val="24"/>
          <w:szCs w:val="24"/>
          <w:lang w:val="en-US" w:eastAsia="zh-CN"/>
        </w:rPr>
        <w:t>2026-2028年</w:t>
      </w:r>
      <w:r>
        <w:rPr>
          <w:rFonts w:hint="eastAsia" w:ascii="宋体" w:hAnsi="宋体" w:eastAsia="宋体" w:cs="宋体"/>
          <w:color w:val="auto"/>
          <w:spacing w:val="3"/>
          <w:sz w:val="24"/>
          <w:szCs w:val="24"/>
          <w:lang w:val="en-US" w:eastAsia="zh-CN"/>
        </w:rPr>
        <w:t>财产</w:t>
      </w:r>
      <w:r>
        <w:rPr>
          <w:rFonts w:ascii="宋体" w:hAnsi="宋体" w:eastAsia="宋体" w:cs="宋体"/>
          <w:color w:val="auto"/>
          <w:spacing w:val="6"/>
          <w:sz w:val="24"/>
          <w:szCs w:val="24"/>
        </w:rPr>
        <w:t>保险</w:t>
      </w:r>
      <w:r>
        <w:rPr>
          <w:rFonts w:hint="eastAsia" w:ascii="宋体" w:hAnsi="宋体" w:eastAsia="宋体" w:cs="宋体"/>
          <w:color w:val="auto"/>
          <w:spacing w:val="6"/>
          <w:sz w:val="24"/>
          <w:szCs w:val="24"/>
          <w:lang w:val="en-US" w:eastAsia="zh-CN"/>
        </w:rPr>
        <w:t>项目</w:t>
      </w:r>
      <w:r>
        <w:rPr>
          <w:rFonts w:ascii="宋体" w:hAnsi="宋体" w:eastAsia="宋体" w:cs="宋体"/>
          <w:color w:val="auto"/>
          <w:spacing w:val="6"/>
          <w:sz w:val="24"/>
          <w:szCs w:val="24"/>
        </w:rPr>
        <w:t>唯一授权分支机构，参与投标活动、提交投标文件、保险合同的签订、执</w:t>
      </w:r>
      <w:r>
        <w:rPr>
          <w:rFonts w:ascii="宋体" w:hAnsi="宋体" w:eastAsia="宋体" w:cs="宋体"/>
          <w:color w:val="auto"/>
          <w:spacing w:val="5"/>
          <w:sz w:val="24"/>
          <w:szCs w:val="24"/>
        </w:rPr>
        <w:t>行和售</w:t>
      </w:r>
      <w:r>
        <w:rPr>
          <w:rFonts w:ascii="宋体" w:hAnsi="宋体" w:eastAsia="宋体" w:cs="宋体"/>
          <w:color w:val="auto"/>
          <w:spacing w:val="-1"/>
          <w:sz w:val="24"/>
          <w:szCs w:val="24"/>
        </w:rPr>
        <w:t>后服务等一切与之有关的事物。</w:t>
      </w:r>
    </w:p>
    <w:p w14:paraId="0C023216">
      <w:pPr>
        <w:spacing w:line="360" w:lineRule="auto"/>
        <w:rPr>
          <w:rFonts w:ascii="Arial"/>
          <w:color w:val="auto"/>
          <w:sz w:val="21"/>
        </w:rPr>
      </w:pPr>
    </w:p>
    <w:p w14:paraId="39045805">
      <w:pPr>
        <w:spacing w:line="360" w:lineRule="auto"/>
        <w:rPr>
          <w:rFonts w:ascii="Arial"/>
          <w:color w:val="auto"/>
          <w:sz w:val="21"/>
        </w:rPr>
      </w:pPr>
    </w:p>
    <w:p w14:paraId="7D0551F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left="6236" w:hanging="1916"/>
        <w:textAlignment w:val="baseline"/>
        <w:rPr>
          <w:rFonts w:ascii="宋体" w:hAnsi="宋体" w:eastAsia="宋体" w:cs="宋体"/>
          <w:color w:val="auto"/>
          <w:sz w:val="24"/>
          <w:szCs w:val="24"/>
        </w:rPr>
      </w:pPr>
      <w:r>
        <w:rPr>
          <w:rFonts w:ascii="宋体" w:hAnsi="宋体" w:eastAsia="宋体" w:cs="宋体"/>
          <w:color w:val="auto"/>
          <w:sz w:val="24"/>
          <w:szCs w:val="24"/>
        </w:rPr>
        <w:t>投标人总公司名称</w:t>
      </w:r>
      <w:r>
        <w:rPr>
          <w:rFonts w:ascii="宋体" w:hAnsi="宋体" w:eastAsia="宋体" w:cs="宋体"/>
          <w:color w:val="auto"/>
          <w:spacing w:val="-15"/>
          <w:sz w:val="24"/>
          <w:szCs w:val="24"/>
        </w:rPr>
        <w:t>：</w:t>
      </w:r>
      <w:r>
        <w:rPr>
          <w:rFonts w:ascii="宋体" w:hAnsi="宋体" w:eastAsia="宋体" w:cs="宋体"/>
          <w:color w:val="auto"/>
          <w:sz w:val="24"/>
          <w:szCs w:val="24"/>
          <w:u w:val="single" w:color="auto"/>
        </w:rPr>
        <w:t xml:space="preserve">            </w:t>
      </w:r>
      <w:r>
        <w:rPr>
          <w:rFonts w:ascii="宋体" w:hAnsi="宋体" w:eastAsia="宋体" w:cs="宋体"/>
          <w:color w:val="auto"/>
          <w:spacing w:val="-15"/>
          <w:sz w:val="24"/>
          <w:szCs w:val="24"/>
        </w:rPr>
        <w:t>（</w:t>
      </w:r>
      <w:r>
        <w:rPr>
          <w:rFonts w:ascii="宋体" w:hAnsi="宋体" w:eastAsia="宋体" w:cs="宋体"/>
          <w:color w:val="auto"/>
          <w:sz w:val="24"/>
          <w:szCs w:val="24"/>
        </w:rPr>
        <w:t>单位公章）</w:t>
      </w:r>
    </w:p>
    <w:p w14:paraId="6DD925F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left="6236" w:hanging="1916"/>
        <w:textAlignment w:val="baseline"/>
        <w:rPr>
          <w:rFonts w:ascii="宋体" w:hAnsi="宋体" w:eastAsia="宋体" w:cs="宋体"/>
          <w:color w:val="auto"/>
          <w:sz w:val="24"/>
          <w:szCs w:val="24"/>
        </w:rPr>
      </w:pPr>
      <w:r>
        <w:rPr>
          <w:rFonts w:ascii="宋体" w:hAnsi="宋体" w:eastAsia="宋体" w:cs="宋体"/>
          <w:color w:val="auto"/>
          <w:spacing w:val="-11"/>
          <w:sz w:val="24"/>
          <w:szCs w:val="24"/>
        </w:rPr>
        <w:t>授权日期：</w:t>
      </w:r>
      <w:r>
        <w:rPr>
          <w:rFonts w:ascii="宋体" w:hAnsi="宋体" w:eastAsia="宋体" w:cs="宋体"/>
          <w:color w:val="auto"/>
          <w:spacing w:val="3"/>
          <w:sz w:val="24"/>
          <w:szCs w:val="24"/>
          <w:u w:val="single"/>
        </w:rPr>
        <w:t xml:space="preserve">    </w:t>
      </w:r>
      <w:r>
        <w:rPr>
          <w:rFonts w:ascii="宋体" w:hAnsi="宋体" w:eastAsia="宋体" w:cs="宋体"/>
          <w:color w:val="auto"/>
          <w:spacing w:val="-11"/>
          <w:sz w:val="24"/>
          <w:szCs w:val="24"/>
        </w:rPr>
        <w:t>年</w:t>
      </w:r>
      <w:r>
        <w:rPr>
          <w:rFonts w:ascii="宋体" w:hAnsi="宋体" w:eastAsia="宋体" w:cs="宋体"/>
          <w:color w:val="auto"/>
          <w:spacing w:val="5"/>
          <w:sz w:val="24"/>
          <w:szCs w:val="24"/>
          <w:u w:val="single"/>
        </w:rPr>
        <w:t xml:space="preserve">   </w:t>
      </w:r>
      <w:r>
        <w:rPr>
          <w:rFonts w:ascii="宋体" w:hAnsi="宋体" w:eastAsia="宋体" w:cs="宋体"/>
          <w:color w:val="auto"/>
          <w:spacing w:val="-11"/>
          <w:sz w:val="24"/>
          <w:szCs w:val="24"/>
        </w:rPr>
        <w:t>月</w:t>
      </w:r>
      <w:r>
        <w:rPr>
          <w:rFonts w:ascii="宋体" w:hAnsi="宋体" w:eastAsia="宋体" w:cs="宋体"/>
          <w:color w:val="auto"/>
          <w:spacing w:val="17"/>
          <w:sz w:val="24"/>
          <w:szCs w:val="24"/>
          <w:u w:val="single"/>
        </w:rPr>
        <w:t xml:space="preserve">   </w:t>
      </w:r>
      <w:r>
        <w:rPr>
          <w:rFonts w:ascii="宋体" w:hAnsi="宋体" w:eastAsia="宋体" w:cs="宋体"/>
          <w:color w:val="auto"/>
          <w:spacing w:val="-11"/>
          <w:sz w:val="24"/>
          <w:szCs w:val="24"/>
        </w:rPr>
        <w:t>日</w:t>
      </w:r>
    </w:p>
    <w:p w14:paraId="3E2C743B">
      <w:pPr>
        <w:spacing w:line="360" w:lineRule="auto"/>
        <w:rPr>
          <w:rFonts w:ascii="Arial"/>
          <w:color w:val="auto"/>
          <w:sz w:val="21"/>
        </w:rPr>
      </w:pPr>
    </w:p>
    <w:p w14:paraId="40CCEB81">
      <w:pPr>
        <w:spacing w:line="360" w:lineRule="auto"/>
        <w:rPr>
          <w:rFonts w:ascii="Arial"/>
          <w:color w:val="auto"/>
          <w:sz w:val="21"/>
        </w:rPr>
      </w:pPr>
    </w:p>
    <w:p w14:paraId="28602B30">
      <w:pPr>
        <w:spacing w:line="360" w:lineRule="auto"/>
        <w:rPr>
          <w:rFonts w:ascii="Arial"/>
          <w:color w:val="auto"/>
          <w:sz w:val="21"/>
        </w:rPr>
      </w:pPr>
    </w:p>
    <w:p w14:paraId="45641C44">
      <w:pPr>
        <w:spacing w:line="360" w:lineRule="auto"/>
        <w:rPr>
          <w:rFonts w:ascii="Arial"/>
          <w:color w:val="auto"/>
          <w:sz w:val="21"/>
        </w:rPr>
      </w:pPr>
    </w:p>
    <w:p w14:paraId="4E2512BC">
      <w:pPr>
        <w:spacing w:line="360" w:lineRule="auto"/>
        <w:rPr>
          <w:rFonts w:ascii="Arial"/>
          <w:color w:val="auto"/>
          <w:sz w:val="21"/>
        </w:rPr>
      </w:pPr>
    </w:p>
    <w:p w14:paraId="4A8D8F0C">
      <w:pPr>
        <w:spacing w:before="78" w:line="360" w:lineRule="auto"/>
        <w:ind w:left="480"/>
        <w:rPr>
          <w:rFonts w:ascii="宋体" w:hAnsi="宋体" w:eastAsia="宋体" w:cs="宋体"/>
          <w:color w:val="auto"/>
          <w:sz w:val="24"/>
          <w:szCs w:val="24"/>
        </w:rPr>
      </w:pPr>
      <w:r>
        <w:rPr>
          <w:rFonts w:ascii="宋体" w:hAnsi="宋体" w:eastAsia="宋体" w:cs="宋体"/>
          <w:color w:val="auto"/>
          <w:spacing w:val="-5"/>
          <w:sz w:val="24"/>
          <w:szCs w:val="24"/>
        </w:rPr>
        <w:t>注：</w:t>
      </w:r>
    </w:p>
    <w:p w14:paraId="6DA75BE9">
      <w:pPr>
        <w:spacing w:before="20" w:line="360" w:lineRule="auto"/>
        <w:ind w:left="483" w:right="1474" w:firstLine="14"/>
        <w:rPr>
          <w:rFonts w:ascii="宋体" w:hAnsi="宋体" w:eastAsia="宋体" w:cs="宋体"/>
          <w:color w:val="auto"/>
          <w:spacing w:val="-1"/>
          <w:sz w:val="24"/>
          <w:szCs w:val="24"/>
        </w:rPr>
      </w:pPr>
      <w:r>
        <w:rPr>
          <w:rFonts w:ascii="宋体" w:hAnsi="宋体" w:eastAsia="宋体" w:cs="宋体"/>
          <w:color w:val="auto"/>
          <w:spacing w:val="-2"/>
          <w:sz w:val="24"/>
          <w:szCs w:val="24"/>
        </w:rPr>
        <w:t>1.</w:t>
      </w:r>
      <w:r>
        <w:rPr>
          <w:rFonts w:ascii="宋体" w:hAnsi="宋体" w:eastAsia="宋体" w:cs="宋体"/>
          <w:color w:val="auto"/>
          <w:spacing w:val="-1"/>
          <w:sz w:val="24"/>
          <w:szCs w:val="24"/>
        </w:rPr>
        <w:t>如投标人为总公司参与投标的，则不需要提交此授权投标书。</w:t>
      </w:r>
    </w:p>
    <w:p w14:paraId="6F066C3F">
      <w:pPr>
        <w:pStyle w:val="3"/>
        <w:spacing w:line="360" w:lineRule="auto"/>
        <w:outlineLvl w:val="9"/>
        <w:rPr>
          <w:color w:val="auto"/>
        </w:rPr>
        <w:sectPr>
          <w:footerReference r:id="rId5" w:type="default"/>
          <w:pgSz w:w="11907" w:h="16840"/>
          <w:pgMar w:top="1440" w:right="1080" w:bottom="1440" w:left="1080" w:header="0" w:footer="907" w:gutter="0"/>
          <w:pgNumType w:fmt="decimal"/>
          <w:cols w:space="720" w:num="1"/>
        </w:sectPr>
      </w:pPr>
    </w:p>
    <w:p w14:paraId="7BE0DC6D">
      <w:pPr>
        <w:topLinePunct w:val="0"/>
        <w:autoSpaceDE/>
        <w:autoSpaceDN/>
        <w:spacing w:line="360" w:lineRule="auto"/>
        <w:jc w:val="left"/>
        <w:outlineLvl w:val="9"/>
        <w:rPr>
          <w:rFonts w:hint="eastAsia" w:ascii="宋体" w:hAnsi="宋体" w:eastAsia="宋体" w:cs="宋体"/>
          <w:b/>
          <w:color w:val="auto"/>
          <w:sz w:val="28"/>
          <w:szCs w:val="28"/>
        </w:rPr>
      </w:pPr>
      <w:r>
        <w:rPr>
          <w:rFonts w:hint="eastAsia" w:ascii="宋体" w:hAnsi="宋体" w:eastAsia="宋体" w:cs="宋体"/>
          <w:color w:val="auto"/>
          <w:sz w:val="30"/>
          <w:szCs w:val="30"/>
        </w:rPr>
        <w:t xml:space="preserve">附件 </w:t>
      </w:r>
      <w:r>
        <w:rPr>
          <w:rFonts w:hint="eastAsia" w:ascii="宋体" w:hAnsi="宋体" w:eastAsia="宋体" w:cs="宋体"/>
          <w:color w:val="auto"/>
          <w:sz w:val="30"/>
          <w:szCs w:val="30"/>
          <w:lang w:val="en-US" w:eastAsia="zh-CN"/>
        </w:rPr>
        <w:t>2</w:t>
      </w:r>
      <w:r>
        <w:rPr>
          <w:rFonts w:hint="eastAsia" w:ascii="宋体" w:hAnsi="宋体" w:eastAsia="宋体" w:cs="宋体"/>
          <w:color w:val="auto"/>
          <w:sz w:val="30"/>
          <w:szCs w:val="30"/>
          <w:lang w:eastAsia="zh-CN"/>
        </w:rPr>
        <w:t>：</w:t>
      </w:r>
      <w:r>
        <w:rPr>
          <w:rFonts w:hint="eastAsia" w:ascii="宋体" w:hAnsi="宋体" w:eastAsia="宋体" w:cs="宋体"/>
          <w:b w:val="0"/>
          <w:color w:val="auto"/>
          <w:sz w:val="30"/>
          <w:szCs w:val="30"/>
          <w:lang w:eastAsia="zh-CN"/>
        </w:rPr>
        <w:t>资格审查要求(资质、财务能力、信誉、业绩最低要求)</w:t>
      </w:r>
    </w:p>
    <w:tbl>
      <w:tblPr>
        <w:tblStyle w:val="18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3"/>
        <w:gridCol w:w="6816"/>
      </w:tblGrid>
      <w:tr w14:paraId="4C1ABC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713" w:type="dxa"/>
            <w:noWrap w:val="0"/>
            <w:vAlign w:val="center"/>
          </w:tcPr>
          <w:p w14:paraId="60A59639">
            <w:pPr>
              <w:topLinePunct/>
              <w:spacing w:line="360" w:lineRule="auto"/>
              <w:jc w:val="both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  <w:t>资格审查内容</w:t>
            </w:r>
          </w:p>
        </w:tc>
        <w:tc>
          <w:tcPr>
            <w:tcW w:w="6816" w:type="dxa"/>
            <w:noWrap w:val="0"/>
            <w:vAlign w:val="center"/>
          </w:tcPr>
          <w:p w14:paraId="310E0D91">
            <w:pPr>
              <w:topLinePunct/>
              <w:spacing w:line="360" w:lineRule="auto"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</w:rPr>
              <w:t>最低要求</w:t>
            </w:r>
          </w:p>
        </w:tc>
      </w:tr>
      <w:tr w14:paraId="155E4F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713" w:type="dxa"/>
            <w:noWrap w:val="0"/>
            <w:vAlign w:val="center"/>
          </w:tcPr>
          <w:p w14:paraId="7904D4F8">
            <w:pPr>
              <w:topLinePunct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资  质</w:t>
            </w:r>
          </w:p>
        </w:tc>
        <w:tc>
          <w:tcPr>
            <w:tcW w:w="6816" w:type="dxa"/>
            <w:noWrap w:val="0"/>
            <w:vAlign w:val="center"/>
          </w:tcPr>
          <w:p w14:paraId="4B65DC21">
            <w:pPr>
              <w:topLinePunct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(1)在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国内成立并有效存续、由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国家金融监督管理总局（原中国银行保险监督管理委员会）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批准开展财产保险业务、并具有独立法人资格的保险公司或其唯一授权的省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（市）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级分支机构；保险公司及其分支机构只能有一家参加投标。</w:t>
            </w:r>
          </w:p>
          <w:p w14:paraId="0132767D">
            <w:pPr>
              <w:topLinePunct/>
              <w:spacing w:line="360" w:lineRule="auto"/>
              <w:jc w:val="both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(2)须有国家金融监督管理总局（原中国银行保险监督管理委员会）颁发的《经营保险业务许可证》或《保险许可证》</w:t>
            </w:r>
          </w:p>
        </w:tc>
      </w:tr>
      <w:tr w14:paraId="74D523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3" w:hRule="atLeast"/>
          <w:jc w:val="center"/>
        </w:trPr>
        <w:tc>
          <w:tcPr>
            <w:tcW w:w="1713" w:type="dxa"/>
            <w:noWrap w:val="0"/>
            <w:vAlign w:val="center"/>
          </w:tcPr>
          <w:p w14:paraId="6DAC79B8">
            <w:pPr>
              <w:topLinePunct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财务能力</w:t>
            </w:r>
          </w:p>
        </w:tc>
        <w:tc>
          <w:tcPr>
            <w:tcW w:w="6816" w:type="dxa"/>
            <w:noWrap w:val="0"/>
            <w:vAlign w:val="center"/>
          </w:tcPr>
          <w:p w14:paraId="4B16A295">
            <w:pPr>
              <w:topLinePunct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同时满足：</w:t>
            </w:r>
          </w:p>
          <w:p w14:paraId="1A1D2AEF">
            <w:pPr>
              <w:topLinePunct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instrText xml:space="preserve"> = 1 \* GB2 </w:instrTex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⑴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fldChar w:fldCharType="end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投标人总公司注册资本不少于人民币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50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亿元；</w:t>
            </w:r>
          </w:p>
          <w:p w14:paraId="7138EC48">
            <w:pPr>
              <w:topLinePunct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instrText xml:space="preserve"> = 2 \* GB2 </w:instrTex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⑵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fldChar w:fldCharType="end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投标人总公司202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年末偿付能力充足率情况不少于1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0%；</w:t>
            </w:r>
          </w:p>
          <w:p w14:paraId="2A988EA9">
            <w:pPr>
              <w:pStyle w:val="22"/>
              <w:numPr>
                <w:ilvl w:val="0"/>
                <w:numId w:val="0"/>
              </w:numPr>
              <w:tabs>
                <w:tab w:val="clear" w:pos="1200"/>
              </w:tabs>
              <w:spacing w:line="360" w:lineRule="auto"/>
              <w:ind w:left="0" w:leftChars="0" w:firstLine="0" w:firstLineChars="0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  <w:lang w:eastAsia="en-US" w:bidi="ar-SA"/>
              </w:rPr>
              <w:fldChar w:fldCharType="begin"/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  <w:lang w:eastAsia="en-US" w:bidi="ar-SA"/>
              </w:rPr>
              <w:instrText xml:space="preserve"> = 3 \* GB2 </w:instrTex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  <w:lang w:eastAsia="en-US" w:bidi="ar-SA"/>
              </w:rPr>
              <w:fldChar w:fldCharType="separate"/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  <w:lang w:eastAsia="en-US" w:bidi="ar-SA"/>
              </w:rPr>
              <w:t>⑶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  <w:lang w:eastAsia="en-US" w:bidi="ar-SA"/>
              </w:rPr>
              <w:fldChar w:fldCharType="end"/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  <w:lang w:eastAsia="en-US" w:bidi="ar-SA"/>
              </w:rPr>
              <w:t>投标人总公司20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  <w:lang w:val="en-US" w:eastAsia="en-US" w:bidi="ar-SA"/>
              </w:rPr>
              <w:t>2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  <w:lang w:eastAsia="en-US" w:bidi="ar-SA"/>
              </w:rPr>
              <w:t>年保险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  <w:lang w:eastAsia="zh-CN" w:bidi="ar-SA"/>
              </w:rPr>
              <w:t>服务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  <w:lang w:eastAsia="en-US" w:bidi="ar-SA"/>
              </w:rPr>
              <w:t>收入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  <w:lang w:eastAsia="zh-CN" w:bidi="ar-SA"/>
              </w:rPr>
              <w:t>（或原保费收入）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  <w:lang w:eastAsia="en-US" w:bidi="ar-SA"/>
              </w:rPr>
              <w:t>不少于人民币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  <w:t>100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highlight w:val="none"/>
                <w:lang w:eastAsia="en-US" w:bidi="ar-SA"/>
              </w:rPr>
              <w:t>亿元。</w:t>
            </w:r>
          </w:p>
        </w:tc>
      </w:tr>
      <w:tr w14:paraId="1A26C7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4" w:hRule="atLeast"/>
          <w:jc w:val="center"/>
        </w:trPr>
        <w:tc>
          <w:tcPr>
            <w:tcW w:w="1713" w:type="dxa"/>
            <w:noWrap w:val="0"/>
            <w:vAlign w:val="center"/>
          </w:tcPr>
          <w:p w14:paraId="57D93C1F">
            <w:pPr>
              <w:topLinePunct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信  誉</w:t>
            </w:r>
          </w:p>
        </w:tc>
        <w:tc>
          <w:tcPr>
            <w:tcW w:w="6816" w:type="dxa"/>
            <w:noWrap w:val="0"/>
            <w:vAlign w:val="center"/>
          </w:tcPr>
          <w:p w14:paraId="146E9053">
            <w:pPr>
              <w:topLinePunct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instrText xml:space="preserve"> = 1 \* GB2 </w:instrTex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⑴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fldChar w:fldCharType="end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没有处于被责令停业，财务被</w:t>
            </w:r>
            <w:bookmarkStart w:id="7" w:name="_GoBack"/>
            <w:bookmarkEnd w:id="7"/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 xml:space="preserve">接管、冻结、破产状态； </w:t>
            </w:r>
          </w:p>
          <w:p w14:paraId="161E0B3A">
            <w:pPr>
              <w:topLinePunct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instrText xml:space="preserve"> = 2 \* GB2 </w:instrTex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⑵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fldChar w:fldCharType="end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在“信用中国”网站（http://www.creditchina.gov.cn/)中被列入失信被执行人名单的投标人，在国家企业信用信息公示系统（www.gsxt.gov.cn）中被列入严重违法失信企业名单的投标人，均按否决投标处理。</w:t>
            </w:r>
          </w:p>
        </w:tc>
      </w:tr>
      <w:tr w14:paraId="0D2450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713" w:type="dxa"/>
            <w:noWrap w:val="0"/>
            <w:vAlign w:val="center"/>
          </w:tcPr>
          <w:p w14:paraId="70BCB3C8">
            <w:pPr>
              <w:topLinePunct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业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绩</w:t>
            </w:r>
          </w:p>
        </w:tc>
        <w:tc>
          <w:tcPr>
            <w:tcW w:w="6816" w:type="dxa"/>
            <w:noWrap w:val="0"/>
            <w:vAlign w:val="center"/>
          </w:tcPr>
          <w:p w14:paraId="530D1043">
            <w:pPr>
              <w:topLinePunct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21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年1月1日至投标文件递交之日止，投标人或其总公司（或集团公司）或属下经营单位至少独家承保或首席承保过1个保额不少于人民币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15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亿元的国内高速公路路产保险项目。</w:t>
            </w:r>
          </w:p>
        </w:tc>
      </w:tr>
    </w:tbl>
    <w:p w14:paraId="663A8E45">
      <w:pPr>
        <w:tabs>
          <w:tab w:val="left" w:pos="1935"/>
        </w:tabs>
        <w:topLinePunct/>
        <w:autoSpaceDE/>
        <w:autoSpaceDN/>
        <w:spacing w:line="320" w:lineRule="exact"/>
        <w:jc w:val="both"/>
        <w:rPr>
          <w:rFonts w:hint="eastAsia" w:ascii="宋体" w:hAnsi="宋体" w:eastAsia="宋体" w:cs="宋体"/>
          <w:bCs/>
          <w:color w:val="auto"/>
          <w:sz w:val="21"/>
          <w:szCs w:val="21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注</w:t>
      </w:r>
      <w:r>
        <w:rPr>
          <w:rFonts w:hint="eastAsia" w:ascii="宋体" w:hAnsi="宋体" w:eastAsia="宋体" w:cs="宋体"/>
          <w:bCs/>
          <w:color w:val="auto"/>
          <w:sz w:val="21"/>
          <w:szCs w:val="21"/>
        </w:rPr>
        <w:t>：1.截至202</w:t>
      </w:r>
      <w:r>
        <w:rPr>
          <w:rFonts w:hint="eastAsia" w:ascii="宋体" w:hAnsi="宋体" w:eastAsia="宋体" w:cs="宋体"/>
          <w:bCs/>
          <w:color w:val="auto"/>
          <w:sz w:val="21"/>
          <w:szCs w:val="21"/>
          <w:lang w:val="en-US" w:eastAsia="zh-CN"/>
        </w:rPr>
        <w:t>4</w:t>
      </w:r>
      <w:r>
        <w:rPr>
          <w:rFonts w:hint="eastAsia" w:ascii="宋体" w:hAnsi="宋体" w:eastAsia="宋体" w:cs="宋体"/>
          <w:bCs/>
          <w:color w:val="auto"/>
          <w:sz w:val="21"/>
          <w:szCs w:val="21"/>
        </w:rPr>
        <w:t>年12月31日的偿付能力充足率、</w:t>
      </w:r>
      <w:r>
        <w:rPr>
          <w:rFonts w:hint="eastAsia" w:ascii="宋体" w:hAnsi="宋体" w:eastAsia="宋体" w:cs="宋体"/>
          <w:bCs/>
          <w:color w:val="auto"/>
          <w:sz w:val="21"/>
          <w:szCs w:val="21"/>
          <w:lang w:eastAsia="zh-CN"/>
        </w:rPr>
        <w:t>保险服务收入（或原保费收入）</w:t>
      </w:r>
      <w:r>
        <w:rPr>
          <w:rFonts w:hint="eastAsia" w:ascii="宋体" w:hAnsi="宋体" w:eastAsia="宋体" w:cs="宋体"/>
          <w:bCs/>
          <w:color w:val="auto"/>
          <w:sz w:val="21"/>
          <w:szCs w:val="21"/>
        </w:rPr>
        <w:t>，以投标人总公司经审计的202</w:t>
      </w:r>
      <w:r>
        <w:rPr>
          <w:rFonts w:hint="eastAsia" w:ascii="宋体" w:hAnsi="宋体" w:eastAsia="宋体" w:cs="宋体"/>
          <w:bCs/>
          <w:color w:val="auto"/>
          <w:sz w:val="21"/>
          <w:szCs w:val="21"/>
          <w:lang w:val="en-US" w:eastAsia="zh-CN"/>
        </w:rPr>
        <w:t>4</w:t>
      </w:r>
      <w:r>
        <w:rPr>
          <w:rFonts w:hint="eastAsia" w:ascii="宋体" w:hAnsi="宋体" w:eastAsia="宋体" w:cs="宋体"/>
          <w:bCs/>
          <w:color w:val="auto"/>
          <w:sz w:val="21"/>
          <w:szCs w:val="21"/>
        </w:rPr>
        <w:t>年度财务会计审计报告为准。</w:t>
      </w:r>
    </w:p>
    <w:p w14:paraId="7DACEFEF">
      <w:pPr>
        <w:tabs>
          <w:tab w:val="left" w:pos="1935"/>
        </w:tabs>
        <w:topLinePunct/>
        <w:autoSpaceDE/>
        <w:autoSpaceDN/>
        <w:spacing w:line="320" w:lineRule="exact"/>
        <w:jc w:val="both"/>
        <w:rPr>
          <w:rFonts w:hint="eastAsia" w:ascii="宋体" w:hAnsi="宋体" w:eastAsia="宋体" w:cs="宋体"/>
          <w:bCs/>
          <w:color w:val="auto"/>
          <w:sz w:val="21"/>
          <w:szCs w:val="21"/>
        </w:rPr>
      </w:pPr>
      <w:r>
        <w:rPr>
          <w:rFonts w:hint="eastAsia" w:ascii="宋体" w:hAnsi="宋体" w:eastAsia="宋体" w:cs="宋体"/>
          <w:bCs/>
          <w:color w:val="auto"/>
          <w:sz w:val="21"/>
          <w:szCs w:val="21"/>
        </w:rPr>
        <w:t>2.投标人须提供投标人总公司经审计的202</w:t>
      </w:r>
      <w:r>
        <w:rPr>
          <w:rFonts w:hint="eastAsia" w:ascii="宋体" w:hAnsi="宋体" w:eastAsia="宋体" w:cs="宋体"/>
          <w:bCs/>
          <w:color w:val="auto"/>
          <w:sz w:val="21"/>
          <w:szCs w:val="21"/>
          <w:lang w:val="en-US" w:eastAsia="zh-CN"/>
        </w:rPr>
        <w:t>4</w:t>
      </w:r>
      <w:r>
        <w:rPr>
          <w:rFonts w:hint="eastAsia" w:ascii="宋体" w:hAnsi="宋体" w:eastAsia="宋体" w:cs="宋体"/>
          <w:bCs/>
          <w:color w:val="auto"/>
          <w:sz w:val="21"/>
          <w:szCs w:val="21"/>
        </w:rPr>
        <w:t>年度财务会计审计报告的复印件，复印件必须清晰可辨。</w:t>
      </w:r>
    </w:p>
    <w:p w14:paraId="45A8AAE2">
      <w:pPr>
        <w:tabs>
          <w:tab w:val="left" w:pos="1935"/>
        </w:tabs>
        <w:topLinePunct/>
        <w:autoSpaceDE/>
        <w:autoSpaceDN/>
        <w:spacing w:line="320" w:lineRule="exact"/>
        <w:jc w:val="both"/>
        <w:rPr>
          <w:rFonts w:hint="eastAsia" w:ascii="宋体" w:hAnsi="宋体" w:eastAsia="宋体" w:cs="宋体"/>
          <w:color w:val="auto"/>
          <w:sz w:val="21"/>
          <w:szCs w:val="21"/>
        </w:rPr>
      </w:pPr>
      <w:r>
        <w:rPr>
          <w:rFonts w:hint="eastAsia" w:ascii="宋体" w:hAnsi="宋体" w:eastAsia="宋体" w:cs="宋体"/>
          <w:bCs/>
          <w:color w:val="auto"/>
          <w:sz w:val="21"/>
          <w:szCs w:val="21"/>
        </w:rPr>
        <w:t>3.注册资本以投标人总公司营业执照上的注册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资本为准。</w:t>
      </w:r>
    </w:p>
    <w:p w14:paraId="70F80DBB">
      <w:pPr>
        <w:tabs>
          <w:tab w:val="left" w:pos="1935"/>
        </w:tabs>
        <w:topLinePunct/>
        <w:autoSpaceDE/>
        <w:autoSpaceDN/>
        <w:spacing w:line="320" w:lineRule="exact"/>
        <w:jc w:val="both"/>
        <w:rPr>
          <w:rFonts w:hint="eastAsia" w:ascii="宋体" w:hAnsi="宋体" w:eastAsia="宋体" w:cs="宋体"/>
          <w:color w:val="auto"/>
          <w:sz w:val="21"/>
          <w:szCs w:val="21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4. 承保业绩应附中标通知书（如有）、</w:t>
      </w:r>
      <w:r>
        <w:rPr>
          <w:rFonts w:hint="eastAsia" w:ascii="宋体" w:hAnsi="宋体" w:eastAsia="宋体" w:cs="宋体"/>
          <w:bCs/>
          <w:color w:val="auto"/>
          <w:sz w:val="21"/>
          <w:szCs w:val="21"/>
        </w:rPr>
        <w:t>合同协议书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的复印件。如果上述要求的证明材料还不足以反映出全部业绩指标的内容，还应附上由被保险人出具的相关证明材料。</w:t>
      </w:r>
      <w:r>
        <w:rPr>
          <w:rFonts w:hint="eastAsia" w:ascii="宋体" w:hAnsi="宋体" w:eastAsia="宋体" w:cs="宋体"/>
          <w:color w:val="auto"/>
          <w:sz w:val="21"/>
          <w:szCs w:val="21"/>
          <w:lang w:eastAsia="zh-CN"/>
        </w:rPr>
        <w:t>承保业绩时间指保险合同生效日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。</w:t>
      </w:r>
    </w:p>
    <w:p w14:paraId="471D116D">
      <w:pPr>
        <w:tabs>
          <w:tab w:val="left" w:pos="1935"/>
        </w:tabs>
        <w:topLinePunct/>
        <w:autoSpaceDE/>
        <w:autoSpaceDN/>
        <w:spacing w:line="320" w:lineRule="exact"/>
        <w:jc w:val="both"/>
        <w:rPr>
          <w:rFonts w:ascii="Arial"/>
          <w:color w:val="auto"/>
          <w:sz w:val="21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1"/>
          <w:lang w:eastAsia="en-US" w:bidi="ar-SA"/>
        </w:rPr>
        <w:t>5. 如为投标人或其总公司（或集团公司）或属下经营单位参与共同承保的项目，必须是投标人或其总公司（或集团公司）或属下经营单位作为首席承保人的业绩，金额仅计投标人或其总公司（或集团公司）或属下经营单位的承保份额。</w:t>
      </w:r>
    </w:p>
    <w:p w14:paraId="00C1EECE">
      <w:pPr>
        <w:spacing w:line="360" w:lineRule="auto"/>
        <w:rPr>
          <w:rFonts w:ascii="Arial"/>
          <w:color w:val="auto"/>
          <w:sz w:val="21"/>
        </w:rPr>
      </w:pPr>
    </w:p>
    <w:sectPr>
      <w:footerReference r:id="rId6" w:type="default"/>
      <w:pgSz w:w="11907" w:h="16840"/>
      <w:pgMar w:top="1440" w:right="1080" w:bottom="1440" w:left="1080" w:header="0" w:footer="907" w:gutter="0"/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</w:p>
  </w:endnote>
  <w:endnote w:type="continuationSeparator" w:id="1">
    <w:p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ingLiU">
    <w:altName w:val="PMingLiU-ExtB"/>
    <w:panose1 w:val="02020509000000000000"/>
    <w:charset w:val="88"/>
    <w:family w:val="modern"/>
    <w:pitch w:val="default"/>
    <w:sig w:usb0="00000000" w:usb1="00000000" w:usb2="00000016" w:usb3="00000000" w:csb0="0010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665127">
    <w:pPr>
      <w:spacing w:line="176" w:lineRule="auto"/>
      <w:ind w:left="4166"/>
      <w:rPr>
        <w:rFonts w:ascii="Times New Roman" w:hAnsi="Times New Roman" w:eastAsia="Times New Roman" w:cs="Times New Roman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3" name="文本框 5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C4D597D">
                          <w:pPr>
                            <w:pStyle w:val="1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L2AA3M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C4D597D">
                    <w:pPr>
                      <w:pStyle w:val="1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53D4DE">
    <w:pPr>
      <w:spacing w:line="176" w:lineRule="auto"/>
      <w:ind w:left="4480"/>
      <w:rPr>
        <w:rFonts w:ascii="Times New Roman" w:hAnsi="Times New Roman" w:eastAsia="Times New Roman" w:cs="Times New Roman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3" name="文本框 9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F885576">
                          <w:pPr>
                            <w:pStyle w:val="1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Aj7rWQ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F885576">
                    <w:pPr>
                      <w:pStyle w:val="1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</w:p>
  </w:footnote>
  <w:footnote w:type="continuationSeparator" w:id="1">
    <w:p>
      <w:pPr>
        <w:spacing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48D16CD"/>
    <w:multiLevelType w:val="multilevel"/>
    <w:tmpl w:val="748D16CD"/>
    <w:lvl w:ilvl="0" w:tentative="0">
      <w:start w:val="1"/>
      <w:numFmt w:val="decimal"/>
      <w:pStyle w:val="23"/>
      <w:lvlText w:val="（%1）"/>
      <w:lvlJc w:val="left"/>
      <w:pPr>
        <w:tabs>
          <w:tab w:val="left" w:pos="1200"/>
        </w:tabs>
        <w:ind w:left="120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1320"/>
        </w:tabs>
        <w:ind w:left="132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740"/>
        </w:tabs>
        <w:ind w:left="1740" w:hanging="420"/>
      </w:pPr>
    </w:lvl>
    <w:lvl w:ilvl="3" w:tentative="0">
      <w:start w:val="1"/>
      <w:numFmt w:val="decimal"/>
      <w:lvlText w:val="%4."/>
      <w:lvlJc w:val="left"/>
      <w:pPr>
        <w:tabs>
          <w:tab w:val="left" w:pos="2160"/>
        </w:tabs>
        <w:ind w:left="216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580"/>
        </w:tabs>
        <w:ind w:left="258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3000"/>
        </w:tabs>
        <w:ind w:left="3000" w:hanging="420"/>
      </w:pPr>
    </w:lvl>
    <w:lvl w:ilvl="6" w:tentative="0">
      <w:start w:val="1"/>
      <w:numFmt w:val="decimal"/>
      <w:lvlText w:val="%7."/>
      <w:lvlJc w:val="left"/>
      <w:pPr>
        <w:tabs>
          <w:tab w:val="left" w:pos="3420"/>
        </w:tabs>
        <w:ind w:left="342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840"/>
        </w:tabs>
        <w:ind w:left="384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4260"/>
        </w:tabs>
        <w:ind w:left="426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bordersDoNotSurroundHeader w:val="0"/>
  <w:bordersDoNotSurroundFooter w:val="0"/>
  <w:documentProtection w:enforcement="0"/>
  <w:defaultTabStop w:val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rsids>
    <w:rsidRoot w:val="00172A27"/>
    <w:rsid w:val="00BA7074"/>
    <w:rsid w:val="011024A8"/>
    <w:rsid w:val="0132012F"/>
    <w:rsid w:val="01457570"/>
    <w:rsid w:val="01753FA2"/>
    <w:rsid w:val="01975A6D"/>
    <w:rsid w:val="01A723DD"/>
    <w:rsid w:val="02332475"/>
    <w:rsid w:val="0233370C"/>
    <w:rsid w:val="027A34F0"/>
    <w:rsid w:val="029E7CB7"/>
    <w:rsid w:val="03135818"/>
    <w:rsid w:val="034D0FDB"/>
    <w:rsid w:val="034D2848"/>
    <w:rsid w:val="05D9472B"/>
    <w:rsid w:val="065551AE"/>
    <w:rsid w:val="068C5A4E"/>
    <w:rsid w:val="06A9355E"/>
    <w:rsid w:val="07086593"/>
    <w:rsid w:val="07415459"/>
    <w:rsid w:val="080D5C91"/>
    <w:rsid w:val="081C718A"/>
    <w:rsid w:val="0A4F0840"/>
    <w:rsid w:val="0A653766"/>
    <w:rsid w:val="0A6723E0"/>
    <w:rsid w:val="0AA725CA"/>
    <w:rsid w:val="0AB85EBF"/>
    <w:rsid w:val="0B5D617F"/>
    <w:rsid w:val="0C5C45C9"/>
    <w:rsid w:val="0C5D73DC"/>
    <w:rsid w:val="0CE77C86"/>
    <w:rsid w:val="0D111028"/>
    <w:rsid w:val="0D884BB8"/>
    <w:rsid w:val="0D8E6743"/>
    <w:rsid w:val="0D9A1972"/>
    <w:rsid w:val="0DE10621"/>
    <w:rsid w:val="0EB70CE7"/>
    <w:rsid w:val="0ECA7307"/>
    <w:rsid w:val="0F134EA3"/>
    <w:rsid w:val="0F2042D8"/>
    <w:rsid w:val="0F334EAC"/>
    <w:rsid w:val="0FDC7529"/>
    <w:rsid w:val="10CD7309"/>
    <w:rsid w:val="11450F18"/>
    <w:rsid w:val="11615698"/>
    <w:rsid w:val="116E40FC"/>
    <w:rsid w:val="1291462E"/>
    <w:rsid w:val="1310369F"/>
    <w:rsid w:val="132E36D0"/>
    <w:rsid w:val="13871F54"/>
    <w:rsid w:val="138F7154"/>
    <w:rsid w:val="13B14366"/>
    <w:rsid w:val="13C403F9"/>
    <w:rsid w:val="13EE0887"/>
    <w:rsid w:val="14101C60"/>
    <w:rsid w:val="142A1597"/>
    <w:rsid w:val="14DC7D80"/>
    <w:rsid w:val="154D0C92"/>
    <w:rsid w:val="154E6937"/>
    <w:rsid w:val="15590BB0"/>
    <w:rsid w:val="163F75F6"/>
    <w:rsid w:val="16902D62"/>
    <w:rsid w:val="16A77290"/>
    <w:rsid w:val="173778DD"/>
    <w:rsid w:val="174973C0"/>
    <w:rsid w:val="17B744FD"/>
    <w:rsid w:val="181F6C3F"/>
    <w:rsid w:val="188954E0"/>
    <w:rsid w:val="19DB061A"/>
    <w:rsid w:val="1A346F7F"/>
    <w:rsid w:val="1B2C3564"/>
    <w:rsid w:val="1B9A58DE"/>
    <w:rsid w:val="1BA44D32"/>
    <w:rsid w:val="1BE90F6D"/>
    <w:rsid w:val="1C4204C1"/>
    <w:rsid w:val="1D72593E"/>
    <w:rsid w:val="1D7A7634"/>
    <w:rsid w:val="1DEF5315"/>
    <w:rsid w:val="1F111D5F"/>
    <w:rsid w:val="1F253379"/>
    <w:rsid w:val="1F4625B3"/>
    <w:rsid w:val="1F574BE7"/>
    <w:rsid w:val="1F996FAD"/>
    <w:rsid w:val="1FC104F2"/>
    <w:rsid w:val="1FC6657B"/>
    <w:rsid w:val="200E7674"/>
    <w:rsid w:val="207E0637"/>
    <w:rsid w:val="20BB0629"/>
    <w:rsid w:val="20C72605"/>
    <w:rsid w:val="20D07A27"/>
    <w:rsid w:val="20FA06F0"/>
    <w:rsid w:val="210C0529"/>
    <w:rsid w:val="211B66FB"/>
    <w:rsid w:val="21385A0E"/>
    <w:rsid w:val="215E5B22"/>
    <w:rsid w:val="218D141D"/>
    <w:rsid w:val="21B46321"/>
    <w:rsid w:val="21D51272"/>
    <w:rsid w:val="223B4A88"/>
    <w:rsid w:val="228E5635"/>
    <w:rsid w:val="22A6706D"/>
    <w:rsid w:val="22B2101D"/>
    <w:rsid w:val="22C868F0"/>
    <w:rsid w:val="22E26B81"/>
    <w:rsid w:val="23041206"/>
    <w:rsid w:val="23D06DAA"/>
    <w:rsid w:val="240B5FA0"/>
    <w:rsid w:val="24220A04"/>
    <w:rsid w:val="24387B9A"/>
    <w:rsid w:val="248366EF"/>
    <w:rsid w:val="249E7D0B"/>
    <w:rsid w:val="24E87C1C"/>
    <w:rsid w:val="25006BE0"/>
    <w:rsid w:val="250A1485"/>
    <w:rsid w:val="25267F40"/>
    <w:rsid w:val="252D1A89"/>
    <w:rsid w:val="258F61FF"/>
    <w:rsid w:val="268A4833"/>
    <w:rsid w:val="26967D99"/>
    <w:rsid w:val="26FD1548"/>
    <w:rsid w:val="27110B31"/>
    <w:rsid w:val="27257379"/>
    <w:rsid w:val="273609BB"/>
    <w:rsid w:val="279B7CAF"/>
    <w:rsid w:val="27CA5CAF"/>
    <w:rsid w:val="281A4A03"/>
    <w:rsid w:val="284928FD"/>
    <w:rsid w:val="29B535F3"/>
    <w:rsid w:val="2A7025E0"/>
    <w:rsid w:val="2B430070"/>
    <w:rsid w:val="2B5A60E7"/>
    <w:rsid w:val="2B6B3EF7"/>
    <w:rsid w:val="2B796ACE"/>
    <w:rsid w:val="2B7F596C"/>
    <w:rsid w:val="2C0C7C82"/>
    <w:rsid w:val="2C28376E"/>
    <w:rsid w:val="2C363AEF"/>
    <w:rsid w:val="2C8F7F70"/>
    <w:rsid w:val="2D0330DF"/>
    <w:rsid w:val="2E565A32"/>
    <w:rsid w:val="2E9A2577"/>
    <w:rsid w:val="2EA62E30"/>
    <w:rsid w:val="2F1D6103"/>
    <w:rsid w:val="2F3673A2"/>
    <w:rsid w:val="30113C86"/>
    <w:rsid w:val="301A069E"/>
    <w:rsid w:val="304B63F1"/>
    <w:rsid w:val="31445AFD"/>
    <w:rsid w:val="31583BFF"/>
    <w:rsid w:val="31940B2F"/>
    <w:rsid w:val="31D06D4E"/>
    <w:rsid w:val="31E462BD"/>
    <w:rsid w:val="32A25D21"/>
    <w:rsid w:val="32B3280D"/>
    <w:rsid w:val="32B819E9"/>
    <w:rsid w:val="33DE757C"/>
    <w:rsid w:val="33E371BE"/>
    <w:rsid w:val="3436360B"/>
    <w:rsid w:val="34797D6D"/>
    <w:rsid w:val="34DF682D"/>
    <w:rsid w:val="35036487"/>
    <w:rsid w:val="357353BD"/>
    <w:rsid w:val="36B31315"/>
    <w:rsid w:val="37025D93"/>
    <w:rsid w:val="37266943"/>
    <w:rsid w:val="372A53FA"/>
    <w:rsid w:val="37750380"/>
    <w:rsid w:val="37FD37D1"/>
    <w:rsid w:val="388D6070"/>
    <w:rsid w:val="38B26B85"/>
    <w:rsid w:val="394361D9"/>
    <w:rsid w:val="39610C2B"/>
    <w:rsid w:val="39D42F91"/>
    <w:rsid w:val="39D72024"/>
    <w:rsid w:val="39F638C2"/>
    <w:rsid w:val="3ABD2F60"/>
    <w:rsid w:val="3AD1189A"/>
    <w:rsid w:val="3B0E4A00"/>
    <w:rsid w:val="3B8A40BE"/>
    <w:rsid w:val="3BA12717"/>
    <w:rsid w:val="3C18786F"/>
    <w:rsid w:val="3CEB6517"/>
    <w:rsid w:val="3CFC24DF"/>
    <w:rsid w:val="3D3C14A5"/>
    <w:rsid w:val="3E171CB9"/>
    <w:rsid w:val="3E295BAB"/>
    <w:rsid w:val="3E985939"/>
    <w:rsid w:val="3F252A55"/>
    <w:rsid w:val="3F397A0D"/>
    <w:rsid w:val="3F4B0F2F"/>
    <w:rsid w:val="3FE62E96"/>
    <w:rsid w:val="408F287D"/>
    <w:rsid w:val="40CA42E3"/>
    <w:rsid w:val="410D6D7A"/>
    <w:rsid w:val="413F2241"/>
    <w:rsid w:val="419E0FAD"/>
    <w:rsid w:val="41ED2945"/>
    <w:rsid w:val="421546FC"/>
    <w:rsid w:val="428A1C83"/>
    <w:rsid w:val="42B01234"/>
    <w:rsid w:val="42FC11FD"/>
    <w:rsid w:val="435314FB"/>
    <w:rsid w:val="4394550A"/>
    <w:rsid w:val="43F17865"/>
    <w:rsid w:val="4421308C"/>
    <w:rsid w:val="445B0426"/>
    <w:rsid w:val="445F5403"/>
    <w:rsid w:val="44795E8D"/>
    <w:rsid w:val="44831584"/>
    <w:rsid w:val="46584C1D"/>
    <w:rsid w:val="4706513C"/>
    <w:rsid w:val="472056B0"/>
    <w:rsid w:val="47C62784"/>
    <w:rsid w:val="47D146B8"/>
    <w:rsid w:val="48473149"/>
    <w:rsid w:val="486249B4"/>
    <w:rsid w:val="48B00D40"/>
    <w:rsid w:val="490F33CB"/>
    <w:rsid w:val="491B613B"/>
    <w:rsid w:val="494968BD"/>
    <w:rsid w:val="495834A6"/>
    <w:rsid w:val="49EA3E58"/>
    <w:rsid w:val="4AC33DC2"/>
    <w:rsid w:val="4B903AC1"/>
    <w:rsid w:val="4CBC123F"/>
    <w:rsid w:val="4D54425F"/>
    <w:rsid w:val="4D630C42"/>
    <w:rsid w:val="4D701EB8"/>
    <w:rsid w:val="4D715BA7"/>
    <w:rsid w:val="4D8543C5"/>
    <w:rsid w:val="4D9E13E4"/>
    <w:rsid w:val="4D9E481E"/>
    <w:rsid w:val="4EBF14F8"/>
    <w:rsid w:val="4EE812D0"/>
    <w:rsid w:val="4F5D2860"/>
    <w:rsid w:val="4F894099"/>
    <w:rsid w:val="4FAC00E9"/>
    <w:rsid w:val="4FC875FE"/>
    <w:rsid w:val="50EE5DF8"/>
    <w:rsid w:val="51112598"/>
    <w:rsid w:val="51504D5E"/>
    <w:rsid w:val="51E01616"/>
    <w:rsid w:val="51E13CB1"/>
    <w:rsid w:val="52C21C06"/>
    <w:rsid w:val="52D64303"/>
    <w:rsid w:val="52E26857"/>
    <w:rsid w:val="532106BB"/>
    <w:rsid w:val="53B812A8"/>
    <w:rsid w:val="53DD32CE"/>
    <w:rsid w:val="54C50131"/>
    <w:rsid w:val="55265686"/>
    <w:rsid w:val="55AF0AB0"/>
    <w:rsid w:val="55F23B9E"/>
    <w:rsid w:val="565930A7"/>
    <w:rsid w:val="56857D40"/>
    <w:rsid w:val="56DA75BC"/>
    <w:rsid w:val="5707547A"/>
    <w:rsid w:val="571D4476"/>
    <w:rsid w:val="57D337D9"/>
    <w:rsid w:val="57EC5037"/>
    <w:rsid w:val="584533A3"/>
    <w:rsid w:val="58525046"/>
    <w:rsid w:val="58711B6E"/>
    <w:rsid w:val="5961049A"/>
    <w:rsid w:val="59A6630F"/>
    <w:rsid w:val="59AD6BD6"/>
    <w:rsid w:val="59E23F1B"/>
    <w:rsid w:val="5A3B1DE6"/>
    <w:rsid w:val="5A5D00F1"/>
    <w:rsid w:val="5AC2716C"/>
    <w:rsid w:val="5AD80016"/>
    <w:rsid w:val="5B071A39"/>
    <w:rsid w:val="5B307ABF"/>
    <w:rsid w:val="5B503B11"/>
    <w:rsid w:val="5B9032A3"/>
    <w:rsid w:val="5BD3501A"/>
    <w:rsid w:val="5C9C16D8"/>
    <w:rsid w:val="5CBC364E"/>
    <w:rsid w:val="5CBE0578"/>
    <w:rsid w:val="5DCD72AB"/>
    <w:rsid w:val="5E124F03"/>
    <w:rsid w:val="5E1B4A56"/>
    <w:rsid w:val="5E393FBF"/>
    <w:rsid w:val="5E8F39A9"/>
    <w:rsid w:val="5EDF1716"/>
    <w:rsid w:val="5EF73675"/>
    <w:rsid w:val="5F657A71"/>
    <w:rsid w:val="5F68209F"/>
    <w:rsid w:val="5FDD13A6"/>
    <w:rsid w:val="60253286"/>
    <w:rsid w:val="60306AE5"/>
    <w:rsid w:val="60A17B38"/>
    <w:rsid w:val="60CD5A70"/>
    <w:rsid w:val="60F11A9E"/>
    <w:rsid w:val="614117CF"/>
    <w:rsid w:val="621E4B15"/>
    <w:rsid w:val="627B220F"/>
    <w:rsid w:val="62CF3CCD"/>
    <w:rsid w:val="63005EA6"/>
    <w:rsid w:val="63C168B2"/>
    <w:rsid w:val="644D5E2F"/>
    <w:rsid w:val="64994383"/>
    <w:rsid w:val="64D73E41"/>
    <w:rsid w:val="656E2E3C"/>
    <w:rsid w:val="65B22CFA"/>
    <w:rsid w:val="65DD4978"/>
    <w:rsid w:val="660606B4"/>
    <w:rsid w:val="666D166A"/>
    <w:rsid w:val="676414E9"/>
    <w:rsid w:val="681351AA"/>
    <w:rsid w:val="69545B6D"/>
    <w:rsid w:val="6A443A79"/>
    <w:rsid w:val="6A7833AB"/>
    <w:rsid w:val="6ACF48E4"/>
    <w:rsid w:val="6AF36CDB"/>
    <w:rsid w:val="6B655BC7"/>
    <w:rsid w:val="6BDE57A1"/>
    <w:rsid w:val="6BF9611F"/>
    <w:rsid w:val="6C3E0B26"/>
    <w:rsid w:val="6C8853C9"/>
    <w:rsid w:val="6D333B23"/>
    <w:rsid w:val="6DEC5AFB"/>
    <w:rsid w:val="6E113C94"/>
    <w:rsid w:val="6E855744"/>
    <w:rsid w:val="6EC66318"/>
    <w:rsid w:val="6ED8782B"/>
    <w:rsid w:val="6F656CEC"/>
    <w:rsid w:val="6F7A13A5"/>
    <w:rsid w:val="6FBE0C37"/>
    <w:rsid w:val="70186803"/>
    <w:rsid w:val="71035D34"/>
    <w:rsid w:val="7111742D"/>
    <w:rsid w:val="7125198D"/>
    <w:rsid w:val="7213715B"/>
    <w:rsid w:val="725D5411"/>
    <w:rsid w:val="72A77766"/>
    <w:rsid w:val="72AC3092"/>
    <w:rsid w:val="72AF761D"/>
    <w:rsid w:val="72D67104"/>
    <w:rsid w:val="734463A5"/>
    <w:rsid w:val="73E17B29"/>
    <w:rsid w:val="74286917"/>
    <w:rsid w:val="743270CA"/>
    <w:rsid w:val="7476258E"/>
    <w:rsid w:val="74F212DE"/>
    <w:rsid w:val="770C68CF"/>
    <w:rsid w:val="772B59CA"/>
    <w:rsid w:val="776A20C8"/>
    <w:rsid w:val="779F7108"/>
    <w:rsid w:val="77A37FF2"/>
    <w:rsid w:val="780106CF"/>
    <w:rsid w:val="782162EC"/>
    <w:rsid w:val="78F53CDE"/>
    <w:rsid w:val="791E36B2"/>
    <w:rsid w:val="799D27CA"/>
    <w:rsid w:val="7A286226"/>
    <w:rsid w:val="7AE0078F"/>
    <w:rsid w:val="7B7369C5"/>
    <w:rsid w:val="7C0978DF"/>
    <w:rsid w:val="7C2150C9"/>
    <w:rsid w:val="7D272E65"/>
    <w:rsid w:val="7D5214AC"/>
    <w:rsid w:val="7D57557F"/>
    <w:rsid w:val="7D7A08D3"/>
    <w:rsid w:val="7DC822B2"/>
    <w:rsid w:val="7EC72F31"/>
    <w:rsid w:val="7F9100C3"/>
    <w:rsid w:val="7FA37F21"/>
    <w:rsid w:val="7FB702A2"/>
    <w:rsid w:val="7FC33C7F"/>
    <w:rsid w:val="7FD37FF9"/>
    <w:rsid w:val="7FE505C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qFormat="1"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paragraph" w:styleId="2">
    <w:name w:val="heading 1"/>
    <w:basedOn w:val="3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jc w:val="center"/>
      <w:outlineLvl w:val="0"/>
    </w:pPr>
    <w:rPr>
      <w:rFonts w:ascii="Arial" w:hAnsi="Arial" w:eastAsia="宋体"/>
      <w:b/>
      <w:kern w:val="44"/>
      <w:sz w:val="44"/>
    </w:rPr>
  </w:style>
  <w:style w:type="paragraph" w:styleId="6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jc w:val="left"/>
      <w:outlineLvl w:val="1"/>
    </w:pPr>
    <w:rPr>
      <w:rFonts w:ascii="Arial" w:hAnsi="Arial" w:eastAsia="宋体"/>
      <w:b/>
      <w:sz w:val="30"/>
    </w:rPr>
  </w:style>
  <w:style w:type="paragraph" w:styleId="7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paragraph" w:styleId="8">
    <w:name w:val="heading 4"/>
    <w:basedOn w:val="1"/>
    <w:next w:val="1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9">
    <w:name w:val="Default Paragraph Font"/>
    <w:semiHidden/>
    <w:qFormat/>
    <w:uiPriority w:val="0"/>
  </w:style>
  <w:style w:type="table" w:default="1" w:styleId="1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一级条标题"/>
    <w:basedOn w:val="4"/>
    <w:next w:val="1"/>
    <w:qFormat/>
    <w:uiPriority w:val="99"/>
    <w:pPr>
      <w:widowControl/>
      <w:ind w:left="420"/>
      <w:outlineLvl w:val="2"/>
    </w:pPr>
    <w:rPr>
      <w:rFonts w:ascii="黑体" w:eastAsia="黑体" w:cs="黑体"/>
    </w:rPr>
  </w:style>
  <w:style w:type="paragraph" w:customStyle="1" w:styleId="4">
    <w:name w:val="章标题"/>
    <w:next w:val="5"/>
    <w:qFormat/>
    <w:uiPriority w:val="0"/>
    <w:pPr>
      <w:spacing w:beforeLines="50" w:afterLines="50"/>
      <w:jc w:val="both"/>
      <w:outlineLvl w:val="1"/>
    </w:pPr>
    <w:rPr>
      <w:rFonts w:ascii="黑体" w:hAnsi="Times New Roman" w:eastAsia="黑体" w:cs="Times New Roman"/>
      <w:kern w:val="2"/>
      <w:sz w:val="21"/>
      <w:szCs w:val="22"/>
      <w:lang w:val="en-US" w:eastAsia="zh-CN" w:bidi="ar-SA"/>
    </w:rPr>
  </w:style>
  <w:style w:type="paragraph" w:customStyle="1" w:styleId="5">
    <w:name w:val="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9">
    <w:name w:val="Normal Indent"/>
    <w:basedOn w:val="1"/>
    <w:qFormat/>
    <w:uiPriority w:val="0"/>
    <w:pPr>
      <w:ind w:firstLine="420"/>
    </w:pPr>
  </w:style>
  <w:style w:type="paragraph" w:styleId="10">
    <w:name w:val="annotation text"/>
    <w:basedOn w:val="1"/>
    <w:qFormat/>
    <w:uiPriority w:val="0"/>
    <w:pPr>
      <w:jc w:val="left"/>
    </w:pPr>
  </w:style>
  <w:style w:type="paragraph" w:styleId="11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12">
    <w:name w:val="toc 3"/>
    <w:basedOn w:val="1"/>
    <w:next w:val="1"/>
    <w:qFormat/>
    <w:uiPriority w:val="0"/>
    <w:pPr>
      <w:ind w:left="840" w:leftChars="400"/>
    </w:pPr>
  </w:style>
  <w:style w:type="paragraph" w:styleId="1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5">
    <w:name w:val="toc 1"/>
    <w:basedOn w:val="1"/>
    <w:next w:val="1"/>
    <w:qFormat/>
    <w:uiPriority w:val="0"/>
  </w:style>
  <w:style w:type="paragraph" w:styleId="16">
    <w:name w:val="footnote text"/>
    <w:basedOn w:val="1"/>
    <w:qFormat/>
    <w:uiPriority w:val="0"/>
    <w:pPr>
      <w:snapToGrid w:val="0"/>
      <w:spacing w:line="360" w:lineRule="auto"/>
      <w:jc w:val="left"/>
    </w:pPr>
    <w:rPr>
      <w:rFonts w:ascii="宋体" w:hAnsi="宋体" w:eastAsia="宋体" w:cs="宋体"/>
      <w:sz w:val="18"/>
      <w:szCs w:val="18"/>
    </w:rPr>
  </w:style>
  <w:style w:type="paragraph" w:styleId="17">
    <w:name w:val="toc 2"/>
    <w:basedOn w:val="1"/>
    <w:next w:val="1"/>
    <w:qFormat/>
    <w:uiPriority w:val="0"/>
    <w:pPr>
      <w:tabs>
        <w:tab w:val="right" w:leader="dot" w:pos="9345"/>
      </w:tabs>
      <w:ind w:left="200"/>
    </w:pPr>
    <w:rPr>
      <w:rFonts w:ascii="宋体" w:hAnsi="宋体"/>
      <w:smallCaps/>
      <w:sz w:val="24"/>
      <w:szCs w:val="44"/>
    </w:rPr>
  </w:style>
  <w:style w:type="character" w:styleId="20">
    <w:name w:val="Hyperlink"/>
    <w:qFormat/>
    <w:uiPriority w:val="99"/>
    <w:rPr>
      <w:color w:val="0000FF"/>
      <w:u w:val="single"/>
    </w:rPr>
  </w:style>
  <w:style w:type="character" w:styleId="21">
    <w:name w:val="footnote reference"/>
    <w:basedOn w:val="19"/>
    <w:qFormat/>
    <w:uiPriority w:val="0"/>
    <w:rPr>
      <w:vertAlign w:val="superscript"/>
    </w:rPr>
  </w:style>
  <w:style w:type="paragraph" w:customStyle="1" w:styleId="22">
    <w:name w:val="引言二级条标题"/>
    <w:basedOn w:val="23"/>
    <w:next w:val="5"/>
    <w:qFormat/>
    <w:uiPriority w:val="0"/>
    <w:pPr>
      <w:tabs>
        <w:tab w:val="left" w:pos="360"/>
        <w:tab w:val="left" w:pos="1200"/>
        <w:tab w:val="left" w:pos="1320"/>
      </w:tabs>
      <w:ind w:left="0" w:firstLine="0"/>
    </w:pPr>
    <w:rPr>
      <w:rFonts w:hint="default" w:ascii="Times New Roman" w:hAnsi="Times New Roman" w:eastAsia="黑体" w:cs="Times New Roman"/>
      <w:kern w:val="2"/>
      <w:sz w:val="21"/>
      <w:szCs w:val="20"/>
      <w:lang w:val="en-US" w:eastAsia="zh-CN" w:bidi="ar"/>
    </w:rPr>
  </w:style>
  <w:style w:type="paragraph" w:customStyle="1" w:styleId="23">
    <w:name w:val="引言一级条标题"/>
    <w:basedOn w:val="1"/>
    <w:next w:val="5"/>
    <w:qFormat/>
    <w:uiPriority w:val="0"/>
    <w:pPr>
      <w:widowControl/>
      <w:numPr>
        <w:ilvl w:val="0"/>
        <w:numId w:val="1"/>
      </w:numPr>
    </w:pPr>
    <w:rPr>
      <w:rFonts w:eastAsia="黑体"/>
      <w:b/>
    </w:rPr>
  </w:style>
  <w:style w:type="table" w:customStyle="1" w:styleId="2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5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paragraph" w:styleId="26">
    <w:name w:val="List Paragraph"/>
    <w:basedOn w:val="1"/>
    <w:qFormat/>
    <w:uiPriority w:val="34"/>
    <w:pPr>
      <w:ind w:firstLine="420" w:firstLineChars="200"/>
    </w:pPr>
    <w:rPr>
      <w:rFonts w:ascii="Calibri" w:hAnsi="Calibri"/>
      <w:szCs w:val="22"/>
    </w:rPr>
  </w:style>
  <w:style w:type="paragraph" w:customStyle="1" w:styleId="27">
    <w:name w:val="p0"/>
    <w:basedOn w:val="1"/>
    <w:qFormat/>
    <w:uiPriority w:val="0"/>
    <w:pPr>
      <w:spacing w:before="624" w:beforeLines="200"/>
      <w:jc w:val="both"/>
    </w:pPr>
    <w:rPr>
      <w:sz w:val="21"/>
    </w:rPr>
  </w:style>
  <w:style w:type="paragraph" w:customStyle="1" w:styleId="28">
    <w:name w:val="样式2"/>
    <w:basedOn w:val="1"/>
    <w:qFormat/>
    <w:uiPriority w:val="0"/>
    <w:pPr>
      <w:widowControl w:val="0"/>
      <w:tabs>
        <w:tab w:val="left" w:pos="0"/>
      </w:tabs>
      <w:spacing w:line="360" w:lineRule="auto"/>
      <w:outlineLvl w:val="1"/>
    </w:pPr>
    <w:rPr>
      <w:rFonts w:ascii="宋体" w:hAnsi="宋体"/>
      <w:b/>
      <w:kern w:val="2"/>
      <w:sz w:val="21"/>
      <w:szCs w:val="21"/>
      <w:lang w:bidi="ar-SA"/>
    </w:rPr>
  </w:style>
  <w:style w:type="character" w:customStyle="1" w:styleId="29">
    <w:name w:val="NormalCharacter"/>
    <w:qFormat/>
    <w:uiPriority w:val="0"/>
    <w:rPr>
      <w:rFonts w:ascii="Calibri" w:hAnsi="Calibri" w:eastAsia="宋体" w:cs="Times New Roman"/>
    </w:rPr>
  </w:style>
  <w:style w:type="paragraph" w:customStyle="1" w:styleId="30">
    <w:name w:val="正文文本 (2)1"/>
    <w:basedOn w:val="1"/>
    <w:qFormat/>
    <w:uiPriority w:val="0"/>
    <w:pPr>
      <w:widowControl w:val="0"/>
      <w:shd w:val="clear" w:color="auto" w:fill="FFFFFF"/>
      <w:spacing w:before="300" w:beforeLines="0" w:line="439" w:lineRule="exact"/>
      <w:jc w:val="distribute"/>
    </w:pPr>
    <w:rPr>
      <w:rFonts w:ascii="MingLiU" w:hAnsi="Times New Roman" w:eastAsia="MingLiU" w:cs="MingLiU"/>
      <w:spacing w:val="20"/>
      <w:sz w:val="22"/>
      <w:szCs w:val="22"/>
      <w:shd w:val="clear" w:color="auto" w:fill="FFFF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3069</Words>
  <Characters>3567</Characters>
  <TotalTime>42</TotalTime>
  <ScaleCrop>false</ScaleCrop>
  <LinksUpToDate>false</LinksUpToDate>
  <CharactersWithSpaces>3725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2023-11-24T10:01:00Z</dcterms:created>
  <dc:creator>李卫华</dc:creator>
  <cp:lastModifiedBy>A.Mr.余</cp:lastModifiedBy>
  <cp:lastPrinted>2026-04-17T02:41:00Z</cp:lastPrinted>
  <dcterms:modified xsi:type="dcterms:W3CDTF">2026-05-08T06:41:32Z</dcterms:modified>
  <dc:title>关于广佛公司2020-2021年度财产保险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2023-11-24T10:36:15Z</vt:filetime>
  </property>
  <property fmtid="{D5CDD505-2E9C-101B-9397-08002B2CF9AE}" pid="4" name="KSOProductBuildVer">
    <vt:lpwstr>2052-12.1.0.25865</vt:lpwstr>
  </property>
  <property fmtid="{D5CDD505-2E9C-101B-9397-08002B2CF9AE}" pid="5" name="ICV">
    <vt:lpwstr>729E9D453D60405EA92D07F069BD4513</vt:lpwstr>
  </property>
  <property fmtid="{D5CDD505-2E9C-101B-9397-08002B2CF9AE}" pid="6" name="KSOTemplateDocerSaveRecord">
    <vt:lpwstr>eyJoZGlkIjoiNzA4MWY0NTE5ZWRhOWE3NzkyMTE3ZmM1Y2IwYjE1MWMiLCJ1c2VySWQiOiI3NzUxMTQ1NTAifQ==</vt:lpwstr>
  </property>
</Properties>
</file>