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013FAB">
      <w:pPr>
        <w:spacing w:line="360" w:lineRule="auto"/>
        <w:jc w:val="center"/>
        <w:rPr>
          <w:rFonts w:hint="eastAsia" w:ascii="宋体" w:hAnsi="宋体" w:eastAsia="宋体" w:cs="宋体"/>
          <w:b/>
          <w:bCs w:val="0"/>
          <w:color w:val="auto"/>
          <w:sz w:val="24"/>
          <w:szCs w:val="24"/>
        </w:rPr>
      </w:pPr>
      <w:bookmarkStart w:id="0" w:name="_Toc372104515"/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</w:rPr>
        <w:t>关于</w:t>
      </w:r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  <w:lang w:eastAsia="zh-CN"/>
        </w:rPr>
        <w:t>电子电器产品检测设备采购项目</w:t>
      </w:r>
      <w:r>
        <w:rPr>
          <w:rFonts w:hint="eastAsia" w:ascii="宋体" w:hAnsi="宋体" w:eastAsia="宋体" w:cs="宋体"/>
          <w:b/>
          <w:bCs w:val="0"/>
          <w:color w:val="auto"/>
          <w:sz w:val="24"/>
          <w:szCs w:val="24"/>
        </w:rPr>
        <w:t>澄清通知</w:t>
      </w:r>
    </w:p>
    <w:p w14:paraId="27C53136">
      <w:pPr>
        <w:pStyle w:val="2"/>
        <w:spacing w:line="360" w:lineRule="auto"/>
        <w:ind w:firstLine="480"/>
        <w:jc w:val="left"/>
        <w:outlineLvl w:val="1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公诚管理咨询有限公司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2026年04月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13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日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在诚E招电子采购交易平台（https://www.chengezhao.com）上发布的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电子电器产品检测设备采购项目（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编号：ZB-15-04A-2026-D-F-E06957）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公开招标公告，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现就招标文件部分内容进行澄清：</w:t>
      </w:r>
    </w:p>
    <w:bookmarkEnd w:id="0"/>
    <w:p w14:paraId="2610C7D0">
      <w:pPr>
        <w:numPr>
          <w:ilvl w:val="0"/>
          <w:numId w:val="0"/>
        </w:numPr>
        <w:spacing w:line="360" w:lineRule="auto"/>
        <w:ind w:firstLine="420" w:firstLineChars="0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</w:rPr>
      </w:pP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lang w:val="en-US" w:eastAsia="zh-CN"/>
        </w:rPr>
        <w:t>原内容：</w:t>
      </w:r>
    </w:p>
    <w:p w14:paraId="1EBEA9F0">
      <w:pPr>
        <w:spacing w:line="360" w:lineRule="auto"/>
        <w:ind w:firstLine="420" w:firstLineChars="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采购包1：电子电器产品检测设备采购（一）</w:t>
      </w:r>
    </w:p>
    <w:p w14:paraId="414C66B0">
      <w:pPr>
        <w:spacing w:line="360" w:lineRule="auto"/>
        <w:ind w:firstLine="420" w:firstLineChars="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（一）防水试验机</w:t>
      </w:r>
    </w:p>
    <w:p w14:paraId="6918EB93">
      <w:pPr>
        <w:spacing w:line="360" w:lineRule="auto"/>
        <w:ind w:firstLine="420" w:firstLineChars="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5.1.1测量参数要求</w:t>
      </w:r>
    </w:p>
    <w:p w14:paraId="72422037">
      <w:pPr>
        <w:spacing w:line="360" w:lineRule="auto"/>
        <w:ind w:firstLine="420" w:firstLineChars="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e)水流量：10+0.5mm/min(IPX1)、30+0.5mm/min(IPX2),数字控制，用户可自行设定；</w:t>
      </w:r>
    </w:p>
    <w:p w14:paraId="1CF896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</w:rPr>
        <w:t>现修改为：</w:t>
      </w:r>
    </w:p>
    <w:p w14:paraId="480D0413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left="0" w:leftChars="0" w:firstLine="420" w:firstLineChars="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e)水流量：</w:t>
      </w:r>
      <m:oMath>
        <m:sSubSup>
          <m:sSubSupPr>
            <m:ctrlPr>
              <w:rPr>
                <w:rFonts w:hint="default" w:ascii="Cambria Math" w:hAnsi="Cambria Math" w:eastAsia="仿宋"/>
              </w:rPr>
            </m:ctrlPr>
          </m:sSubSupPr>
          <m:e>
            <m:r>
              <m:rPr/>
              <w:rPr>
                <w:rFonts w:hint="default" w:ascii="Cambria Math" w:hAnsi="Cambria Math" w:eastAsia="仿宋"/>
              </w:rPr>
              <m:t>1</m:t>
            </m:r>
            <m:ctrlPr>
              <w:rPr>
                <w:rFonts w:hint="default" w:ascii="Cambria Math" w:hAnsi="Cambria Math" w:eastAsia="仿宋"/>
              </w:rPr>
            </m:ctrlPr>
          </m:e>
          <m:sub>
            <m:r>
              <m:rPr/>
              <w:rPr>
                <w:rFonts w:hint="default" w:ascii="Cambria Math" w:hAnsi="Cambria Math" w:eastAsia="仿宋"/>
                <w:lang w:val="en-US" w:eastAsia="zh-CN"/>
              </w:rPr>
              <m:t xml:space="preserve">   </m:t>
            </m:r>
            <m:r>
              <m:rPr/>
              <w:rPr>
                <w:rFonts w:hint="default" w:ascii="Cambria Math" w:hAnsi="Cambria Math" w:eastAsia="仿宋"/>
              </w:rPr>
              <m:t>0</m:t>
            </m:r>
            <m:ctrlPr>
              <w:rPr>
                <w:rFonts w:hint="default" w:ascii="Cambria Math" w:hAnsi="Cambria Math" w:eastAsia="仿宋"/>
              </w:rPr>
            </m:ctrlPr>
          </m:sub>
          <m:sup>
            <m:r>
              <m:rPr/>
              <w:rPr>
                <w:rFonts w:hint="default" w:ascii="Cambria Math" w:hAnsi="Cambria Math" w:eastAsia="仿宋"/>
              </w:rPr>
              <m:t>+</m:t>
            </m:r>
            <m:r>
              <m:rPr>
                <m:sty m:val="p"/>
              </m:rPr>
              <w:rPr>
                <w:rFonts w:hint="default" w:ascii="Cambria Math" w:hAnsi="Cambria Math" w:eastAsia="仿宋"/>
              </w:rPr>
              <m:t>0.5</m:t>
            </m:r>
            <m:ctrlPr>
              <w:rPr>
                <w:rFonts w:hint="default" w:ascii="Cambria Math" w:hAnsi="Cambria Math" w:eastAsia="仿宋"/>
              </w:rPr>
            </m:ctrlPr>
          </m:sup>
        </m:sSubSup>
      </m:oMath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mm/min(IPX1)、</w:t>
      </w:r>
      <m:oMath>
        <m:sSubSup>
          <m:sSubSupPr>
            <m:ctrlPr>
              <w:rPr>
                <w:rFonts w:hint="default" w:ascii="Cambria Math" w:hAnsi="Cambria Math" w:eastAsia="仿宋"/>
              </w:rPr>
            </m:ctrlPr>
          </m:sSubSupPr>
          <m:e>
            <m:r>
              <m:rPr/>
              <w:rPr>
                <w:rFonts w:hint="default" w:ascii="Cambria Math" w:hAnsi="Cambria Math" w:eastAsia="仿宋"/>
              </w:rPr>
              <m:t>3</m:t>
            </m:r>
            <m:ctrlPr>
              <w:rPr>
                <w:rFonts w:hint="default" w:ascii="Cambria Math" w:hAnsi="Cambria Math" w:eastAsia="仿宋"/>
              </w:rPr>
            </m:ctrlPr>
          </m:e>
          <m:sub>
            <m:r>
              <m:rPr/>
              <w:rPr>
                <w:rFonts w:hint="default" w:ascii="Cambria Math" w:hAnsi="Cambria Math" w:eastAsia="仿宋"/>
                <w:lang w:val="en-US" w:eastAsia="zh-CN"/>
              </w:rPr>
              <m:t xml:space="preserve">    </m:t>
            </m:r>
            <m:r>
              <m:rPr/>
              <w:rPr>
                <w:rFonts w:hint="default" w:ascii="Cambria Math" w:hAnsi="Cambria Math" w:eastAsia="仿宋"/>
              </w:rPr>
              <m:t>0</m:t>
            </m:r>
            <m:ctrlPr>
              <w:rPr>
                <w:rFonts w:hint="default" w:ascii="Cambria Math" w:hAnsi="Cambria Math" w:eastAsia="仿宋"/>
              </w:rPr>
            </m:ctrlPr>
          </m:sub>
          <m:sup>
            <m:r>
              <m:rPr/>
              <w:rPr>
                <w:rFonts w:hint="default" w:ascii="Cambria Math" w:hAnsi="Cambria Math" w:eastAsia="仿宋"/>
              </w:rPr>
              <m:t>+</m:t>
            </m:r>
            <m:r>
              <m:rPr>
                <m:sty m:val="p"/>
              </m:rPr>
              <w:rPr>
                <w:rFonts w:hint="default" w:ascii="Cambria Math" w:hAnsi="Cambria Math" w:eastAsia="仿宋"/>
              </w:rPr>
              <m:t>0.5</m:t>
            </m:r>
            <m:ctrlPr>
              <w:rPr>
                <w:rFonts w:hint="default" w:ascii="Cambria Math" w:hAnsi="Cambria Math" w:eastAsia="仿宋"/>
              </w:rPr>
            </m:ctrlPr>
          </m:sup>
        </m:sSubSup>
      </m:oMath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mm/min(IPX2),数字控制，用户可自行设定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；</w:t>
      </w:r>
    </w:p>
    <w:p w14:paraId="02173DCE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招标公告及招标文件若与澄清通知有冲突，以本澄清通知为准，其他内容不变。</w:t>
      </w:r>
    </w:p>
    <w:p w14:paraId="3CD6B419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代理机构联系人：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李启智</w:t>
      </w:r>
    </w:p>
    <w:p w14:paraId="4D101C86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代理机构地址：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shd w:val="clear" w:color="auto" w:fill="FFFFFF"/>
        </w:rPr>
        <w:t>广州市天河区员村街道春融三路7号南方财经大厦32楼</w:t>
      </w:r>
    </w:p>
    <w:p w14:paraId="350605EE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电话：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18143437249</w:t>
      </w:r>
      <w:r>
        <w:rPr>
          <w:rFonts w:hint="eastAsia" w:ascii="宋体" w:hAnsi="宋体" w:eastAsia="宋体" w:cs="宋体"/>
          <w:color w:val="auto"/>
          <w:sz w:val="24"/>
          <w:szCs w:val="24"/>
        </w:rPr>
        <w:t xml:space="preserve"> </w:t>
      </w:r>
    </w:p>
    <w:p w14:paraId="47DDD29E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Email：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liqz@gcbidding.com</w:t>
      </w:r>
    </w:p>
    <w:p w14:paraId="5FBF59CC">
      <w:pPr>
        <w:spacing w:line="360" w:lineRule="auto"/>
        <w:jc w:val="righ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公诚管理咨询有限公司</w:t>
      </w:r>
    </w:p>
    <w:p w14:paraId="7858136B">
      <w:pPr>
        <w:wordWrap w:val="0"/>
        <w:spacing w:line="360" w:lineRule="auto"/>
        <w:jc w:val="right"/>
        <w:rPr>
          <w:rFonts w:hint="eastAsia" w:ascii="宋体" w:hAnsi="宋体" w:eastAsia="宋体"/>
          <w:color w:val="auto"/>
          <w:sz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2026年04月</w:t>
      </w:r>
      <w:r>
        <w:rPr>
          <w:rFonts w:hint="eastAsia" w:ascii="宋体" w:hAnsi="宋体" w:cs="宋体"/>
          <w:color w:val="auto"/>
          <w:sz w:val="24"/>
          <w:szCs w:val="24"/>
          <w:lang w:val="en-US" w:eastAsia="zh-CN"/>
        </w:rPr>
        <w:t>27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日</w:t>
      </w:r>
    </w:p>
    <w:p w14:paraId="299A1B6F">
      <w:pPr>
        <w:pBdr>
          <w:bottom w:val="single" w:color="auto" w:sz="6" w:space="1"/>
        </w:pBdr>
        <w:spacing w:line="360" w:lineRule="auto"/>
        <w:jc w:val="both"/>
        <w:rPr>
          <w:rFonts w:hint="eastAsia" w:ascii="宋体" w:hAnsi="宋体"/>
          <w:color w:val="auto"/>
          <w:sz w:val="24"/>
        </w:rPr>
      </w:pPr>
    </w:p>
    <w:p w14:paraId="6E40109B">
      <w:pPr>
        <w:widowControl/>
        <w:spacing w:line="240" w:lineRule="auto"/>
        <w:ind w:left="569" w:hanging="569" w:hangingChars="236"/>
        <w:jc w:val="center"/>
        <w:rPr>
          <w:rFonts w:hint="eastAsia"/>
          <w:b/>
          <w:color w:val="auto"/>
          <w:sz w:val="24"/>
        </w:rPr>
      </w:pPr>
      <w:r>
        <w:rPr>
          <w:rFonts w:hint="eastAsia"/>
          <w:b/>
          <w:color w:val="auto"/>
          <w:sz w:val="24"/>
        </w:rPr>
        <w:t>回  执</w:t>
      </w:r>
    </w:p>
    <w:p w14:paraId="0CEA7D99">
      <w:pPr>
        <w:widowControl/>
        <w:spacing w:line="240" w:lineRule="auto"/>
        <w:ind w:left="1" w:firstLine="540" w:firstLineChars="225"/>
        <w:jc w:val="left"/>
        <w:rPr>
          <w:rFonts w:hint="eastAsia"/>
          <w:color w:val="auto"/>
          <w:sz w:val="24"/>
        </w:rPr>
      </w:pPr>
      <w:r>
        <w:rPr>
          <w:rFonts w:hint="eastAsia"/>
          <w:color w:val="auto"/>
          <w:sz w:val="24"/>
        </w:rPr>
        <w:t>我单位已获得</w:t>
      </w:r>
      <w:r>
        <w:rPr>
          <w:rFonts w:hint="eastAsia" w:ascii="宋体" w:hAnsi="宋体"/>
          <w:color w:val="auto"/>
          <w:sz w:val="24"/>
        </w:rPr>
        <w:t>关于</w:t>
      </w:r>
      <w:r>
        <w:rPr>
          <w:rFonts w:hint="eastAsia" w:ascii="宋体" w:hAnsi="宋体"/>
          <w:color w:val="auto"/>
          <w:sz w:val="24"/>
          <w:lang w:eastAsia="zh-CN"/>
        </w:rPr>
        <w:t>电子电器产品检测设备采购项目</w:t>
      </w:r>
      <w:r>
        <w:rPr>
          <w:rFonts w:hint="eastAsia" w:ascii="宋体" w:hAnsi="宋体"/>
          <w:color w:val="auto"/>
          <w:sz w:val="24"/>
        </w:rPr>
        <w:t>（</w:t>
      </w:r>
      <w:r>
        <w:rPr>
          <w:rFonts w:hint="eastAsia" w:ascii="宋体" w:hAnsi="宋体"/>
          <w:color w:val="auto"/>
          <w:sz w:val="24"/>
          <w:lang w:val="en-US" w:eastAsia="zh-CN"/>
        </w:rPr>
        <w:t>项目</w:t>
      </w:r>
      <w:r>
        <w:rPr>
          <w:rFonts w:hint="eastAsia" w:ascii="宋体" w:hAnsi="宋体"/>
          <w:color w:val="auto"/>
          <w:sz w:val="24"/>
        </w:rPr>
        <w:t>编号：</w:t>
      </w:r>
      <w:bookmarkStart w:id="1" w:name="_GoBack"/>
      <w:bookmarkEnd w:id="1"/>
      <w:r>
        <w:rPr>
          <w:rFonts w:hint="eastAsia" w:ascii="宋体" w:hAnsi="宋体"/>
          <w:color w:val="auto"/>
          <w:sz w:val="24"/>
          <w:lang w:eastAsia="zh-CN"/>
        </w:rPr>
        <w:t>ZB-15-04A-2026-D-F-E06957</w:t>
      </w:r>
      <w:r>
        <w:rPr>
          <w:rFonts w:hint="eastAsia" w:ascii="宋体" w:hAnsi="宋体"/>
          <w:color w:val="auto"/>
          <w:sz w:val="24"/>
        </w:rPr>
        <w:t>）</w:t>
      </w:r>
      <w:r>
        <w:rPr>
          <w:rFonts w:hint="eastAsia"/>
          <w:color w:val="auto"/>
          <w:sz w:val="24"/>
        </w:rPr>
        <w:t>澄清通知。</w:t>
      </w:r>
    </w:p>
    <w:p w14:paraId="62F3AAAB">
      <w:pPr>
        <w:widowControl/>
        <w:spacing w:line="240" w:lineRule="auto"/>
        <w:ind w:left="1" w:firstLine="472" w:firstLineChars="225"/>
        <w:jc w:val="left"/>
        <w:rPr>
          <w:rFonts w:hint="eastAsia"/>
          <w:color w:val="auto"/>
          <w:sz w:val="24"/>
        </w:rPr>
      </w:pPr>
      <w:r>
        <w:rPr>
          <w:rFonts w:hint="eastAsia" w:ascii="宋体" w:hAnsi="宋体"/>
          <w:color w:val="auto"/>
          <w:szCs w:val="21"/>
        </w:rPr>
        <w:t>□</w:t>
      </w:r>
      <w:r>
        <w:rPr>
          <w:rFonts w:hint="eastAsia"/>
          <w:color w:val="auto"/>
          <w:sz w:val="24"/>
        </w:rPr>
        <w:t>本澄清通知不影响投标文件编制，投标文件递交的截止时间可以不变。</w:t>
      </w:r>
    </w:p>
    <w:p w14:paraId="077A670F">
      <w:pPr>
        <w:widowControl/>
        <w:spacing w:line="240" w:lineRule="auto"/>
        <w:ind w:left="1" w:firstLine="472" w:firstLineChars="225"/>
        <w:jc w:val="left"/>
        <w:rPr>
          <w:rFonts w:hint="eastAsia"/>
          <w:color w:val="auto"/>
          <w:sz w:val="24"/>
        </w:rPr>
      </w:pPr>
      <w:r>
        <w:rPr>
          <w:rFonts w:hint="eastAsia" w:ascii="宋体" w:hAnsi="宋体"/>
          <w:color w:val="auto"/>
          <w:szCs w:val="21"/>
        </w:rPr>
        <w:t>□</w:t>
      </w:r>
      <w:r>
        <w:rPr>
          <w:rFonts w:hint="eastAsia"/>
          <w:color w:val="auto"/>
          <w:sz w:val="24"/>
        </w:rPr>
        <w:t>本澄清通知影响投标文件编制，投标文件递交的截止时间建议延期。</w:t>
      </w:r>
    </w:p>
    <w:p w14:paraId="0ED3A2BE">
      <w:pPr>
        <w:widowControl/>
        <w:spacing w:line="240" w:lineRule="auto"/>
        <w:ind w:left="1" w:firstLine="540" w:firstLineChars="225"/>
        <w:jc w:val="left"/>
        <w:rPr>
          <w:rFonts w:hint="eastAsia"/>
          <w:color w:val="auto"/>
          <w:sz w:val="24"/>
        </w:rPr>
      </w:pPr>
    </w:p>
    <w:p w14:paraId="7A9878EC">
      <w:pPr>
        <w:widowControl/>
        <w:spacing w:line="240" w:lineRule="auto"/>
        <w:ind w:left="1"/>
        <w:jc w:val="right"/>
        <w:rPr>
          <w:rFonts w:hint="eastAsia" w:ascii="ˎ̥" w:hAnsi="ˎ̥" w:cs="宋体"/>
          <w:color w:val="auto"/>
          <w:kern w:val="0"/>
          <w:sz w:val="24"/>
        </w:rPr>
      </w:pPr>
      <w:r>
        <w:rPr>
          <w:rFonts w:hint="eastAsia" w:ascii="ˎ̥" w:hAnsi="ˎ̥" w:cs="宋体"/>
          <w:color w:val="auto"/>
          <w:kern w:val="0"/>
          <w:sz w:val="24"/>
        </w:rPr>
        <w:t xml:space="preserve">                                                      投标单位（公章）：</w:t>
      </w:r>
    </w:p>
    <w:p w14:paraId="124C22CB">
      <w:pPr>
        <w:wordWrap w:val="0"/>
        <w:spacing w:line="240" w:lineRule="auto"/>
        <w:jc w:val="right"/>
        <w:rPr>
          <w:rFonts w:ascii="ˎ̥" w:hAnsi="ˎ̥" w:cs="宋体"/>
          <w:color w:val="auto"/>
          <w:kern w:val="0"/>
          <w:sz w:val="24"/>
        </w:rPr>
      </w:pPr>
      <w:r>
        <w:rPr>
          <w:rFonts w:hint="eastAsia" w:ascii="ˎ̥" w:hAnsi="ˎ̥" w:cs="宋体"/>
          <w:color w:val="auto"/>
          <w:kern w:val="0"/>
          <w:sz w:val="24"/>
        </w:rPr>
        <w:t xml:space="preserve">                                                   </w:t>
      </w:r>
      <w:r>
        <w:rPr>
          <w:rFonts w:hint="eastAsia" w:ascii="宋体" w:hAnsi="宋体"/>
          <w:color w:val="auto"/>
          <w:sz w:val="24"/>
        </w:rPr>
        <w:t>20</w:t>
      </w:r>
      <w:r>
        <w:rPr>
          <w:rFonts w:hint="eastAsia" w:ascii="宋体" w:hAnsi="宋体"/>
          <w:color w:val="auto"/>
          <w:sz w:val="24"/>
          <w:lang w:val="en-US" w:eastAsia="zh-CN"/>
        </w:rPr>
        <w:t>2X</w:t>
      </w:r>
      <w:r>
        <w:rPr>
          <w:rFonts w:hint="eastAsia" w:ascii="宋体" w:hAnsi="宋体"/>
          <w:color w:val="auto"/>
          <w:sz w:val="24"/>
        </w:rPr>
        <w:t>年</w:t>
      </w:r>
      <w:r>
        <w:rPr>
          <w:rFonts w:hint="eastAsia" w:ascii="宋体" w:hAnsi="宋体"/>
          <w:color w:val="auto"/>
          <w:sz w:val="24"/>
          <w:lang w:val="en-US" w:eastAsia="zh-CN"/>
        </w:rPr>
        <w:t>XX</w:t>
      </w:r>
      <w:r>
        <w:rPr>
          <w:rFonts w:hint="eastAsia" w:ascii="宋体" w:hAnsi="宋体"/>
          <w:color w:val="auto"/>
          <w:sz w:val="24"/>
        </w:rPr>
        <w:t>月</w:t>
      </w:r>
      <w:r>
        <w:rPr>
          <w:rFonts w:hint="eastAsia" w:ascii="宋体" w:hAnsi="宋体"/>
          <w:color w:val="auto"/>
          <w:sz w:val="24"/>
          <w:lang w:val="en-US" w:eastAsia="zh-CN"/>
        </w:rPr>
        <w:t>XX</w:t>
      </w:r>
      <w:r>
        <w:rPr>
          <w:rFonts w:hint="eastAsia" w:ascii="宋体" w:hAnsi="宋体"/>
          <w:color w:val="auto"/>
          <w:sz w:val="24"/>
        </w:rPr>
        <w:t>日</w:t>
      </w:r>
    </w:p>
    <w:sectPr>
      <w:footerReference r:id="rId3" w:type="default"/>
      <w:pgSz w:w="11906" w:h="16838"/>
      <w:pgMar w:top="1702" w:right="1800" w:bottom="1843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FA60E4">
    <w:pPr>
      <w:pStyle w:val="5"/>
      <w:jc w:val="center"/>
      <w:rPr>
        <w:sz w:val="21"/>
      </w:rPr>
    </w:pPr>
    <w:r>
      <w:rPr>
        <w:sz w:val="21"/>
      </w:rPr>
      <w:fldChar w:fldCharType="begin"/>
    </w:r>
    <w:r>
      <w:rPr>
        <w:sz w:val="21"/>
      </w:rPr>
      <w:instrText xml:space="preserve">PAGE   \* MERGEFORMAT</w:instrText>
    </w:r>
    <w:r>
      <w:rPr>
        <w:sz w:val="21"/>
      </w:rPr>
      <w:fldChar w:fldCharType="separate"/>
    </w:r>
    <w:r>
      <w:rPr>
        <w:sz w:val="21"/>
        <w:lang w:val="zh-CN"/>
      </w:rPr>
      <w:t>1</w:t>
    </w:r>
    <w:r>
      <w:rPr>
        <w:sz w:val="21"/>
      </w:rPr>
      <w:fldChar w:fldCharType="end"/>
    </w:r>
  </w:p>
  <w:p w14:paraId="129735C2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1A94"/>
    <w:rsid w:val="000029DC"/>
    <w:rsid w:val="00013D81"/>
    <w:rsid w:val="00084977"/>
    <w:rsid w:val="000E297E"/>
    <w:rsid w:val="00170F05"/>
    <w:rsid w:val="00174FD5"/>
    <w:rsid w:val="001941DD"/>
    <w:rsid w:val="001A2323"/>
    <w:rsid w:val="001C51CB"/>
    <w:rsid w:val="00293412"/>
    <w:rsid w:val="00293B2B"/>
    <w:rsid w:val="002D4EA7"/>
    <w:rsid w:val="00307D22"/>
    <w:rsid w:val="00311815"/>
    <w:rsid w:val="00334CDC"/>
    <w:rsid w:val="0034136A"/>
    <w:rsid w:val="00354909"/>
    <w:rsid w:val="003725F2"/>
    <w:rsid w:val="003914C0"/>
    <w:rsid w:val="00396AA8"/>
    <w:rsid w:val="003A2AB3"/>
    <w:rsid w:val="00421263"/>
    <w:rsid w:val="004542E7"/>
    <w:rsid w:val="004A4E2A"/>
    <w:rsid w:val="004B05C1"/>
    <w:rsid w:val="004C25D9"/>
    <w:rsid w:val="00547CD0"/>
    <w:rsid w:val="005653C9"/>
    <w:rsid w:val="0056578A"/>
    <w:rsid w:val="005820C6"/>
    <w:rsid w:val="00583325"/>
    <w:rsid w:val="005A1621"/>
    <w:rsid w:val="005B1F1F"/>
    <w:rsid w:val="005B5900"/>
    <w:rsid w:val="00644EEF"/>
    <w:rsid w:val="00655D7B"/>
    <w:rsid w:val="00662AA3"/>
    <w:rsid w:val="0069235F"/>
    <w:rsid w:val="00725765"/>
    <w:rsid w:val="00776113"/>
    <w:rsid w:val="00793EB2"/>
    <w:rsid w:val="007A6F14"/>
    <w:rsid w:val="007C10B3"/>
    <w:rsid w:val="0080544F"/>
    <w:rsid w:val="008130E5"/>
    <w:rsid w:val="0086031F"/>
    <w:rsid w:val="0086745A"/>
    <w:rsid w:val="00872207"/>
    <w:rsid w:val="00875C97"/>
    <w:rsid w:val="008B033F"/>
    <w:rsid w:val="009E42CA"/>
    <w:rsid w:val="00A0365E"/>
    <w:rsid w:val="00A1022C"/>
    <w:rsid w:val="00A3144E"/>
    <w:rsid w:val="00A64CBE"/>
    <w:rsid w:val="00A81A94"/>
    <w:rsid w:val="00A90BC4"/>
    <w:rsid w:val="00A91003"/>
    <w:rsid w:val="00AB1EF3"/>
    <w:rsid w:val="00AB7BD5"/>
    <w:rsid w:val="00B075B7"/>
    <w:rsid w:val="00B16474"/>
    <w:rsid w:val="00B62173"/>
    <w:rsid w:val="00B6607C"/>
    <w:rsid w:val="00C03B1D"/>
    <w:rsid w:val="00C87F9C"/>
    <w:rsid w:val="00C9346B"/>
    <w:rsid w:val="00D02FA9"/>
    <w:rsid w:val="00D06092"/>
    <w:rsid w:val="00D17E22"/>
    <w:rsid w:val="00D43A88"/>
    <w:rsid w:val="00D6050F"/>
    <w:rsid w:val="00D9113E"/>
    <w:rsid w:val="00E067BC"/>
    <w:rsid w:val="00E64952"/>
    <w:rsid w:val="00E76A74"/>
    <w:rsid w:val="00ED067E"/>
    <w:rsid w:val="00F3797D"/>
    <w:rsid w:val="00F60045"/>
    <w:rsid w:val="00F7237A"/>
    <w:rsid w:val="00F76D1D"/>
    <w:rsid w:val="00FC0CC2"/>
    <w:rsid w:val="22F231FD"/>
    <w:rsid w:val="4A527BD5"/>
    <w:rsid w:val="4A9B1165"/>
    <w:rsid w:val="4C023EC3"/>
    <w:rsid w:val="4DE730E2"/>
    <w:rsid w:val="4E097D69"/>
    <w:rsid w:val="54E46BB1"/>
    <w:rsid w:val="5E9B16F3"/>
    <w:rsid w:val="69133C6B"/>
    <w:rsid w:val="6CC37432"/>
    <w:rsid w:val="6DA8186C"/>
    <w:rsid w:val="79DF47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0" w:semiHidden="0" w:name="Normal Indent"/>
    <w:lsdException w:uiPriority="99" w:name="footnote text"/>
    <w:lsdException w:qFormat="1" w:uiPriority="99" w:semiHidden="0" w:name="annotation text"/>
    <w:lsdException w:qFormat="1" w:unhideWhenUsed="0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link w:val="11"/>
    <w:uiPriority w:val="0"/>
    <w:pPr>
      <w:ind w:firstLine="420" w:firstLineChars="200"/>
    </w:pPr>
    <w:rPr>
      <w:rFonts w:ascii="Times New Roman" w:hAnsi="Times New Roman"/>
      <w:kern w:val="0"/>
      <w:sz w:val="20"/>
      <w:szCs w:val="24"/>
    </w:rPr>
  </w:style>
  <w:style w:type="paragraph" w:styleId="3">
    <w:name w:val="annotation text"/>
    <w:basedOn w:val="1"/>
    <w:link w:val="12"/>
    <w:unhideWhenUsed/>
    <w:qFormat/>
    <w:uiPriority w:val="99"/>
    <w:pPr>
      <w:jc w:val="left"/>
    </w:pPr>
  </w:style>
  <w:style w:type="paragraph" w:styleId="4">
    <w:name w:val="Balloon Text"/>
    <w:basedOn w:val="1"/>
    <w:link w:val="13"/>
    <w:unhideWhenUsed/>
    <w:uiPriority w:val="99"/>
    <w:rPr>
      <w:sz w:val="18"/>
      <w:szCs w:val="18"/>
    </w:r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paragraph" w:styleId="7">
    <w:name w:val="annotation subject"/>
    <w:basedOn w:val="3"/>
    <w:next w:val="3"/>
    <w:link w:val="16"/>
    <w:unhideWhenUsed/>
    <w:qFormat/>
    <w:uiPriority w:val="99"/>
    <w:rPr>
      <w:b/>
      <w:bCs/>
    </w:rPr>
  </w:style>
  <w:style w:type="character" w:styleId="10">
    <w:name w:val="annotation reference"/>
    <w:unhideWhenUsed/>
    <w:qFormat/>
    <w:uiPriority w:val="99"/>
    <w:rPr>
      <w:sz w:val="21"/>
      <w:szCs w:val="21"/>
    </w:rPr>
  </w:style>
  <w:style w:type="character" w:customStyle="1" w:styleId="11">
    <w:name w:val="正文缩进 Char1"/>
    <w:link w:val="2"/>
    <w:uiPriority w:val="0"/>
    <w:rPr>
      <w:rFonts w:ascii="Times New Roman" w:hAnsi="Times New Roman" w:eastAsia="宋体" w:cs="Times New Roman"/>
      <w:szCs w:val="24"/>
    </w:rPr>
  </w:style>
  <w:style w:type="character" w:customStyle="1" w:styleId="12">
    <w:name w:val="批注文字 Char"/>
    <w:link w:val="3"/>
    <w:semiHidden/>
    <w:uiPriority w:val="99"/>
    <w:rPr>
      <w:kern w:val="2"/>
      <w:sz w:val="21"/>
      <w:szCs w:val="22"/>
    </w:rPr>
  </w:style>
  <w:style w:type="character" w:customStyle="1" w:styleId="13">
    <w:name w:val="批注框文本 Char"/>
    <w:link w:val="4"/>
    <w:semiHidden/>
    <w:qFormat/>
    <w:uiPriority w:val="99"/>
    <w:rPr>
      <w:kern w:val="2"/>
      <w:sz w:val="18"/>
      <w:szCs w:val="18"/>
    </w:rPr>
  </w:style>
  <w:style w:type="character" w:customStyle="1" w:styleId="14">
    <w:name w:val="页脚 Char"/>
    <w:link w:val="5"/>
    <w:qFormat/>
    <w:uiPriority w:val="99"/>
    <w:rPr>
      <w:kern w:val="2"/>
      <w:sz w:val="18"/>
      <w:szCs w:val="18"/>
    </w:rPr>
  </w:style>
  <w:style w:type="character" w:customStyle="1" w:styleId="15">
    <w:name w:val="页眉 Char"/>
    <w:link w:val="6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批注主题 Char"/>
    <w:link w:val="7"/>
    <w:semiHidden/>
    <w:qFormat/>
    <w:uiPriority w:val="99"/>
    <w:rPr>
      <w:b/>
      <w:bCs/>
      <w:kern w:val="2"/>
      <w:sz w:val="21"/>
      <w:szCs w:val="22"/>
    </w:rPr>
  </w:style>
  <w:style w:type="paragraph" w:styleId="17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Times New Roman" w:hAnsi="Times New Roman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微软用户</Company>
  <Pages>1</Pages>
  <Words>407</Words>
  <Characters>602</Characters>
  <Lines>3</Lines>
  <Paragraphs>1</Paragraphs>
  <TotalTime>4</TotalTime>
  <ScaleCrop>false</ScaleCrop>
  <LinksUpToDate>false</LinksUpToDate>
  <CharactersWithSpaces>717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2013-11-29T08:34:00Z</dcterms:created>
  <dc:creator>USER</dc:creator>
  <cp:lastModifiedBy>gczb</cp:lastModifiedBy>
  <cp:lastPrinted>2016-01-20T09:48:00Z</cp:lastPrinted>
  <dcterms:modified xsi:type="dcterms:W3CDTF">2026-04-27T07:46:13Z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eyJoZGlkIjoiMzgxMGEwNTU5MGY4ZmZmOTMxM2UyMGU2ZGNiZDAzNDciLCJ1c2VySWQiOiIyMzg5ODk3ODUifQ==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95393D5C32304E87AD118318BB332334_13</vt:lpwstr>
  </property>
</Properties>
</file>