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266C101">
      <w:pPr>
        <w:spacing w:line="360" w:lineRule="auto"/>
        <w:jc w:val="left"/>
        <w:rPr>
          <w:rFonts w:hint="default" w:ascii="宋体" w:hAnsi="宋体" w:eastAsia="宋体" w:cs="宋体"/>
          <w:sz w:val="28"/>
          <w:szCs w:val="28"/>
          <w:highlight w:val="none"/>
          <w:lang w:val="en-US" w:eastAsia="zh-CN"/>
        </w:rPr>
      </w:pPr>
      <w:bookmarkStart w:id="0" w:name="_GoBack"/>
      <w:r>
        <w:rPr>
          <w:rFonts w:hint="eastAsia" w:ascii="宋体" w:hAnsi="宋体" w:eastAsia="宋体" w:cs="宋体"/>
          <w:sz w:val="28"/>
          <w:szCs w:val="28"/>
          <w:highlight w:val="none"/>
          <w:lang w:val="en-US" w:eastAsia="zh-CN"/>
        </w:rPr>
        <w:t>附件1</w:t>
      </w:r>
    </w:p>
    <w:bookmarkEnd w:id="0"/>
    <w:p w14:paraId="3E9CEF3F">
      <w:pPr>
        <w:spacing w:line="360" w:lineRule="auto"/>
        <w:jc w:val="center"/>
        <w:rPr>
          <w:rFonts w:hint="eastAsia" w:ascii="宋体" w:hAnsi="宋体" w:eastAsia="宋体" w:cs="宋体"/>
          <w:szCs w:val="21"/>
          <w:highlight w:val="none"/>
        </w:rPr>
      </w:pPr>
      <w:r>
        <w:rPr>
          <w:rFonts w:hint="eastAsia" w:ascii="宋体" w:hAnsi="宋体" w:eastAsia="宋体" w:cs="宋体"/>
          <w:sz w:val="24"/>
          <w:highlight w:val="none"/>
        </w:rPr>
        <w:t>脉动真空灭菌器设备</w:t>
      </w:r>
      <w:r>
        <w:rPr>
          <w:rFonts w:hint="eastAsia" w:ascii="宋体" w:hAnsi="宋体" w:eastAsia="宋体" w:cs="宋体"/>
          <w:sz w:val="24"/>
          <w:highlight w:val="none"/>
          <w:lang w:val="en-US" w:eastAsia="zh-CN"/>
        </w:rPr>
        <w:t>基本</w:t>
      </w:r>
      <w:r>
        <w:rPr>
          <w:rFonts w:hint="eastAsia" w:ascii="宋体" w:hAnsi="宋体" w:eastAsia="宋体" w:cs="宋体"/>
          <w:sz w:val="24"/>
          <w:highlight w:val="none"/>
        </w:rPr>
        <w:t>参数（“▲”为重要参数</w:t>
      </w:r>
      <w:r>
        <w:rPr>
          <w:rFonts w:hint="eastAsia" w:ascii="宋体" w:hAnsi="宋体" w:eastAsia="宋体" w:cs="宋体"/>
          <w:sz w:val="24"/>
          <w:highlight w:val="none"/>
          <w:lang w:eastAsia="zh-CN"/>
        </w:rPr>
        <w:t>，“★”</w:t>
      </w:r>
      <w:r>
        <w:rPr>
          <w:rFonts w:hint="eastAsia" w:ascii="宋体" w:hAnsi="宋体" w:eastAsia="宋体" w:cs="宋体"/>
          <w:sz w:val="24"/>
          <w:highlight w:val="none"/>
          <w:lang w:val="en-US" w:eastAsia="zh-CN"/>
        </w:rPr>
        <w:t>为实质性条款</w:t>
      </w:r>
      <w:r>
        <w:rPr>
          <w:rFonts w:hint="eastAsia" w:ascii="宋体" w:hAnsi="宋体" w:eastAsia="宋体" w:cs="宋体"/>
          <w:sz w:val="24"/>
          <w:highlight w:val="none"/>
        </w:rPr>
        <w:t>）</w:t>
      </w:r>
    </w:p>
    <w:p w14:paraId="37E7B670">
      <w:pPr>
        <w:numPr>
          <w:ilvl w:val="0"/>
          <w:numId w:val="1"/>
        </w:numPr>
        <w:wordWrap w:val="0"/>
        <w:spacing w:line="360" w:lineRule="auto"/>
        <w:jc w:val="left"/>
        <w:rPr>
          <w:rFonts w:hint="eastAsia" w:ascii="宋体" w:hAnsi="宋体" w:eastAsia="宋体" w:cs="宋体"/>
          <w:sz w:val="24"/>
          <w:highlight w:val="none"/>
        </w:rPr>
      </w:pPr>
      <w:r>
        <w:rPr>
          <w:rFonts w:hint="eastAsia" w:ascii="宋体" w:hAnsi="宋体" w:eastAsia="宋体" w:cs="宋体"/>
          <w:sz w:val="24"/>
          <w:highlight w:val="none"/>
        </w:rPr>
        <w:t>功能：用于医院耐高温复用器械的湿热灭菌。</w:t>
      </w:r>
    </w:p>
    <w:p w14:paraId="3B19AF45">
      <w:pPr>
        <w:numPr>
          <w:ilvl w:val="0"/>
          <w:numId w:val="1"/>
        </w:numPr>
        <w:wordWrap w:val="0"/>
        <w:spacing w:line="360" w:lineRule="auto"/>
        <w:jc w:val="left"/>
        <w:rPr>
          <w:rFonts w:hint="eastAsia" w:ascii="宋体" w:hAnsi="宋体" w:eastAsia="宋体" w:cs="宋体"/>
          <w:sz w:val="24"/>
          <w:highlight w:val="none"/>
        </w:rPr>
      </w:pPr>
      <w:r>
        <w:rPr>
          <w:rFonts w:hint="eastAsia" w:ascii="宋体" w:hAnsi="宋体" w:eastAsia="宋体" w:cs="宋体"/>
          <w:sz w:val="24"/>
          <w:highlight w:val="none"/>
        </w:rPr>
        <w:t>产品规格：灭菌内室容积600L-700L。单门，自产蒸汽。</w:t>
      </w:r>
    </w:p>
    <w:p w14:paraId="2CB366D3">
      <w:pPr>
        <w:numPr>
          <w:ilvl w:val="0"/>
          <w:numId w:val="1"/>
        </w:numPr>
        <w:wordWrap w:val="0"/>
        <w:spacing w:line="360" w:lineRule="auto"/>
        <w:jc w:val="left"/>
        <w:rPr>
          <w:rFonts w:hint="eastAsia" w:ascii="宋体" w:hAnsi="宋体" w:eastAsia="宋体" w:cs="宋体"/>
          <w:sz w:val="24"/>
          <w:highlight w:val="none"/>
        </w:rPr>
      </w:pPr>
      <w:r>
        <w:rPr>
          <w:rFonts w:hint="eastAsia" w:ascii="宋体" w:hAnsi="宋体" w:eastAsia="宋体" w:cs="宋体"/>
          <w:sz w:val="24"/>
          <w:highlight w:val="none"/>
        </w:rPr>
        <w:t>▲主体结构：环形加强筋结构，多点进汽，多段加热；焊接工艺：全自动焊接机器人焊接（提供灭菌器主体现场自动焊接环形夹套图片，照片需标注环形夹套位置）。</w:t>
      </w:r>
    </w:p>
    <w:p w14:paraId="11CA0F59">
      <w:pPr>
        <w:numPr>
          <w:ilvl w:val="0"/>
          <w:numId w:val="1"/>
        </w:numPr>
        <w:wordWrap w:val="0"/>
        <w:spacing w:line="360" w:lineRule="auto"/>
        <w:jc w:val="left"/>
        <w:rPr>
          <w:rFonts w:hint="eastAsia" w:ascii="宋体" w:hAnsi="宋体" w:eastAsia="宋体" w:cs="宋体"/>
          <w:sz w:val="24"/>
          <w:highlight w:val="none"/>
        </w:rPr>
      </w:pPr>
      <w:r>
        <w:rPr>
          <w:rFonts w:hint="eastAsia" w:ascii="宋体" w:hAnsi="宋体" w:eastAsia="宋体" w:cs="宋体"/>
          <w:sz w:val="24"/>
          <w:highlight w:val="none"/>
        </w:rPr>
        <w:t>▲主要杀菌因子强度：121℃灭菌，灭菌时间≥20min；134℃灭菌，灭菌时间≥5min（提供全国消毒产品网上备案信息服务平台的备案设备铭牌照片，须带有网站水印）。</w:t>
      </w:r>
    </w:p>
    <w:p w14:paraId="42D94A02">
      <w:pPr>
        <w:numPr>
          <w:ilvl w:val="0"/>
          <w:numId w:val="1"/>
        </w:numPr>
        <w:wordWrap w:val="0"/>
        <w:spacing w:line="360" w:lineRule="auto"/>
        <w:jc w:val="left"/>
        <w:rPr>
          <w:rFonts w:hint="eastAsia" w:ascii="宋体" w:hAnsi="宋体" w:eastAsia="宋体" w:cs="宋体"/>
          <w:sz w:val="24"/>
          <w:highlight w:val="none"/>
        </w:rPr>
      </w:pPr>
      <w:r>
        <w:rPr>
          <w:rFonts w:hint="eastAsia" w:ascii="宋体" w:hAnsi="宋体" w:eastAsia="宋体" w:cs="宋体"/>
          <w:sz w:val="24"/>
          <w:highlight w:val="none"/>
        </w:rPr>
        <w:t>外形尺寸：因场地限制，要求设备外形尺寸宽度≤1400mm、深度≤1500mm、高度≤2100mm。</w:t>
      </w:r>
    </w:p>
    <w:p w14:paraId="42722364">
      <w:pPr>
        <w:numPr>
          <w:ilvl w:val="0"/>
          <w:numId w:val="1"/>
        </w:numPr>
        <w:wordWrap w:val="0"/>
        <w:spacing w:line="360" w:lineRule="auto"/>
        <w:jc w:val="left"/>
        <w:rPr>
          <w:rFonts w:hint="eastAsia" w:ascii="宋体" w:hAnsi="宋体" w:eastAsia="宋体" w:cs="宋体"/>
          <w:sz w:val="24"/>
          <w:highlight w:val="none"/>
        </w:rPr>
      </w:pPr>
      <w:r>
        <w:rPr>
          <w:rFonts w:hint="eastAsia" w:ascii="宋体" w:hAnsi="宋体" w:eastAsia="宋体" w:cs="宋体"/>
          <w:sz w:val="24"/>
          <w:highlight w:val="none"/>
        </w:rPr>
        <w:t>使用寿命：≥10年/20000次灭菌循环；</w:t>
      </w:r>
    </w:p>
    <w:p w14:paraId="0E65205F">
      <w:pPr>
        <w:numPr>
          <w:ilvl w:val="0"/>
          <w:numId w:val="1"/>
        </w:numPr>
        <w:wordWrap w:val="0"/>
        <w:spacing w:line="360" w:lineRule="auto"/>
        <w:jc w:val="left"/>
        <w:rPr>
          <w:rFonts w:hint="eastAsia" w:ascii="宋体" w:hAnsi="宋体" w:eastAsia="宋体" w:cs="宋体"/>
          <w:sz w:val="24"/>
          <w:highlight w:val="none"/>
        </w:rPr>
      </w:pPr>
      <w:r>
        <w:rPr>
          <w:rFonts w:hint="eastAsia" w:ascii="宋体" w:hAnsi="宋体" w:eastAsia="宋体" w:cs="宋体"/>
          <w:sz w:val="24"/>
          <w:highlight w:val="none"/>
        </w:rPr>
        <w:t>泵采用单级直连式水环真空泵，阀门选用气动阀和电磁阀，压变响应时间＜4ms，不锈钢卫生级管路。</w:t>
      </w:r>
    </w:p>
    <w:p w14:paraId="30939283">
      <w:pPr>
        <w:numPr>
          <w:ilvl w:val="0"/>
          <w:numId w:val="1"/>
        </w:numPr>
        <w:wordWrap w:val="0"/>
        <w:spacing w:line="360" w:lineRule="auto"/>
        <w:jc w:val="left"/>
        <w:rPr>
          <w:rFonts w:hint="eastAsia" w:ascii="宋体" w:hAnsi="宋体" w:eastAsia="宋体" w:cs="宋体"/>
          <w:highlight w:val="none"/>
        </w:rPr>
      </w:pPr>
      <w:r>
        <w:rPr>
          <w:rFonts w:hint="eastAsia" w:ascii="宋体" w:hAnsi="宋体" w:eastAsia="宋体" w:cs="宋体"/>
          <w:sz w:val="24"/>
          <w:highlight w:val="none"/>
        </w:rPr>
        <w:t>带有节水降噪装置，换热器冷凝水回收系统，板式换热器换热装置。</w:t>
      </w:r>
    </w:p>
    <w:p w14:paraId="245186B8">
      <w:pPr>
        <w:numPr>
          <w:ilvl w:val="0"/>
          <w:numId w:val="1"/>
        </w:numPr>
        <w:wordWrap w:val="0"/>
        <w:spacing w:line="360" w:lineRule="auto"/>
        <w:jc w:val="left"/>
        <w:rPr>
          <w:rFonts w:hint="eastAsia" w:ascii="宋体" w:hAnsi="宋体" w:eastAsia="宋体" w:cs="宋体"/>
          <w:sz w:val="24"/>
          <w:highlight w:val="none"/>
        </w:rPr>
      </w:pPr>
      <w:r>
        <w:rPr>
          <w:rFonts w:hint="eastAsia" w:ascii="宋体" w:hAnsi="宋体" w:eastAsia="宋体" w:cs="宋体"/>
          <w:sz w:val="24"/>
          <w:highlight w:val="none"/>
        </w:rPr>
        <w:t>具有压力安全联锁装置：通过省级技术监督部门鉴定，门只有关闭到位，电源才能接通加热产生蒸汽；内室有正压或负压压力，门无法打开。</w:t>
      </w:r>
    </w:p>
    <w:p w14:paraId="31B95CC9">
      <w:pPr>
        <w:numPr>
          <w:ilvl w:val="0"/>
          <w:numId w:val="1"/>
        </w:numPr>
        <w:wordWrap w:val="0"/>
        <w:spacing w:line="360" w:lineRule="auto"/>
        <w:jc w:val="left"/>
        <w:rPr>
          <w:rFonts w:hint="eastAsia" w:ascii="宋体" w:hAnsi="宋体" w:eastAsia="宋体" w:cs="宋体"/>
          <w:sz w:val="24"/>
          <w:highlight w:val="none"/>
        </w:rPr>
      </w:pPr>
      <w:r>
        <w:rPr>
          <w:rFonts w:hint="eastAsia" w:ascii="宋体" w:hAnsi="宋体" w:eastAsia="宋体" w:cs="宋体"/>
          <w:sz w:val="24"/>
          <w:highlight w:val="none"/>
        </w:rPr>
        <w:t>▲脉动次数：采用正压脉动、负压脉动、跨压脉动相结合的方式，要求标准默认程序采用≥3次正压脉动、≥3次负压脉动（提供程序运行图），脉动次数0-99次可调（提供设备触摸屏设置照片）。</w:t>
      </w:r>
    </w:p>
    <w:p w14:paraId="6D5EE3F1">
      <w:pPr>
        <w:numPr>
          <w:ilvl w:val="0"/>
          <w:numId w:val="1"/>
        </w:numPr>
        <w:wordWrap w:val="0"/>
        <w:spacing w:line="360" w:lineRule="auto"/>
        <w:jc w:val="left"/>
        <w:rPr>
          <w:rFonts w:hint="eastAsia" w:ascii="宋体" w:hAnsi="宋体" w:eastAsia="宋体" w:cs="宋体"/>
          <w:sz w:val="24"/>
          <w:highlight w:val="none"/>
        </w:rPr>
      </w:pPr>
      <w:r>
        <w:rPr>
          <w:rFonts w:hint="eastAsia" w:ascii="宋体" w:hAnsi="宋体" w:eastAsia="宋体" w:cs="宋体"/>
          <w:sz w:val="24"/>
          <w:highlight w:val="none"/>
        </w:rPr>
        <w:t>权限管理功能：用户分级权限管理，权限管理≥5级。</w:t>
      </w:r>
    </w:p>
    <w:p w14:paraId="18FA3241">
      <w:pPr>
        <w:numPr>
          <w:ilvl w:val="0"/>
          <w:numId w:val="1"/>
        </w:numPr>
        <w:wordWrap w:val="0"/>
        <w:spacing w:line="360" w:lineRule="auto"/>
        <w:jc w:val="left"/>
        <w:rPr>
          <w:rFonts w:hint="eastAsia" w:ascii="宋体" w:hAnsi="宋体" w:eastAsia="宋体" w:cs="宋体"/>
          <w:sz w:val="24"/>
          <w:highlight w:val="none"/>
        </w:rPr>
      </w:pPr>
      <w:r>
        <w:rPr>
          <w:rFonts w:hint="eastAsia" w:ascii="宋体" w:hAnsi="宋体" w:eastAsia="宋体" w:cs="宋体"/>
          <w:sz w:val="24"/>
          <w:highlight w:val="none"/>
        </w:rPr>
        <w:t>记录方式：触摸屏记录，历史锅次数据记录及相关报警信息存储在触摸屏中，可随时查看，可进行历史锅次重复打印和pdf数据导出，记录内容包含灭菌过程的温度、压力、时间、过程阶段、预置参数等。</w:t>
      </w:r>
    </w:p>
    <w:p w14:paraId="2477ABD2">
      <w:pPr>
        <w:numPr>
          <w:ilvl w:val="0"/>
          <w:numId w:val="1"/>
        </w:numPr>
        <w:wordWrap w:val="0"/>
        <w:spacing w:line="360" w:lineRule="auto"/>
        <w:jc w:val="left"/>
        <w:rPr>
          <w:rFonts w:hint="eastAsia" w:ascii="宋体" w:hAnsi="宋体" w:eastAsia="宋体" w:cs="宋体"/>
          <w:sz w:val="24"/>
          <w:highlight w:val="none"/>
        </w:rPr>
      </w:pPr>
      <w:r>
        <w:rPr>
          <w:rFonts w:hint="eastAsia" w:ascii="宋体" w:hAnsi="宋体" w:eastAsia="宋体" w:cs="宋体"/>
          <w:sz w:val="24"/>
          <w:highlight w:val="none"/>
        </w:rPr>
        <w:t>▲程序设计：＞30套灭菌程序；其中测试类程序：＞3套；辅助类程序：＞1套（提供设备程序照片）；标准循环≤55分钟。</w:t>
      </w:r>
      <w:r>
        <w:rPr>
          <w:rFonts w:hint="eastAsia" w:ascii="宋体" w:hAnsi="宋体" w:eastAsia="宋体" w:cs="宋体"/>
          <w:sz w:val="24"/>
          <w:highlight w:val="none"/>
        </w:rPr>
        <w:tab/>
      </w:r>
    </w:p>
    <w:p w14:paraId="530EB155">
      <w:pPr>
        <w:numPr>
          <w:ilvl w:val="0"/>
          <w:numId w:val="1"/>
        </w:numPr>
        <w:wordWrap w:val="0"/>
        <w:spacing w:line="360" w:lineRule="auto"/>
        <w:jc w:val="left"/>
        <w:rPr>
          <w:rFonts w:hint="eastAsia" w:ascii="宋体" w:hAnsi="宋体" w:eastAsia="宋体" w:cs="宋体"/>
          <w:sz w:val="24"/>
          <w:highlight w:val="none"/>
        </w:rPr>
      </w:pPr>
      <w:r>
        <w:rPr>
          <w:rFonts w:hint="eastAsia" w:ascii="宋体" w:hAnsi="宋体" w:eastAsia="宋体" w:cs="宋体"/>
          <w:sz w:val="24"/>
          <w:highlight w:val="none"/>
        </w:rPr>
        <w:t>程序设定温度和时间：灭菌温度设定范围：115～138℃可设，灭菌时间设定范围：0～9999秒可设；干燥时间设定范围：0～9999秒可设。</w:t>
      </w:r>
    </w:p>
    <w:p w14:paraId="09E66140">
      <w:pPr>
        <w:numPr>
          <w:ilvl w:val="0"/>
          <w:numId w:val="1"/>
        </w:numPr>
        <w:wordWrap w:val="0"/>
        <w:spacing w:line="360" w:lineRule="auto"/>
        <w:jc w:val="left"/>
        <w:rPr>
          <w:rFonts w:hint="eastAsia" w:ascii="宋体" w:hAnsi="宋体" w:eastAsia="宋体" w:cs="宋体"/>
          <w:sz w:val="24"/>
          <w:highlight w:val="none"/>
        </w:rPr>
      </w:pPr>
      <w:r>
        <w:rPr>
          <w:rFonts w:hint="eastAsia" w:ascii="宋体" w:hAnsi="宋体" w:eastAsia="宋体" w:cs="宋体"/>
          <w:sz w:val="24"/>
          <w:highlight w:val="none"/>
        </w:rPr>
        <w:t>控制系统：采用PLC微电脑控制：显示屏存储：运行数据可存储在显示屏内。内置热敏打印机，可将程序运行过程中的相关信息打印出来。操作屏幕：＞8英寸彩色触摸屏，中文操作界面。</w:t>
      </w:r>
    </w:p>
    <w:p w14:paraId="7CE85ECE">
      <w:pPr>
        <w:numPr>
          <w:ilvl w:val="0"/>
          <w:numId w:val="1"/>
        </w:numPr>
        <w:wordWrap w:val="0"/>
        <w:spacing w:line="360" w:lineRule="auto"/>
        <w:jc w:val="left"/>
        <w:rPr>
          <w:rFonts w:hint="eastAsia" w:ascii="宋体" w:hAnsi="宋体" w:eastAsia="宋体" w:cs="宋体"/>
          <w:sz w:val="24"/>
          <w:highlight w:val="none"/>
        </w:rPr>
      </w:pPr>
      <w:r>
        <w:rPr>
          <w:rFonts w:hint="eastAsia" w:ascii="宋体" w:hAnsi="宋体" w:eastAsia="宋体" w:cs="宋体"/>
          <w:sz w:val="24"/>
          <w:highlight w:val="none"/>
        </w:rPr>
        <w:t>具有安全保护功能：超压保护：内室压力超过程序运行允许压力，程序自动退出转入故障状态下处理；超温保护：内室温度超过程序运行允许温度，程序自动退出转入故障状态下处理；门关位检测保护：门开关在程序运行过程中检测异常，程序自动退出转入故障状态下处理。</w:t>
      </w:r>
    </w:p>
    <w:p w14:paraId="0D7BAD7D">
      <w:pPr>
        <w:numPr>
          <w:ilvl w:val="0"/>
          <w:numId w:val="1"/>
        </w:numPr>
        <w:wordWrap w:val="0"/>
        <w:spacing w:line="360" w:lineRule="auto"/>
        <w:jc w:val="left"/>
        <w:rPr>
          <w:rFonts w:hint="eastAsia" w:ascii="宋体" w:hAnsi="宋体" w:eastAsia="宋体" w:cs="宋体"/>
          <w:sz w:val="24"/>
          <w:highlight w:val="none"/>
        </w:rPr>
      </w:pPr>
      <w:r>
        <w:rPr>
          <w:rFonts w:hint="eastAsia" w:ascii="宋体" w:hAnsi="宋体" w:eastAsia="宋体" w:cs="宋体"/>
          <w:sz w:val="24"/>
          <w:highlight w:val="none"/>
        </w:rPr>
        <w:t>▲维修方式：设备单侧维修，无需预留维修空间；（提供产品技术说明、彩页、设备安装图、已安装用户照片）。</w:t>
      </w:r>
    </w:p>
    <w:p w14:paraId="51A63999">
      <w:pPr>
        <w:numPr>
          <w:ilvl w:val="0"/>
          <w:numId w:val="1"/>
        </w:numPr>
        <w:wordWrap w:val="0"/>
        <w:spacing w:line="360" w:lineRule="auto"/>
        <w:jc w:val="left"/>
        <w:rPr>
          <w:rFonts w:hint="eastAsia" w:ascii="宋体" w:hAnsi="宋体" w:eastAsia="宋体" w:cs="宋体"/>
          <w:sz w:val="24"/>
          <w:highlight w:val="none"/>
        </w:rPr>
      </w:pPr>
      <w:r>
        <w:rPr>
          <w:rFonts w:hint="eastAsia" w:ascii="宋体" w:hAnsi="宋体" w:eastAsia="宋体" w:cs="宋体"/>
          <w:sz w:val="24"/>
          <w:highlight w:val="none"/>
        </w:rPr>
        <w:t xml:space="preserve">▲灭菌效果：标准循环：121℃，20分钟；134℃，5分钟。（提供121℃和134℃灭菌效果合格的第三方检测机构出具的检测报告：检测报告包含121℃脉动程序满负载温度测试和134℃脉动程序满负载温度测试（符合GB 8599-2008《大型蒸汽灭菌器技术要求  自动控制型》对满负载温度的规定）；121℃脉动程序灭菌效果测试（121℃ 20min）和134℃脉动程序灭菌效果测试（134℃ 5min）（符合GB/T 15981-2021《消毒器械灭菌效果评价方法》灭菌效果合格规定））。 </w:t>
      </w:r>
    </w:p>
    <w:p w14:paraId="7F3AE219">
      <w:pPr>
        <w:numPr>
          <w:ilvl w:val="0"/>
          <w:numId w:val="1"/>
        </w:numPr>
        <w:wordWrap w:val="0"/>
        <w:spacing w:line="360" w:lineRule="auto"/>
        <w:jc w:val="left"/>
        <w:rPr>
          <w:rFonts w:hint="eastAsia" w:ascii="宋体" w:hAnsi="宋体" w:eastAsia="宋体" w:cs="宋体"/>
          <w:sz w:val="24"/>
          <w:highlight w:val="none"/>
        </w:rPr>
      </w:pPr>
      <w:r>
        <w:rPr>
          <w:rFonts w:hint="eastAsia" w:ascii="宋体" w:hAnsi="宋体" w:eastAsia="宋体" w:cs="宋体"/>
          <w:sz w:val="24"/>
          <w:highlight w:val="none"/>
        </w:rPr>
        <w:t>★设备生产厂家具有中华人民共和国特种设备生产许可证（压力容器制造（含安装、改造、修理））（提供中华人民共和国特种设备生产许可证）。</w:t>
      </w:r>
    </w:p>
    <w:p w14:paraId="1AD8C0CD">
      <w:pPr>
        <w:numPr>
          <w:ilvl w:val="0"/>
          <w:numId w:val="1"/>
        </w:numPr>
        <w:wordWrap w:val="0"/>
        <w:spacing w:line="360" w:lineRule="auto"/>
        <w:jc w:val="left"/>
        <w:rPr>
          <w:rFonts w:hint="eastAsia" w:ascii="宋体" w:hAnsi="宋体" w:eastAsia="宋体" w:cs="宋体"/>
          <w:sz w:val="24"/>
          <w:highlight w:val="none"/>
        </w:rPr>
      </w:pPr>
      <w:r>
        <w:rPr>
          <w:rFonts w:hint="eastAsia" w:ascii="宋体" w:hAnsi="宋体" w:eastAsia="宋体" w:cs="宋体"/>
          <w:sz w:val="24"/>
          <w:highlight w:val="none"/>
        </w:rPr>
        <w:t>产品安装现场检测认证要求：设备厂家具备高温蒸汽灭菌器的灭菌温度压力的验证资质（CNAS），投标人应在投标文件中提供设备生产厂家具备有效期内的中国合格评定国家认可委员会实验室认可证书。</w:t>
      </w:r>
    </w:p>
    <w:p w14:paraId="1622482E">
      <w:pPr>
        <w:numPr>
          <w:ilvl w:val="0"/>
          <w:numId w:val="1"/>
        </w:numPr>
        <w:wordWrap w:val="0"/>
        <w:spacing w:line="360" w:lineRule="auto"/>
        <w:jc w:val="left"/>
        <w:rPr>
          <w:rFonts w:hint="eastAsia" w:ascii="宋体" w:hAnsi="宋体" w:eastAsia="宋体" w:cs="宋体"/>
          <w:sz w:val="24"/>
          <w:highlight w:val="none"/>
        </w:rPr>
      </w:pPr>
      <w:r>
        <w:rPr>
          <w:rFonts w:hint="eastAsia" w:ascii="宋体" w:hAnsi="宋体" w:eastAsia="宋体" w:cs="宋体"/>
          <w:sz w:val="24"/>
          <w:highlight w:val="none"/>
        </w:rPr>
        <w:t>特种设备安装要求：设备供货商或者设备制造商负责设备的安装，</w:t>
      </w:r>
      <w:r>
        <w:rPr>
          <w:rFonts w:hint="eastAsia" w:ascii="宋体" w:hAnsi="宋体" w:eastAsia="宋体" w:cs="宋体"/>
          <w:sz w:val="24"/>
          <w:highlight w:val="none"/>
          <w:lang w:val="en-US" w:eastAsia="zh-CN"/>
        </w:rPr>
        <w:t>协助</w:t>
      </w:r>
      <w:r>
        <w:rPr>
          <w:rFonts w:hint="eastAsia" w:ascii="宋体" w:hAnsi="宋体" w:eastAsia="宋体" w:cs="宋体"/>
          <w:sz w:val="24"/>
          <w:highlight w:val="none"/>
        </w:rPr>
        <w:t>办理使用登记证。</w:t>
      </w:r>
    </w:p>
    <w:p w14:paraId="1709D3E0">
      <w:pPr>
        <w:numPr>
          <w:ilvl w:val="0"/>
          <w:numId w:val="1"/>
        </w:numPr>
        <w:wordWrap w:val="0"/>
        <w:spacing w:line="360" w:lineRule="auto"/>
        <w:jc w:val="left"/>
        <w:rPr>
          <w:rFonts w:hint="eastAsia" w:ascii="宋体" w:hAnsi="宋体" w:eastAsia="宋体" w:cs="宋体"/>
          <w:sz w:val="24"/>
          <w:highlight w:val="none"/>
        </w:rPr>
      </w:pPr>
      <w:r>
        <w:rPr>
          <w:rFonts w:hint="eastAsia" w:ascii="宋体" w:hAnsi="宋体" w:eastAsia="宋体" w:cs="宋体"/>
          <w:sz w:val="24"/>
          <w:highlight w:val="none"/>
        </w:rPr>
        <w:t>配置清单：</w:t>
      </w:r>
    </w:p>
    <w:tbl>
      <w:tblPr>
        <w:tblStyle w:val="6"/>
        <w:tblW w:w="847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5"/>
        <w:gridCol w:w="6441"/>
        <w:gridCol w:w="1276"/>
      </w:tblGrid>
      <w:tr w14:paraId="3CCABF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55" w:type="dxa"/>
          </w:tcPr>
          <w:p w14:paraId="1C270E20">
            <w:pPr>
              <w:pStyle w:val="3"/>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序号</w:t>
            </w:r>
          </w:p>
        </w:tc>
        <w:tc>
          <w:tcPr>
            <w:tcW w:w="6441" w:type="dxa"/>
          </w:tcPr>
          <w:p w14:paraId="66B389DC">
            <w:pPr>
              <w:pStyle w:val="3"/>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名称</w:t>
            </w:r>
          </w:p>
        </w:tc>
        <w:tc>
          <w:tcPr>
            <w:tcW w:w="1276" w:type="dxa"/>
          </w:tcPr>
          <w:p w14:paraId="23FE9B2B">
            <w:pPr>
              <w:pStyle w:val="3"/>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数量</w:t>
            </w:r>
          </w:p>
        </w:tc>
      </w:tr>
      <w:tr w14:paraId="042E23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55" w:type="dxa"/>
          </w:tcPr>
          <w:p w14:paraId="2E979851">
            <w:pPr>
              <w:pStyle w:val="3"/>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1</w:t>
            </w:r>
          </w:p>
        </w:tc>
        <w:tc>
          <w:tcPr>
            <w:tcW w:w="6441" w:type="dxa"/>
          </w:tcPr>
          <w:p w14:paraId="03BFBD9D">
            <w:pPr>
              <w:pStyle w:val="3"/>
              <w:rPr>
                <w:rFonts w:hint="eastAsia" w:ascii="宋体" w:hAnsi="宋体" w:eastAsia="宋体" w:cs="宋体"/>
                <w:sz w:val="24"/>
                <w:szCs w:val="24"/>
                <w:highlight w:val="none"/>
              </w:rPr>
            </w:pPr>
            <w:r>
              <w:rPr>
                <w:rFonts w:hint="eastAsia" w:ascii="宋体" w:hAnsi="宋体" w:eastAsia="宋体" w:cs="宋体"/>
                <w:sz w:val="24"/>
                <w:szCs w:val="24"/>
                <w:highlight w:val="none"/>
              </w:rPr>
              <w:t>设备主机</w:t>
            </w:r>
          </w:p>
        </w:tc>
        <w:tc>
          <w:tcPr>
            <w:tcW w:w="1276" w:type="dxa"/>
          </w:tcPr>
          <w:p w14:paraId="043EF1FE">
            <w:pPr>
              <w:pStyle w:val="3"/>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1台</w:t>
            </w:r>
          </w:p>
        </w:tc>
      </w:tr>
      <w:tr w14:paraId="1F25F0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55" w:type="dxa"/>
          </w:tcPr>
          <w:p w14:paraId="5DF0FE10">
            <w:pPr>
              <w:pStyle w:val="3"/>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2</w:t>
            </w:r>
          </w:p>
        </w:tc>
        <w:tc>
          <w:tcPr>
            <w:tcW w:w="6441" w:type="dxa"/>
          </w:tcPr>
          <w:p w14:paraId="7B6413A3">
            <w:pPr>
              <w:pStyle w:val="3"/>
              <w:rPr>
                <w:rFonts w:hint="eastAsia" w:ascii="宋体" w:hAnsi="宋体" w:eastAsia="宋体" w:cs="宋体"/>
                <w:sz w:val="24"/>
                <w:szCs w:val="24"/>
                <w:highlight w:val="none"/>
              </w:rPr>
            </w:pPr>
            <w:r>
              <w:rPr>
                <w:rFonts w:hint="eastAsia" w:ascii="宋体" w:hAnsi="宋体" w:eastAsia="宋体" w:cs="宋体"/>
                <w:sz w:val="24"/>
                <w:szCs w:val="24"/>
                <w:highlight w:val="none"/>
              </w:rPr>
              <w:t>消毒车</w:t>
            </w:r>
          </w:p>
        </w:tc>
        <w:tc>
          <w:tcPr>
            <w:tcW w:w="1276" w:type="dxa"/>
          </w:tcPr>
          <w:p w14:paraId="7D90E1B3">
            <w:pPr>
              <w:pStyle w:val="3"/>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1辆</w:t>
            </w:r>
          </w:p>
        </w:tc>
      </w:tr>
      <w:tr w14:paraId="117384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55" w:type="dxa"/>
          </w:tcPr>
          <w:p w14:paraId="562AB69D">
            <w:pPr>
              <w:pStyle w:val="3"/>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3</w:t>
            </w:r>
          </w:p>
        </w:tc>
        <w:tc>
          <w:tcPr>
            <w:tcW w:w="6441" w:type="dxa"/>
          </w:tcPr>
          <w:p w14:paraId="221DE7DD">
            <w:pPr>
              <w:pStyle w:val="3"/>
              <w:rPr>
                <w:rFonts w:hint="eastAsia" w:ascii="宋体" w:hAnsi="宋体" w:eastAsia="宋体" w:cs="宋体"/>
                <w:sz w:val="24"/>
                <w:szCs w:val="24"/>
                <w:highlight w:val="none"/>
              </w:rPr>
            </w:pPr>
            <w:r>
              <w:rPr>
                <w:rFonts w:hint="eastAsia" w:ascii="宋体" w:hAnsi="宋体" w:eastAsia="宋体" w:cs="宋体"/>
                <w:sz w:val="24"/>
                <w:szCs w:val="24"/>
                <w:highlight w:val="none"/>
              </w:rPr>
              <w:t>搬运车</w:t>
            </w:r>
          </w:p>
        </w:tc>
        <w:tc>
          <w:tcPr>
            <w:tcW w:w="1276" w:type="dxa"/>
          </w:tcPr>
          <w:p w14:paraId="6302639D">
            <w:pPr>
              <w:pStyle w:val="3"/>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1辆</w:t>
            </w:r>
          </w:p>
        </w:tc>
      </w:tr>
      <w:tr w14:paraId="7451D1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55" w:type="dxa"/>
          </w:tcPr>
          <w:p w14:paraId="6930D235">
            <w:pPr>
              <w:pStyle w:val="3"/>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4</w:t>
            </w:r>
          </w:p>
        </w:tc>
        <w:tc>
          <w:tcPr>
            <w:tcW w:w="6441" w:type="dxa"/>
          </w:tcPr>
          <w:p w14:paraId="7EFB2E67">
            <w:pPr>
              <w:pStyle w:val="3"/>
              <w:rPr>
                <w:rFonts w:hint="eastAsia" w:ascii="宋体" w:hAnsi="宋体" w:eastAsia="宋体" w:cs="宋体"/>
                <w:sz w:val="24"/>
                <w:szCs w:val="24"/>
                <w:highlight w:val="none"/>
              </w:rPr>
            </w:pPr>
            <w:r>
              <w:rPr>
                <w:rFonts w:hint="eastAsia" w:ascii="宋体" w:hAnsi="宋体" w:eastAsia="宋体" w:cs="宋体"/>
                <w:sz w:val="24"/>
                <w:szCs w:val="24"/>
                <w:highlight w:val="none"/>
              </w:rPr>
              <w:t>产品说明书、合格证、操作规范等资料</w:t>
            </w:r>
          </w:p>
        </w:tc>
        <w:tc>
          <w:tcPr>
            <w:tcW w:w="1276" w:type="dxa"/>
          </w:tcPr>
          <w:p w14:paraId="13E9EAC6">
            <w:pPr>
              <w:pStyle w:val="3"/>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1套</w:t>
            </w:r>
          </w:p>
        </w:tc>
      </w:tr>
    </w:tbl>
    <w:p w14:paraId="236051A8">
      <w:pPr>
        <w:rPr>
          <w:rFonts w:hint="eastAsia" w:ascii="宋体" w:hAnsi="宋体" w:eastAsia="宋体" w:cs="宋体"/>
          <w:szCs w:val="21"/>
          <w:highlight w:val="none"/>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1"/>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9D8BB8E"/>
    <w:multiLevelType w:val="singleLevel"/>
    <w:tmpl w:val="E9D8BB8E"/>
    <w:lvl w:ilvl="0" w:tentative="0">
      <w:start w:val="1"/>
      <w:numFmt w:val="decimal"/>
      <w:lvlText w:val="%1."/>
      <w:lvlJc w:val="left"/>
      <w:pPr>
        <w:tabs>
          <w:tab w:val="left" w:pos="312"/>
        </w:tabs>
      </w:pPr>
      <w:rPr>
        <w:rFonts w:hint="default" w:ascii="宋体" w:hAnsi="宋体" w:eastAsia="宋体" w:cs="宋体"/>
        <w:sz w:val="24"/>
        <w:szCs w:val="24"/>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941A5"/>
    <w:rsid w:val="00046C8F"/>
    <w:rsid w:val="001941A5"/>
    <w:rsid w:val="007D6858"/>
    <w:rsid w:val="00885A12"/>
    <w:rsid w:val="00FA6635"/>
    <w:rsid w:val="05504736"/>
    <w:rsid w:val="08687FB7"/>
    <w:rsid w:val="15EE2199"/>
    <w:rsid w:val="1DF4600A"/>
    <w:rsid w:val="21DA19A5"/>
    <w:rsid w:val="24C4019B"/>
    <w:rsid w:val="2B275DB5"/>
    <w:rsid w:val="35D72186"/>
    <w:rsid w:val="3A7E1A34"/>
    <w:rsid w:val="3D7F0772"/>
    <w:rsid w:val="3FAC4683"/>
    <w:rsid w:val="411E126F"/>
    <w:rsid w:val="4257556B"/>
    <w:rsid w:val="46C0437D"/>
    <w:rsid w:val="4AB53058"/>
    <w:rsid w:val="4DED4298"/>
    <w:rsid w:val="4E4E5B5B"/>
    <w:rsid w:val="4F103FBE"/>
    <w:rsid w:val="55CE7630"/>
    <w:rsid w:val="5A4A7D31"/>
    <w:rsid w:val="6223212B"/>
    <w:rsid w:val="71705FC9"/>
    <w:rsid w:val="7643321E"/>
    <w:rsid w:val="79110AD8"/>
    <w:rsid w:val="7FD87A6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unhideWhenUsed/>
    <w:qFormat/>
    <w:uiPriority w:val="1"/>
  </w:style>
  <w:style w:type="table" w:default="1" w:styleId="6">
    <w:name w:val="Normal Table"/>
    <w:semiHidden/>
    <w:unhideWhenUsed/>
    <w:uiPriority w:val="99"/>
    <w:tblPr>
      <w:tblCellMar>
        <w:top w:w="0" w:type="dxa"/>
        <w:left w:w="108" w:type="dxa"/>
        <w:bottom w:w="0" w:type="dxa"/>
        <w:right w:w="108" w:type="dxa"/>
      </w:tblCellMar>
    </w:tblPr>
  </w:style>
  <w:style w:type="paragraph" w:styleId="2">
    <w:name w:val="annotation text"/>
    <w:basedOn w:val="1"/>
    <w:qFormat/>
    <w:uiPriority w:val="0"/>
    <w:pPr>
      <w:jc w:val="left"/>
    </w:pPr>
  </w:style>
  <w:style w:type="paragraph" w:styleId="3">
    <w:name w:val="Body Text"/>
    <w:basedOn w:val="1"/>
    <w:next w:val="1"/>
    <w:qFormat/>
    <w:uiPriority w:val="0"/>
    <w:pPr>
      <w:spacing w:line="360" w:lineRule="auto"/>
    </w:pPr>
    <w:rPr>
      <w:szCs w:val="20"/>
    </w:rPr>
  </w:style>
  <w:style w:type="paragraph" w:styleId="4">
    <w:name w:val="footer"/>
    <w:basedOn w:val="1"/>
    <w:link w:val="9"/>
    <w:qFormat/>
    <w:uiPriority w:val="0"/>
    <w:pPr>
      <w:tabs>
        <w:tab w:val="center" w:pos="4153"/>
        <w:tab w:val="right" w:pos="8306"/>
      </w:tabs>
      <w:snapToGrid w:val="0"/>
      <w:jc w:val="left"/>
    </w:pPr>
    <w:rPr>
      <w:sz w:val="18"/>
      <w:szCs w:val="18"/>
    </w:rPr>
  </w:style>
  <w:style w:type="paragraph" w:styleId="5">
    <w:name w:val="header"/>
    <w:basedOn w:val="1"/>
    <w:link w:val="8"/>
    <w:qFormat/>
    <w:uiPriority w:val="0"/>
    <w:pPr>
      <w:tabs>
        <w:tab w:val="center" w:pos="4153"/>
        <w:tab w:val="right" w:pos="8306"/>
      </w:tabs>
      <w:snapToGrid w:val="0"/>
      <w:jc w:val="center"/>
    </w:pPr>
    <w:rPr>
      <w:sz w:val="18"/>
      <w:szCs w:val="18"/>
    </w:rPr>
  </w:style>
  <w:style w:type="character" w:customStyle="1" w:styleId="8">
    <w:name w:val="页眉 字符"/>
    <w:basedOn w:val="7"/>
    <w:link w:val="5"/>
    <w:qFormat/>
    <w:uiPriority w:val="0"/>
    <w:rPr>
      <w:kern w:val="2"/>
      <w:sz w:val="18"/>
      <w:szCs w:val="18"/>
    </w:rPr>
  </w:style>
  <w:style w:type="character" w:customStyle="1" w:styleId="9">
    <w:name w:val="页脚 字符"/>
    <w:basedOn w:val="7"/>
    <w:link w:val="4"/>
    <w:uiPriority w:val="0"/>
    <w:rPr>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1397</Words>
  <Characters>1510</Characters>
  <Lines>11</Lines>
  <Paragraphs>3</Paragraphs>
  <TotalTime>0</TotalTime>
  <ScaleCrop>false</ScaleCrop>
  <LinksUpToDate>false</LinksUpToDate>
  <CharactersWithSpaces>1518</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2026-03-09T12:32:00Z</dcterms:created>
  <dc:creator>12593</dc:creator>
  <cp:lastModifiedBy>T</cp:lastModifiedBy>
  <dcterms:modified xsi:type="dcterms:W3CDTF">2026-05-22T09:00:15Z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eyJoZGlkIjoiY2ViYzVjZWRlNDI4ODdlZTZiNWZmNGE5MjY0YzIwMzciLCJ1c2VySWQiOiI3MDQ3Nzg3NDUifQ==</vt:lpwstr>
  </property>
  <property fmtid="{D5CDD505-2E9C-101B-9397-08002B2CF9AE}" pid="4" name="ICV">
    <vt:lpwstr>4F3A7C11070049D9A0BC1A4CACC39B86_12</vt:lpwstr>
  </property>
</Properties>
</file>