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997E0">
      <w:pPr>
        <w:pStyle w:val="2"/>
        <w:spacing w:before="240" w:after="120" w:line="276" w:lineRule="auto"/>
        <w:rPr>
          <w:rFonts w:hint="eastAsia" w:ascii="宋体" w:hAnsi="宋体" w:eastAsia="宋体" w:cs="宋体"/>
          <w:b/>
          <w:bCs/>
          <w:i w:val="0"/>
          <w:iCs w:val="0"/>
          <w:color w:val="auto"/>
          <w:sz w:val="2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8"/>
          <w:szCs w:val="22"/>
          <w:lang w:val="en-US" w:eastAsia="en-US" w:bidi="ar-SA"/>
        </w:rPr>
        <w:t>核心服务要求</w:t>
      </w:r>
    </w:p>
    <w:p w14:paraId="45FD47AC">
      <w:pPr>
        <w:pStyle w:val="3"/>
        <w:numPr>
          <w:ilvl w:val="0"/>
          <w:numId w:val="2"/>
        </w:numPr>
        <w:spacing w:after="120" w:line="288" w:lineRule="auto"/>
        <w:ind w:left="0" w:leftChars="0" w:firstLine="420" w:firstLineChars="0"/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2"/>
          <w:lang w:val="en-US" w:eastAsia="en-US" w:bidi="ar-SA"/>
        </w:rPr>
        <w:t>资质与合规要求</w:t>
      </w:r>
    </w:p>
    <w:p w14:paraId="1A24E7E7">
      <w:pPr>
        <w:spacing w:after="120" w:line="240" w:lineRule="auto"/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★1. 投标人需具备有效的食品经营许可证，所供特医食品需符合《食品安全国家标准 特殊医学用途配方食品通则》要求，具备国家市场监督管理总局注册备案凭证。</w:t>
      </w:r>
      <w:r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★2. 所有供应产品可提供批次检验合格报告，原料来源可追溯，符合国家食品安全标准。</w:t>
      </w:r>
      <w:r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3. 配合采购人完成所有资质文件备案、监管部门检查工作，承担所有合规性责任。</w:t>
      </w:r>
      <w:r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4. 特医食品的选择及准入由采购人主导，中标人不得绑定任意品牌，不得恶意垄断。</w:t>
      </w:r>
    </w:p>
    <w:p w14:paraId="7352E15D">
      <w:pPr>
        <w:pStyle w:val="3"/>
        <w:numPr>
          <w:ilvl w:val="0"/>
          <w:numId w:val="2"/>
        </w:numPr>
        <w:spacing w:after="120" w:line="288" w:lineRule="auto"/>
        <w:ind w:left="0" w:leftChars="0" w:firstLine="420" w:firstLineChars="0"/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2"/>
          <w:lang w:val="en-US" w:eastAsia="en-US" w:bidi="ar-SA"/>
        </w:rPr>
        <w:t>人员配置要求</w:t>
      </w:r>
    </w:p>
    <w:p w14:paraId="0EE71CF4">
      <w:pPr>
        <w:spacing w:after="120" w:line="240" w:lineRule="auto"/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▲1. 常驻服务团队最低配置要求：</w:t>
      </w:r>
    </w:p>
    <w:p w14:paraId="3ACBF031">
      <w:pPr>
        <w:numPr>
          <w:ilvl w:val="0"/>
          <w:numId w:val="3"/>
        </w:numPr>
        <w:spacing w:after="120" w:line="240" w:lineRule="auto"/>
        <w:ind w:left="425" w:leftChars="0" w:hanging="425" w:firstLineChars="0"/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特医食品配制人员≥4名，持有有效期内健康证、食品从业人员培训合格证书，经医院院感、特医食品配制操作专项培训并考核合格后方可上岗；至少1名配制人员具备2年以上特医食品或营养餐配制工作经验；</w:t>
      </w:r>
    </w:p>
    <w:p w14:paraId="49204343">
      <w:pPr>
        <w:numPr>
          <w:ilvl w:val="0"/>
          <w:numId w:val="3"/>
        </w:numPr>
        <w:spacing w:after="120" w:line="240" w:lineRule="auto"/>
        <w:ind w:left="425" w:leftChars="0" w:hanging="425" w:firstLineChars="0"/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营养指导专业人员≥2名，其中至少1名持有注册营养师或临床营养师资格证书，具备临床营养相关工作经验；另1名持有公共营养师（三级及以上）资格证书，负责日常营养咨询、宣教工作；</w:t>
      </w:r>
    </w:p>
    <w:p w14:paraId="2000CC34">
      <w:pPr>
        <w:numPr>
          <w:ilvl w:val="0"/>
          <w:numId w:val="3"/>
        </w:numPr>
        <w:spacing w:after="120" w:line="240" w:lineRule="auto"/>
        <w:ind w:left="425" w:leftChars="0" w:hanging="425" w:firstLineChars="0"/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配送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辅助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及后勤人员≥1名，持有有效期内健康证，所有人员需无违法犯罪记录、无传染性疾病、无精神类疾病病史；配送及后勤人员可根据服务需求合理配置，所有人员需无违法犯罪记录。</w:t>
      </w:r>
    </w:p>
    <w:p w14:paraId="1180F5E5">
      <w:pPr>
        <w:numPr>
          <w:ilvl w:val="0"/>
          <w:numId w:val="3"/>
        </w:numPr>
        <w:spacing w:after="120" w:line="240" w:lineRule="auto"/>
        <w:ind w:left="425" w:leftChars="0" w:hanging="425" w:firstLineChars="0"/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中标人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应依法与所有派驻人员签订劳动合同，承担全部劳动用工、薪酬福利发放、社会保险缴纳、工伤事故、劳动争议、侵权损害等法定责任与全部费用。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采购人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仅对服务成果进行验收，不与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中标人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派驻人员形成任何劳动关系、劳务关系或用工关系，不承担任何用工主体责任。派驻人员在服务期间（含上下班途中）发生的工伤、意外伤害、疾病、劳资纠纷、侵权赔偿及法律责任等，均由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中标人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独立承担、全权处理，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采购人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不承担任何赔偿、补偿及连带责任。同时，派驻人员需严格遵守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采购人院内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各项规章制度，服从管理，不得以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中标人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名义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或私人名义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私自开展任何收费活动、产品宣传活动；</w:t>
      </w:r>
    </w:p>
    <w:p w14:paraId="7F33AB98">
      <w:pPr>
        <w:numPr>
          <w:ilvl w:val="0"/>
          <w:numId w:val="3"/>
        </w:numPr>
        <w:spacing w:after="120" w:line="240" w:lineRule="auto"/>
        <w:ind w:left="425" w:leftChars="0" w:hanging="425" w:firstLineChars="0"/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核心岗位人员（配制负责人、营养指导负责人）调整需提前15天向采购人书面报备，经采购人审批通过后方可更换，且新更换人员资质不得低于原有人员资质；核心岗位人员全年更换率不得超过20%，普通人员更换需提前7天报备。</w:t>
      </w:r>
    </w:p>
    <w:p w14:paraId="6F6E98D1">
      <w:pPr>
        <w:numPr>
          <w:ilvl w:val="0"/>
          <w:numId w:val="3"/>
        </w:numPr>
        <w:spacing w:after="120" w:line="240" w:lineRule="auto"/>
        <w:ind w:left="425" w:leftChars="0" w:hanging="425" w:firstLineChars="0"/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人员调整需提前7天向采购人报备，经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采购人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审批通过后方可更换，核心岗位人员更换率全年不得超过20%。</w:t>
      </w:r>
    </w:p>
    <w:p w14:paraId="47D1E3D3">
      <w:pPr>
        <w:pStyle w:val="3"/>
        <w:numPr>
          <w:ilvl w:val="0"/>
          <w:numId w:val="2"/>
        </w:numPr>
        <w:spacing w:after="120" w:line="288" w:lineRule="auto"/>
        <w:ind w:left="0" w:leftChars="0" w:firstLine="420" w:firstLineChars="0"/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2"/>
          <w:lang w:val="en-US" w:eastAsia="en-US" w:bidi="ar-SA"/>
        </w:rPr>
        <w:t>配制与仓储管理要求</w:t>
      </w:r>
    </w:p>
    <w:p w14:paraId="66748DFA">
      <w:pPr>
        <w:spacing w:after="120" w:line="240" w:lineRule="auto"/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★1. 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中标人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负责提供符合院感标准的特医食品配制设备、储存设施，满足温湿度管控、防鼠防蟑、效期管理要求，达到医院院感、医疗质控、水电消防、设施设备管理标准。</w:t>
      </w:r>
      <w:r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▲2. 建立完善的出入库台账、配制记录，做到账实相符，产品效期剩余不足整体效期三分之二时不得入库，交付时剩余保质期限不得少于总保质期的二分之一。</w:t>
      </w:r>
      <w:r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3. 配制过程严格遵循操作规范，做到批次可追溯，废弃物按医疗废物标准处置。</w:t>
      </w:r>
      <w:r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4. 按月度开展仓储安全检查，形成检查记录留存备查。</w:t>
      </w:r>
    </w:p>
    <w:p w14:paraId="08C0EB35">
      <w:pPr>
        <w:pStyle w:val="3"/>
        <w:numPr>
          <w:ilvl w:val="0"/>
          <w:numId w:val="2"/>
        </w:numPr>
        <w:spacing w:after="120" w:line="288" w:lineRule="auto"/>
        <w:ind w:left="0" w:leftChars="0" w:firstLine="420" w:firstLineChars="0"/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2"/>
          <w:lang w:val="en-US" w:eastAsia="en-US" w:bidi="ar-SA"/>
        </w:rPr>
        <w:t>供应链与特医食品原材料配送服务要求</w:t>
      </w:r>
    </w:p>
    <w:p w14:paraId="691C047A">
      <w:pPr>
        <w:numPr>
          <w:ilvl w:val="0"/>
          <w:numId w:val="4"/>
        </w:numPr>
        <w:spacing w:after="120" w:line="240" w:lineRule="auto"/>
        <w:ind w:left="425" w:leftChars="0" w:hanging="425" w:firstLineChars="0"/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供货时效要求：确保全年365天供货，接到采购需求1小时内响应，常规订单24小时内送达至院内临床营养配置中心交接区，紧急订单4小时内送达至院内临床营养配置中心交接区，节假日无休。</w:t>
      </w:r>
    </w:p>
    <w:p w14:paraId="4091F3DD">
      <w:pPr>
        <w:numPr>
          <w:ilvl w:val="0"/>
          <w:numId w:val="4"/>
        </w:numPr>
        <w:spacing w:after="120" w:line="240" w:lineRule="auto"/>
        <w:ind w:left="425" w:leftChars="0" w:hanging="425" w:firstLineChars="0"/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供货量级要求：每批次采购数量以采购人的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书面下单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为准，不论采购产品数量和金额多少，中标人均应保证配送，不得以任何理由拒绝或拖延供货。</w:t>
      </w:r>
    </w:p>
    <w:p w14:paraId="45DFCD3E">
      <w:pPr>
        <w:numPr>
          <w:ilvl w:val="0"/>
          <w:numId w:val="4"/>
        </w:numPr>
        <w:spacing w:after="120" w:line="240" w:lineRule="auto"/>
        <w:ind w:left="425" w:leftChars="0" w:hanging="425" w:firstLineChars="0"/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质量追溯要求：建立全链路质量追溯体系，每批次产品可溯源至生产批次及原材料来源，出现质量问题24小时内完成召回、退换货，承担所有相关损失及责任。</w:t>
      </w:r>
    </w:p>
    <w:p w14:paraId="54CA9628">
      <w:pPr>
        <w:numPr>
          <w:ilvl w:val="0"/>
          <w:numId w:val="4"/>
        </w:numPr>
        <w:spacing w:after="120" w:line="240" w:lineRule="auto"/>
        <w:ind w:left="425" w:leftChars="0" w:hanging="425" w:firstLineChars="0"/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产品质量要求：中标人提供的货物必须是全新的、无污染、无划损、无任何缺陷隐患，符合名称、规格、数量方面要求，不得随意贴牌、替换产品规格，否则采购人有权拒绝验收货物，按违约追究责任。</w:t>
      </w:r>
    </w:p>
    <w:p w14:paraId="78779387">
      <w:pPr>
        <w:numPr>
          <w:ilvl w:val="0"/>
          <w:numId w:val="4"/>
        </w:numPr>
        <w:spacing w:after="120" w:line="240" w:lineRule="auto"/>
        <w:ind w:left="425" w:leftChars="0" w:hanging="425" w:firstLineChars="0"/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配送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区域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：负责将特医食品原材料、成品、厂家预制的营养协定方产品配送至临床科室/患者</w:t>
      </w:r>
    </w:p>
    <w:p w14:paraId="5710C261">
      <w:pPr>
        <w:pStyle w:val="3"/>
        <w:numPr>
          <w:ilvl w:val="0"/>
          <w:numId w:val="2"/>
        </w:numPr>
        <w:spacing w:after="120" w:line="288" w:lineRule="auto"/>
        <w:ind w:left="0" w:leftChars="0" w:firstLine="420" w:firstLineChars="0"/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4"/>
          <w:szCs w:val="22"/>
          <w:lang w:val="en-US" w:eastAsia="en-US" w:bidi="ar-SA"/>
        </w:rPr>
        <w:t>增值服务与履约管理要求</w:t>
      </w:r>
    </w:p>
    <w:p w14:paraId="1E769B18">
      <w:pPr>
        <w:pStyle w:val="4"/>
        <w:numPr>
          <w:ilvl w:val="0"/>
          <w:numId w:val="5"/>
        </w:numPr>
        <w:spacing w:after="120" w:line="288" w:lineRule="auto"/>
        <w:ind w:left="360" w:leftChars="0" w:hanging="360" w:firstLineChars="0"/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服务质量改进：每月开展服务质量复盘，针对当月配送、质量、投诉等问题形成书面整改方案；建立全周期投诉管理台账，24小时响应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采购人科室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及患者投诉，按月整理投诉记录，形成问题归类、原因分析及整改措施报告提交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采购人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营养科备案。</w:t>
      </w:r>
    </w:p>
    <w:p w14:paraId="064EDDC0">
      <w:pPr>
        <w:pStyle w:val="4"/>
        <w:numPr>
          <w:ilvl w:val="0"/>
          <w:numId w:val="5"/>
        </w:numPr>
        <w:spacing w:after="120" w:line="288" w:lineRule="auto"/>
        <w:ind w:left="360" w:leftChars="0" w:hanging="360" w:firstLineChars="0"/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临床营养支持：配合医院开展营养科特色建设，每年为临床医护人员提供不少于4次特医食品使用、临床营养知识培训，培训形式可采用线上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及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线下结合，培训内容需提前报甲方营养科审核；协助开展营养门诊宣教、患者营养指导相关工作，所有临床沟通、培训活动需由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采购人的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营养科医生主导完成。</w:t>
      </w:r>
    </w:p>
    <w:p w14:paraId="0C8BACD1">
      <w:pPr>
        <w:pStyle w:val="4"/>
        <w:numPr>
          <w:ilvl w:val="0"/>
          <w:numId w:val="5"/>
        </w:numPr>
        <w:spacing w:after="120" w:line="288" w:lineRule="auto"/>
        <w:ind w:left="360" w:leftChars="0" w:hanging="360" w:firstLineChars="0"/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质量检测配合：承担所有产品质量检测相关费用，配合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采购人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完成日常抽检、监管部门飞行检查等工作，若产品检验发现质量问题，所有检验、复检费用均由中标人承担，同时承担相应的违约责任。</w:t>
      </w:r>
    </w:p>
    <w:p w14:paraId="443B38A1">
      <w:pPr>
        <w:pStyle w:val="4"/>
        <w:numPr>
          <w:ilvl w:val="0"/>
          <w:numId w:val="5"/>
        </w:numPr>
        <w:spacing w:after="120" w:line="288" w:lineRule="auto"/>
        <w:ind w:left="360" w:leftChars="0" w:hanging="360" w:firstLineChars="0"/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日常运营协助：协助采购人完成采购人现有的营养信息系统维护、接收采购人信息系统的特医食品信息、特医食品配制室日常卫生管理、效期盘点等工作；中标方派驻人员不得以医院或营养科名义私自到病房开展宣传、推销活动，不得损害医院及营养科形象，所有对外沟通、临床宣教活动需经甲方营养科审批同意后方可开展。</w:t>
      </w:r>
    </w:p>
    <w:p w14:paraId="45F4335E">
      <w:pPr>
        <w:pStyle w:val="4"/>
        <w:numPr>
          <w:ilvl w:val="0"/>
          <w:numId w:val="5"/>
        </w:numPr>
        <w:spacing w:after="120" w:line="288" w:lineRule="auto"/>
        <w:ind w:left="360" w:leftChars="0" w:hanging="360" w:firstLineChars="0"/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资料归档管理：按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采购人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要求妥善保存所有产品资质、配送记录、检验报告、培训记录等资料，配合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zh-CN" w:bidi="ar-SA"/>
        </w:rPr>
        <w:t>采购人</w:t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完成医保检查、绩效考核等相关资料调取工作。</w:t>
      </w:r>
    </w:p>
    <w:p w14:paraId="738DA884">
      <w:pPr>
        <w:pStyle w:val="4"/>
        <w:numPr>
          <w:ilvl w:val="0"/>
          <w:numId w:val="5"/>
        </w:numPr>
        <w:spacing w:after="120" w:line="288" w:lineRule="auto"/>
        <w:ind w:left="360" w:leftChars="0" w:hanging="360" w:firstLineChars="0"/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zh-CN" w:bidi="ar-SA"/>
        </w:rPr>
        <w:t>有</w:t>
      </w:r>
      <w:r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  <w:t>效期管理要求：中标人派驻人员需严格执行产品先进先出管理制度，每次到货后按效期远近划分存放区域，优先使用临近效期产品；每月配合营养科开展库存盘点，对效期不足6个月的产品主动提出退换货申请，因管理不当导致产品过期的损失由中标人全部承担。</w:t>
      </w:r>
    </w:p>
    <w:p w14:paraId="23605A5B">
      <w:pPr>
        <w:pStyle w:val="4"/>
        <w:numPr>
          <w:ilvl w:val="0"/>
          <w:numId w:val="5"/>
        </w:numPr>
        <w:spacing w:after="120" w:line="288" w:lineRule="auto"/>
        <w:ind w:left="360" w:leftChars="0" w:hanging="360" w:firstLineChars="0"/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  <w:t>仓储管理专项培训：中标人需每季度针对院内营养配置中心工作人员、第三方配送人员开展1次仓储管理专项培训，内容包括特医食品效期管理、先进先出操作规范、温湿度储存要求、院感管理标准、临期产品处置流程等，培训材料需提前提交营养科审核。</w:t>
      </w:r>
    </w:p>
    <w:p w14:paraId="11DDADEA">
      <w:pPr>
        <w:pStyle w:val="2"/>
        <w:spacing w:before="240" w:after="120" w:line="276" w:lineRule="auto"/>
        <w:rPr>
          <w:rFonts w:hint="eastAsia" w:ascii="宋体" w:hAnsi="宋体" w:eastAsia="宋体" w:cs="宋体"/>
          <w:b/>
          <w:bCs/>
          <w:i w:val="0"/>
          <w:iCs w:val="0"/>
          <w:color w:val="auto"/>
          <w:sz w:val="2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8"/>
          <w:szCs w:val="22"/>
          <w:lang w:val="en-US" w:eastAsia="zh-CN" w:bidi="ar-SA"/>
        </w:rPr>
        <w:t>（六）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sz w:val="28"/>
          <w:szCs w:val="22"/>
          <w:lang w:val="en-US" w:eastAsia="en-US" w:bidi="ar-SA"/>
        </w:rPr>
        <w:t>验收要求</w:t>
      </w:r>
    </w:p>
    <w:p w14:paraId="7D833336">
      <w:pPr>
        <w:spacing w:after="120" w:line="240" w:lineRule="auto"/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</w:pP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★1. 所供应配送的产品必须符合《中华人民共和国食品安全法》等规定，投标时提供承诺函加盖公章。</w:t>
      </w:r>
      <w:r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★2. 所供应配送的产品必须符合国家行业生产及经营标准，货真价实，均能提供相应批次的合格检验证明，投标时提供承诺函加盖公章。</w:t>
      </w:r>
      <w:r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★3. 所供应配送的产品必须各项技术指标完全符合国家有关质量检测、环保标准及产品出厂标准，投标时提供承诺函加盖公章。</w:t>
      </w:r>
      <w:r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4. 中标人必须负责产品的运输、质量检测等工作，所产生的费用由中标人负责。</w:t>
      </w:r>
      <w:r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5. 所供应配送的产品必须按时按量按质送到采购人指定地点，并当面核实品种及数量。验收完毕后，双方必须在送货清单上签名确认，送货清单作为采购人支付货款的依据之一。</w:t>
      </w:r>
      <w:r>
        <w:rPr>
          <w:rFonts w:hint="eastAsia" w:ascii="宋体" w:hAnsi="宋体" w:eastAsia="宋体" w:cs="宋体"/>
          <w:i w:val="0"/>
          <w:iCs w:val="0"/>
          <w:color w:val="auto"/>
          <w:sz w:val="22"/>
          <w:szCs w:val="22"/>
          <w:lang w:val="en-US" w:eastAsia="en-US" w:bidi="ar-SA"/>
        </w:rPr>
        <w:br w:type="textWrapping"/>
      </w:r>
      <w:r>
        <w:rPr>
          <w:rFonts w:hint="eastAsia" w:ascii="宋体" w:hAnsi="宋体" w:eastAsia="宋体" w:cs="宋体"/>
          <w:i w:val="0"/>
          <w:iCs w:val="0"/>
          <w:color w:val="auto"/>
          <w:sz w:val="21"/>
          <w:szCs w:val="22"/>
          <w:lang w:val="en-US" w:eastAsia="en-US" w:bidi="ar-SA"/>
        </w:rPr>
        <w:t>6. 对不符合规格及质量要求的货物，中标人必须无条件退货；因中标人供货质量问题造成退货、换货，每出现一次扣罚货款5000元。如类似问题出现三次，除了扣除相应货款外，采购人有权无条件解除合同。</w:t>
      </w:r>
    </w:p>
    <w:p w14:paraId="2365A2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2A7B67"/>
    <w:multiLevelType w:val="singleLevel"/>
    <w:tmpl w:val="B32A7B67"/>
    <w:lvl w:ilvl="0" w:tentative="0">
      <w:start w:val="1"/>
      <w:numFmt w:val="decimal"/>
      <w:pStyle w:val="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1">
    <w:nsid w:val="FFFFFF88"/>
    <w:multiLevelType w:val="singleLevel"/>
    <w:tmpl w:val="FFFFFF88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2">
    <w:nsid w:val="15ED018B"/>
    <w:multiLevelType w:val="singleLevel"/>
    <w:tmpl w:val="15ED018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24F6B504"/>
    <w:multiLevelType w:val="singleLevel"/>
    <w:tmpl w:val="24F6B504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>
    <w:nsid w:val="45B40D3A"/>
    <w:multiLevelType w:val="singleLevel"/>
    <w:tmpl w:val="45B40D3A"/>
    <w:lvl w:ilvl="0" w:tentative="0">
      <w:start w:val="1"/>
      <w:numFmt w:val="decimal"/>
      <w:suff w:val="space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553C5"/>
    <w:rsid w:val="4D0553C5"/>
    <w:rsid w:val="6A26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874CB" w:themeColor="accent1"/>
      <w14:textFill>
        <w14:solidFill>
          <w14:schemeClr w14:val="accent1"/>
        </w14:solidFill>
      </w14:textFill>
    </w:rPr>
  </w:style>
  <w:style w:type="paragraph" w:styleId="3">
    <w:name w:val="heading 4"/>
    <w:basedOn w:val="1"/>
    <w:next w:val="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874CB" w:themeColor="accent1"/>
      <w14:textFill>
        <w14:solidFill>
          <w14:schemeClr w14:val="accent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Number"/>
    <w:basedOn w:val="1"/>
    <w:uiPriority w:val="0"/>
    <w:pPr>
      <w:numPr>
        <w:ilvl w:val="0"/>
        <w:numId w:val="1"/>
      </w:numPr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2607</Words>
  <Characters>2635</Characters>
  <Lines>0</Lines>
  <Paragraphs>0</Paragraphs>
  <TotalTime>4</TotalTime>
  <ScaleCrop>false</ScaleCrop>
  <LinksUpToDate>false</LinksUpToDate>
  <CharactersWithSpaces>2651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2026-07-31T08:23:00Z</dcterms:created>
  <dc:creator>netuser</dc:creator>
  <cp:lastModifiedBy>netuser</cp:lastModifiedBy>
  <dcterms:modified xsi:type="dcterms:W3CDTF">2026-09-08T08:01:02Z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22EC429958C74A17A0A4AD35425EB475_13</vt:lpwstr>
  </property>
  <property fmtid="{D5CDD505-2E9C-101B-9397-08002B2CF9AE}" pid="4" name="KSOTemplateDocerSaveRecord">
    <vt:lpwstr>eyJoZGlkIjoiZDlhZWIyOTAxZDE1NTQ5NTlkZTY2NjFkNzMxNTFjYjMiLCJ1c2VySWQiOiIyMzE0NTU4MDEifQ==</vt:lpwstr>
  </property>
</Properties>
</file>