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ECFED0">
      <w:pPr>
        <w:spacing w:line="360" w:lineRule="auto"/>
        <w:rPr>
          <w:rFonts w:hint="eastAsia" w:ascii="宋体" w:hAnsi="宋体" w:cs="宋体"/>
          <w:sz w:val="22"/>
          <w:szCs w:val="22"/>
        </w:rPr>
      </w:pPr>
    </w:p>
    <w:p w14:paraId="2D60B770">
      <w:pPr>
        <w:jc w:val="center"/>
        <w:rPr>
          <w:rFonts w:hint="eastAsia" w:hAnsi="宋体" w:cs="方正大标宋简体"/>
          <w:b/>
          <w:bCs/>
          <w:sz w:val="36"/>
          <w:szCs w:val="36"/>
        </w:rPr>
      </w:pPr>
      <w:r>
        <w:rPr>
          <w:rFonts w:hint="eastAsia" w:hAnsi="宋体" w:cs="方正大标宋简体"/>
          <w:b/>
          <w:bCs/>
          <w:sz w:val="36"/>
          <w:szCs w:val="36"/>
        </w:rPr>
        <w:t>门诊药房自动发药系统项目需求</w:t>
      </w:r>
    </w:p>
    <w:p w14:paraId="726A03AC">
      <w:pPr>
        <w:pStyle w:val="27"/>
        <w:jc w:val="left"/>
        <w:rPr>
          <w:rFonts w:hint="eastAsia" w:ascii="宋体" w:hAnsi="宋体"/>
        </w:rPr>
      </w:pPr>
      <w:r>
        <w:rPr>
          <w:rFonts w:hint="eastAsia" w:ascii="宋体" w:hAnsi="宋体"/>
        </w:rPr>
        <w:t>一、项目需求清单表</w:t>
      </w:r>
    </w:p>
    <w:tbl>
      <w:tblPr>
        <w:tblStyle w:val="28"/>
        <w:tblW w:w="1009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3"/>
        <w:gridCol w:w="3450"/>
        <w:gridCol w:w="2580"/>
        <w:gridCol w:w="3260"/>
      </w:tblGrid>
      <w:tr w14:paraId="01869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3" w:type="dxa"/>
          </w:tcPr>
          <w:p w14:paraId="681BE255">
            <w:pPr>
              <w:spacing w:line="360" w:lineRule="auto"/>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序号</w:t>
            </w:r>
          </w:p>
        </w:tc>
        <w:tc>
          <w:tcPr>
            <w:tcW w:w="3450" w:type="dxa"/>
          </w:tcPr>
          <w:p w14:paraId="10C6B2AB">
            <w:pPr>
              <w:spacing w:line="360" w:lineRule="auto"/>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产品名称</w:t>
            </w:r>
          </w:p>
        </w:tc>
        <w:tc>
          <w:tcPr>
            <w:tcW w:w="2580" w:type="dxa"/>
          </w:tcPr>
          <w:p w14:paraId="31C11128">
            <w:pPr>
              <w:spacing w:line="360" w:lineRule="auto"/>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数量 (套)</w:t>
            </w:r>
          </w:p>
        </w:tc>
        <w:tc>
          <w:tcPr>
            <w:tcW w:w="3260" w:type="dxa"/>
          </w:tcPr>
          <w:p w14:paraId="56BBE680">
            <w:pPr>
              <w:spacing w:line="360" w:lineRule="auto"/>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备注</w:t>
            </w:r>
          </w:p>
        </w:tc>
      </w:tr>
      <w:tr w14:paraId="70BF4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3" w:type="dxa"/>
          </w:tcPr>
          <w:p w14:paraId="22FA7C83">
            <w:pPr>
              <w:spacing w:line="360" w:lineRule="auto"/>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3450" w:type="dxa"/>
          </w:tcPr>
          <w:p w14:paraId="7E877AEA">
            <w:pPr>
              <w:spacing w:line="360" w:lineRule="auto"/>
              <w:rPr>
                <w:rFonts w:hint="eastAsia" w:asciiTheme="majorEastAsia" w:hAnsiTheme="majorEastAsia" w:eastAsiaTheme="majorEastAsia" w:cstheme="majorEastAsia"/>
                <w:szCs w:val="21"/>
              </w:rPr>
            </w:pPr>
            <w:bookmarkStart w:id="0" w:name="_Hlk187477226"/>
            <w:r>
              <w:rPr>
                <w:rFonts w:hint="eastAsia" w:asciiTheme="majorEastAsia" w:hAnsiTheme="majorEastAsia" w:eastAsiaTheme="majorEastAsia" w:cstheme="majorEastAsia"/>
                <w:szCs w:val="21"/>
              </w:rPr>
              <w:t>门诊药房自动发药系统</w:t>
            </w:r>
            <w:bookmarkEnd w:id="0"/>
          </w:p>
        </w:tc>
        <w:tc>
          <w:tcPr>
            <w:tcW w:w="2580" w:type="dxa"/>
          </w:tcPr>
          <w:p w14:paraId="2E8359BC">
            <w:pPr>
              <w:spacing w:line="360" w:lineRule="auto"/>
              <w:jc w:val="center"/>
              <w:rPr>
                <w:rFonts w:hint="eastAsia" w:asciiTheme="majorEastAsia" w:hAnsiTheme="majorEastAsia" w:eastAsiaTheme="majorEastAsia" w:cstheme="majorEastAsia"/>
                <w:szCs w:val="21"/>
                <w:lang w:eastAsia="zh-CN"/>
              </w:rPr>
            </w:pPr>
            <w:r>
              <w:rPr>
                <w:rFonts w:hint="eastAsia" w:asciiTheme="majorEastAsia" w:hAnsiTheme="majorEastAsia" w:eastAsiaTheme="majorEastAsia" w:cstheme="majorEastAsia"/>
                <w:szCs w:val="21"/>
                <w:lang w:val="en-US" w:eastAsia="zh-CN"/>
              </w:rPr>
              <w:t>2</w:t>
            </w:r>
          </w:p>
        </w:tc>
        <w:tc>
          <w:tcPr>
            <w:tcW w:w="3260" w:type="dxa"/>
          </w:tcPr>
          <w:p w14:paraId="001640C4">
            <w:pPr>
              <w:spacing w:line="360" w:lineRule="auto"/>
              <w:jc w:val="center"/>
              <w:rPr>
                <w:rFonts w:hint="eastAsia" w:asciiTheme="majorEastAsia" w:hAnsiTheme="majorEastAsia" w:eastAsiaTheme="majorEastAsia" w:cstheme="majorEastAsia"/>
                <w:szCs w:val="21"/>
              </w:rPr>
            </w:pPr>
          </w:p>
        </w:tc>
      </w:tr>
    </w:tbl>
    <w:p w14:paraId="75F658D7">
      <w:pPr>
        <w:rPr>
          <w:rFonts w:hint="eastAsia" w:hAnsi="宋体"/>
          <w:szCs w:val="21"/>
        </w:rPr>
      </w:pPr>
    </w:p>
    <w:p w14:paraId="06BB21A0">
      <w:pPr>
        <w:pStyle w:val="27"/>
        <w:jc w:val="left"/>
        <w:rPr>
          <w:rFonts w:hint="eastAsia" w:ascii="宋体" w:hAnsi="宋体"/>
        </w:rPr>
      </w:pPr>
      <w:r>
        <w:rPr>
          <w:rFonts w:hint="eastAsia" w:ascii="宋体" w:hAnsi="宋体"/>
        </w:rPr>
        <w:t>二、技术要求</w:t>
      </w:r>
    </w:p>
    <w:tbl>
      <w:tblPr>
        <w:tblStyle w:val="28"/>
        <w:tblW w:w="1009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9247"/>
      </w:tblGrid>
      <w:tr w14:paraId="2288E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5405B1CB">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序号</w:t>
            </w:r>
          </w:p>
        </w:tc>
        <w:tc>
          <w:tcPr>
            <w:tcW w:w="9247" w:type="dxa"/>
            <w:vAlign w:val="center"/>
          </w:tcPr>
          <w:p w14:paraId="79829B33">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内容</w:t>
            </w:r>
          </w:p>
        </w:tc>
      </w:tr>
      <w:tr w14:paraId="732F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91DF425">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一</w:t>
            </w:r>
          </w:p>
        </w:tc>
        <w:tc>
          <w:tcPr>
            <w:tcW w:w="9247" w:type="dxa"/>
            <w:vAlign w:val="center"/>
          </w:tcPr>
          <w:p w14:paraId="0D2C2FB9">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项目基本情况</w:t>
            </w:r>
          </w:p>
        </w:tc>
      </w:tr>
      <w:tr w14:paraId="6E592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0143052">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w:t>
            </w:r>
          </w:p>
        </w:tc>
        <w:tc>
          <w:tcPr>
            <w:tcW w:w="9247" w:type="dxa"/>
            <w:vAlign w:val="center"/>
          </w:tcPr>
          <w:p w14:paraId="218E622D">
            <w:pPr>
              <w:widowControl/>
              <w:spacing w:line="360" w:lineRule="auto"/>
              <w:textAlignment w:val="top"/>
              <w:rPr>
                <w:rFonts w:hint="eastAsia" w:asciiTheme="majorEastAsia" w:hAnsiTheme="majorEastAsia" w:eastAsiaTheme="majorEastAsia" w:cstheme="majorEastAsia"/>
                <w:color w:val="000000"/>
                <w:kern w:val="0"/>
                <w:szCs w:val="21"/>
              </w:rPr>
            </w:pPr>
            <w:r>
              <w:rPr>
                <w:rFonts w:hint="eastAsia" w:asciiTheme="majorEastAsia" w:hAnsiTheme="majorEastAsia" w:eastAsiaTheme="majorEastAsia" w:cstheme="majorEastAsia"/>
                <w:color w:val="000000"/>
                <w:kern w:val="0"/>
                <w:szCs w:val="21"/>
              </w:rPr>
              <w:t>本项目可实现门诊药房的仓储、调配、传输、核对、发放等各流程的智慧管理。配置设备可处理包含盒装（瓶装）、针剂、拆零、麻精、冷藏等药品的管理和发放，以及发药追溯、发药数据可视化管理等软件系统。配置两套快速发药系统可满足6000张处方/天发药需求。两套发药系统整体储药量≥4万盒。两台机器均可实现24小时无人自动加药，并最终达到库发一体化效果。系统可实现智能效期管理、智能盘点功能、智能工作量统计等全程自动化。（提供承诺函）</w:t>
            </w:r>
          </w:p>
        </w:tc>
      </w:tr>
      <w:tr w14:paraId="0F27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E5A6115">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二</w:t>
            </w:r>
          </w:p>
        </w:tc>
        <w:tc>
          <w:tcPr>
            <w:tcW w:w="9247" w:type="dxa"/>
            <w:vAlign w:val="center"/>
          </w:tcPr>
          <w:p w14:paraId="1C4B4875">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配置需求</w:t>
            </w:r>
          </w:p>
        </w:tc>
      </w:tr>
      <w:tr w14:paraId="194B9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A18AD77">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w:t>
            </w:r>
          </w:p>
        </w:tc>
        <w:tc>
          <w:tcPr>
            <w:tcW w:w="9247" w:type="dxa"/>
            <w:vAlign w:val="center"/>
          </w:tcPr>
          <w:p w14:paraId="1FC3B448">
            <w:pP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本项目要求提供不少于以下配置清单，投标供应商必须按下列清单提供相应产品并注明产品品牌、型号及数量。</w:t>
            </w:r>
          </w:p>
          <w:p w14:paraId="31E7DFFC">
            <w:pPr>
              <w:rPr>
                <w:rFonts w:hint="eastAsia" w:asciiTheme="majorEastAsia" w:hAnsiTheme="majorEastAsia" w:eastAsiaTheme="majorEastAsia" w:cstheme="majorEastAsia"/>
                <w:b/>
                <w:szCs w:val="21"/>
              </w:rPr>
            </w:pPr>
            <w:r>
              <w:rPr>
                <w:rFonts w:hint="eastAsia" w:asciiTheme="majorEastAsia" w:hAnsiTheme="majorEastAsia" w:eastAsiaTheme="majorEastAsia" w:cstheme="majorEastAsia"/>
                <w:b/>
                <w:szCs w:val="21"/>
              </w:rPr>
              <w:t>配置清单：</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6"/>
              <w:gridCol w:w="3421"/>
              <w:gridCol w:w="955"/>
              <w:gridCol w:w="851"/>
            </w:tblGrid>
            <w:tr w14:paraId="200D1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2788985F">
                  <w:pPr>
                    <w:autoSpaceDE w:val="0"/>
                    <w:autoSpaceDN w:val="0"/>
                    <w:jc w:val="center"/>
                    <w:rPr>
                      <w:rFonts w:hint="eastAsia" w:asciiTheme="majorEastAsia" w:hAnsiTheme="majorEastAsia" w:eastAsiaTheme="majorEastAsia" w:cstheme="majorEastAsia"/>
                      <w:b/>
                      <w:szCs w:val="21"/>
                    </w:rPr>
                  </w:pPr>
                  <w:r>
                    <w:rPr>
                      <w:rFonts w:hint="eastAsia" w:asciiTheme="majorEastAsia" w:hAnsiTheme="majorEastAsia" w:eastAsiaTheme="majorEastAsia" w:cstheme="majorEastAsia"/>
                      <w:b/>
                      <w:szCs w:val="21"/>
                    </w:rPr>
                    <w:t>序号</w:t>
                  </w:r>
                </w:p>
              </w:tc>
              <w:tc>
                <w:tcPr>
                  <w:tcW w:w="3421" w:type="dxa"/>
                  <w:vAlign w:val="center"/>
                </w:tcPr>
                <w:p w14:paraId="3E4A357A">
                  <w:pPr>
                    <w:autoSpaceDE w:val="0"/>
                    <w:autoSpaceDN w:val="0"/>
                    <w:jc w:val="left"/>
                    <w:rPr>
                      <w:rFonts w:hint="eastAsia" w:asciiTheme="majorEastAsia" w:hAnsiTheme="majorEastAsia" w:eastAsiaTheme="majorEastAsia" w:cstheme="majorEastAsia"/>
                      <w:b/>
                      <w:szCs w:val="21"/>
                    </w:rPr>
                  </w:pPr>
                  <w:r>
                    <w:rPr>
                      <w:rFonts w:hint="eastAsia" w:asciiTheme="majorEastAsia" w:hAnsiTheme="majorEastAsia" w:eastAsiaTheme="majorEastAsia" w:cstheme="majorEastAsia"/>
                      <w:b/>
                      <w:szCs w:val="21"/>
                    </w:rPr>
                    <w:t>名称</w:t>
                  </w:r>
                </w:p>
              </w:tc>
              <w:tc>
                <w:tcPr>
                  <w:tcW w:w="955" w:type="dxa"/>
                  <w:vAlign w:val="center"/>
                </w:tcPr>
                <w:p w14:paraId="3FF24F4E">
                  <w:pPr>
                    <w:autoSpaceDE w:val="0"/>
                    <w:autoSpaceDN w:val="0"/>
                    <w:jc w:val="left"/>
                    <w:rPr>
                      <w:rFonts w:hint="eastAsia" w:asciiTheme="majorEastAsia" w:hAnsiTheme="majorEastAsia" w:eastAsiaTheme="majorEastAsia" w:cstheme="majorEastAsia"/>
                      <w:b/>
                      <w:szCs w:val="21"/>
                    </w:rPr>
                  </w:pPr>
                  <w:r>
                    <w:rPr>
                      <w:rFonts w:hint="eastAsia" w:asciiTheme="majorEastAsia" w:hAnsiTheme="majorEastAsia" w:eastAsiaTheme="majorEastAsia" w:cstheme="majorEastAsia"/>
                      <w:b/>
                      <w:szCs w:val="21"/>
                    </w:rPr>
                    <w:t>数量</w:t>
                  </w:r>
                </w:p>
              </w:tc>
              <w:tc>
                <w:tcPr>
                  <w:tcW w:w="851" w:type="dxa"/>
                  <w:vAlign w:val="center"/>
                </w:tcPr>
                <w:p w14:paraId="4DD92FD6">
                  <w:pPr>
                    <w:autoSpaceDE w:val="0"/>
                    <w:autoSpaceDN w:val="0"/>
                    <w:jc w:val="left"/>
                    <w:rPr>
                      <w:rFonts w:hint="eastAsia" w:asciiTheme="majorEastAsia" w:hAnsiTheme="majorEastAsia" w:eastAsiaTheme="majorEastAsia" w:cstheme="majorEastAsia"/>
                      <w:b/>
                      <w:szCs w:val="21"/>
                    </w:rPr>
                  </w:pPr>
                  <w:r>
                    <w:rPr>
                      <w:rFonts w:hint="eastAsia" w:asciiTheme="majorEastAsia" w:hAnsiTheme="majorEastAsia" w:eastAsiaTheme="majorEastAsia" w:cstheme="majorEastAsia"/>
                      <w:b/>
                      <w:szCs w:val="21"/>
                    </w:rPr>
                    <w:t>单位</w:t>
                  </w:r>
                </w:p>
              </w:tc>
            </w:tr>
            <w:tr w14:paraId="57B1F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302D2DAB">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3421" w:type="dxa"/>
                  <w:vAlign w:val="center"/>
                </w:tcPr>
                <w:p w14:paraId="503DD163">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快速发药系统</w:t>
                  </w:r>
                </w:p>
              </w:tc>
              <w:tc>
                <w:tcPr>
                  <w:tcW w:w="955" w:type="dxa"/>
                  <w:vAlign w:val="center"/>
                </w:tcPr>
                <w:p w14:paraId="6E969BC1">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2</w:t>
                  </w:r>
                </w:p>
              </w:tc>
              <w:tc>
                <w:tcPr>
                  <w:tcW w:w="851" w:type="dxa"/>
                  <w:vAlign w:val="center"/>
                </w:tcPr>
                <w:p w14:paraId="22E21E52">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30D32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613CD8C8">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2</w:t>
                  </w:r>
                </w:p>
              </w:tc>
              <w:tc>
                <w:tcPr>
                  <w:tcW w:w="3421" w:type="dxa"/>
                  <w:vAlign w:val="center"/>
                </w:tcPr>
                <w:p w14:paraId="76556DB5">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高速发药系统</w:t>
                  </w:r>
                </w:p>
              </w:tc>
              <w:tc>
                <w:tcPr>
                  <w:tcW w:w="955" w:type="dxa"/>
                  <w:vAlign w:val="center"/>
                </w:tcPr>
                <w:p w14:paraId="465EBF06">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3BD33633">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523EA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2F9AA0D0">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3</w:t>
                  </w:r>
                </w:p>
              </w:tc>
              <w:tc>
                <w:tcPr>
                  <w:tcW w:w="3421" w:type="dxa"/>
                  <w:vAlign w:val="center"/>
                </w:tcPr>
                <w:p w14:paraId="5A18069B">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整处方传输系统</w:t>
                  </w:r>
                </w:p>
              </w:tc>
              <w:tc>
                <w:tcPr>
                  <w:tcW w:w="955" w:type="dxa"/>
                  <w:vAlign w:val="center"/>
                </w:tcPr>
                <w:p w14:paraId="66C2473E">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2</w:t>
                  </w:r>
                </w:p>
              </w:tc>
              <w:tc>
                <w:tcPr>
                  <w:tcW w:w="851" w:type="dxa"/>
                  <w:vAlign w:val="center"/>
                </w:tcPr>
                <w:p w14:paraId="4633F4AF">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53734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493D8421">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4</w:t>
                  </w:r>
                </w:p>
              </w:tc>
              <w:tc>
                <w:tcPr>
                  <w:tcW w:w="3421" w:type="dxa"/>
                  <w:vAlign w:val="center"/>
                </w:tcPr>
                <w:p w14:paraId="5802CED0">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智能亮灯药筐与智能发药系统</w:t>
                  </w:r>
                </w:p>
              </w:tc>
              <w:tc>
                <w:tcPr>
                  <w:tcW w:w="955" w:type="dxa"/>
                  <w:vAlign w:val="center"/>
                </w:tcPr>
                <w:p w14:paraId="7EC4DFD2">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61CB6875">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474E1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6" w:type="dxa"/>
                  <w:vAlign w:val="center"/>
                </w:tcPr>
                <w:p w14:paraId="07EC5873">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5</w:t>
                  </w:r>
                </w:p>
              </w:tc>
              <w:tc>
                <w:tcPr>
                  <w:tcW w:w="3421" w:type="dxa"/>
                  <w:vAlign w:val="center"/>
                </w:tcPr>
                <w:p w14:paraId="1109EB74">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智能拆零机</w:t>
                  </w:r>
                </w:p>
              </w:tc>
              <w:tc>
                <w:tcPr>
                  <w:tcW w:w="955" w:type="dxa"/>
                  <w:vAlign w:val="center"/>
                </w:tcPr>
                <w:p w14:paraId="449A730B">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743C45C9">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台</w:t>
                  </w:r>
                </w:p>
              </w:tc>
            </w:tr>
            <w:tr w14:paraId="19523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19445E6E">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6</w:t>
                  </w:r>
                </w:p>
              </w:tc>
              <w:tc>
                <w:tcPr>
                  <w:tcW w:w="3421" w:type="dxa"/>
                  <w:vAlign w:val="center"/>
                </w:tcPr>
                <w:p w14:paraId="6EE76AF0">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智能麻精柜</w:t>
                  </w:r>
                </w:p>
              </w:tc>
              <w:tc>
                <w:tcPr>
                  <w:tcW w:w="955" w:type="dxa"/>
                  <w:vAlign w:val="center"/>
                </w:tcPr>
                <w:p w14:paraId="3EFE763E">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430B0882">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台</w:t>
                  </w:r>
                </w:p>
              </w:tc>
            </w:tr>
            <w:tr w14:paraId="6E819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0128FBEF">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7</w:t>
                  </w:r>
                </w:p>
              </w:tc>
              <w:tc>
                <w:tcPr>
                  <w:tcW w:w="3421" w:type="dxa"/>
                  <w:vAlign w:val="center"/>
                </w:tcPr>
                <w:p w14:paraId="1C55A00C">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发药追溯系统</w:t>
                  </w:r>
                </w:p>
              </w:tc>
              <w:tc>
                <w:tcPr>
                  <w:tcW w:w="955" w:type="dxa"/>
                  <w:vAlign w:val="center"/>
                </w:tcPr>
                <w:p w14:paraId="1BE9A3E3">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6D40EAEE">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0B33E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7D4FF40E">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8</w:t>
                  </w:r>
                </w:p>
              </w:tc>
              <w:tc>
                <w:tcPr>
                  <w:tcW w:w="3421" w:type="dxa"/>
                  <w:vAlign w:val="center"/>
                </w:tcPr>
                <w:p w14:paraId="7F52BB56">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智慧药房中央大屏系统</w:t>
                  </w:r>
                </w:p>
              </w:tc>
              <w:tc>
                <w:tcPr>
                  <w:tcW w:w="955" w:type="dxa"/>
                  <w:vAlign w:val="center"/>
                </w:tcPr>
                <w:p w14:paraId="23E9D4FE">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w:t>
                  </w:r>
                </w:p>
              </w:tc>
              <w:tc>
                <w:tcPr>
                  <w:tcW w:w="851" w:type="dxa"/>
                  <w:vAlign w:val="center"/>
                </w:tcPr>
                <w:p w14:paraId="5C9CECC3">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r w14:paraId="62395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6086789C">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9</w:t>
                  </w:r>
                </w:p>
              </w:tc>
              <w:tc>
                <w:tcPr>
                  <w:tcW w:w="3421" w:type="dxa"/>
                  <w:vAlign w:val="center"/>
                </w:tcPr>
                <w:p w14:paraId="21CDE685">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医用冷藏箱</w:t>
                  </w:r>
                </w:p>
              </w:tc>
              <w:tc>
                <w:tcPr>
                  <w:tcW w:w="955" w:type="dxa"/>
                  <w:vAlign w:val="center"/>
                </w:tcPr>
                <w:p w14:paraId="73113ABB">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2</w:t>
                  </w:r>
                </w:p>
              </w:tc>
              <w:tc>
                <w:tcPr>
                  <w:tcW w:w="851" w:type="dxa"/>
                  <w:vAlign w:val="center"/>
                </w:tcPr>
                <w:p w14:paraId="7706FD89">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台</w:t>
                  </w:r>
                </w:p>
              </w:tc>
            </w:tr>
            <w:tr w14:paraId="562A3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6" w:type="dxa"/>
                  <w:vAlign w:val="center"/>
                </w:tcPr>
                <w:p w14:paraId="4CB0803E">
                  <w:pPr>
                    <w:autoSpaceDE w:val="0"/>
                    <w:autoSpaceDN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10</w:t>
                  </w:r>
                </w:p>
              </w:tc>
              <w:tc>
                <w:tcPr>
                  <w:tcW w:w="3421" w:type="dxa"/>
                  <w:vAlign w:val="center"/>
                </w:tcPr>
                <w:p w14:paraId="2A34B42D">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自动补药机器人</w:t>
                  </w:r>
                </w:p>
              </w:tc>
              <w:tc>
                <w:tcPr>
                  <w:tcW w:w="955" w:type="dxa"/>
                  <w:vAlign w:val="center"/>
                </w:tcPr>
                <w:p w14:paraId="42F0DA2B">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2</w:t>
                  </w:r>
                </w:p>
              </w:tc>
              <w:tc>
                <w:tcPr>
                  <w:tcW w:w="851" w:type="dxa"/>
                  <w:vAlign w:val="center"/>
                </w:tcPr>
                <w:p w14:paraId="2CEE89D3">
                  <w:pPr>
                    <w:autoSpaceDE w:val="0"/>
                    <w:autoSpaceDN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套</w:t>
                  </w:r>
                </w:p>
              </w:tc>
            </w:tr>
          </w:tbl>
          <w:p w14:paraId="2C216C7C">
            <w:pPr>
              <w:adjustRightInd w:val="0"/>
              <w:snapToGrid w:val="0"/>
              <w:rPr>
                <w:rFonts w:hint="eastAsia" w:asciiTheme="majorEastAsia" w:hAnsiTheme="majorEastAsia" w:eastAsiaTheme="majorEastAsia" w:cstheme="majorEastAsia"/>
                <w:b/>
                <w:bCs/>
                <w:szCs w:val="21"/>
              </w:rPr>
            </w:pPr>
          </w:p>
        </w:tc>
      </w:tr>
      <w:tr w14:paraId="5FBB0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2EE05EC">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三</w:t>
            </w:r>
          </w:p>
        </w:tc>
        <w:tc>
          <w:tcPr>
            <w:tcW w:w="9247" w:type="dxa"/>
            <w:vAlign w:val="center"/>
          </w:tcPr>
          <w:p w14:paraId="0065E2D0">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基本要求</w:t>
            </w:r>
          </w:p>
        </w:tc>
      </w:tr>
      <w:tr w14:paraId="4E8DE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4526D6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9247" w:type="dxa"/>
            <w:vAlign w:val="center"/>
          </w:tcPr>
          <w:p w14:paraId="093B99F4">
            <w:pPr>
              <w:autoSpaceDE w:val="0"/>
              <w:autoSpaceDN w:val="0"/>
              <w:adjustRightInd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主要用于门诊药房智能化管理。</w:t>
            </w:r>
            <w:r>
              <w:rPr>
                <w:rFonts w:hint="eastAsia" w:asciiTheme="majorEastAsia" w:hAnsiTheme="majorEastAsia" w:eastAsiaTheme="majorEastAsia" w:cstheme="majorEastAsia"/>
                <w:szCs w:val="21"/>
              </w:rPr>
              <w:t>通过对药品调配发放工作的流程优化，实现发药自动化和药品安全管控，提高药师工作效率，防范发药差错，保障用药安全，提升患者满意度和医护人员满意度。</w:t>
            </w:r>
          </w:p>
        </w:tc>
      </w:tr>
      <w:tr w14:paraId="5F34B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5B4C43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w:t>
            </w:r>
          </w:p>
        </w:tc>
        <w:tc>
          <w:tcPr>
            <w:tcW w:w="9247" w:type="dxa"/>
            <w:vAlign w:val="center"/>
          </w:tcPr>
          <w:p w14:paraId="72D7E338">
            <w:pPr>
              <w:autoSpaceDE w:val="0"/>
              <w:autoSpaceDN w:val="0"/>
              <w:adjustRightInd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在投标文件中提供详细的设计方案（提供平面布置图、设备布局图和效果图）。在满足工作流程和总体功能要求的前提下，对空间及人流物流进行最优化设计。</w:t>
            </w:r>
          </w:p>
        </w:tc>
      </w:tr>
      <w:tr w14:paraId="34221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556AF8B">
            <w:pPr>
              <w:adjustRightInd w:val="0"/>
              <w:snapToGrid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3</w:t>
            </w:r>
          </w:p>
        </w:tc>
        <w:tc>
          <w:tcPr>
            <w:tcW w:w="9247" w:type="dxa"/>
            <w:vAlign w:val="center"/>
          </w:tcPr>
          <w:p w14:paraId="69992B61">
            <w:pPr>
              <w:autoSpaceDE w:val="0"/>
              <w:autoSpaceDN w:val="0"/>
              <w:adjustRightInd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系统须与医院HIS实现无缝隙链接，确保医嘱或处方信息无障碍传输，控制软件操作界面为简体中文。</w:t>
            </w:r>
          </w:p>
        </w:tc>
      </w:tr>
      <w:tr w14:paraId="4F65C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AF82570">
            <w:pPr>
              <w:adjustRightInd w:val="0"/>
              <w:snapToGrid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4</w:t>
            </w:r>
          </w:p>
        </w:tc>
        <w:tc>
          <w:tcPr>
            <w:tcW w:w="9247" w:type="dxa"/>
            <w:vAlign w:val="center"/>
          </w:tcPr>
          <w:p w14:paraId="3CC0E6DF">
            <w:pPr>
              <w:autoSpaceDE w:val="0"/>
              <w:autoSpaceDN w:val="0"/>
              <w:adjustRightInd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szCs w:val="21"/>
              </w:rPr>
              <w:t>所有产品必须保证产品知识产权和软件著作的合规性和独立性。</w:t>
            </w:r>
          </w:p>
        </w:tc>
      </w:tr>
      <w:tr w14:paraId="56BB2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DA2060A">
            <w:pPr>
              <w:adjustRightInd w:val="0"/>
              <w:snapToGrid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▲5</w:t>
            </w:r>
          </w:p>
        </w:tc>
        <w:tc>
          <w:tcPr>
            <w:tcW w:w="9247" w:type="dxa"/>
            <w:vAlign w:val="center"/>
          </w:tcPr>
          <w:p w14:paraId="1BCE5C64">
            <w:pPr>
              <w:autoSpaceDE w:val="0"/>
              <w:autoSpaceDN w:val="0"/>
              <w:adjustRightInd w:val="0"/>
              <w:jc w:val="left"/>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为保证产品的兼容性、可持续升级性、及售后服务的优质性，达到最佳的使用效果，要求本项目配置清单内的所有产品必须为同一厂家生产或同一品牌。</w:t>
            </w:r>
            <w:r>
              <w:rPr>
                <w:rFonts w:hint="eastAsia" w:asciiTheme="majorEastAsia" w:hAnsiTheme="majorEastAsia" w:eastAsiaTheme="majorEastAsia" w:cstheme="majorEastAsia"/>
                <w:b/>
                <w:bCs/>
                <w:szCs w:val="21"/>
              </w:rPr>
              <w:t>（投标文件中提供有效证明材料，并加盖投标人公章）</w:t>
            </w:r>
          </w:p>
        </w:tc>
      </w:tr>
      <w:tr w14:paraId="0CCED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52068BF">
            <w:pPr>
              <w:adjustRightInd w:val="0"/>
              <w:snapToGrid w:val="0"/>
              <w:jc w:val="center"/>
              <w:rPr>
                <w:rFonts w:hint="eastAsia" w:asciiTheme="majorEastAsia" w:hAnsiTheme="majorEastAsia" w:eastAsiaTheme="majorEastAsia" w:cstheme="majorEastAsia"/>
                <w:bCs/>
                <w:szCs w:val="21"/>
              </w:rPr>
            </w:pPr>
            <w:r>
              <w:rPr>
                <w:rFonts w:hint="eastAsia" w:asciiTheme="majorEastAsia" w:hAnsiTheme="majorEastAsia" w:eastAsiaTheme="majorEastAsia" w:cstheme="majorEastAsia"/>
                <w:bCs/>
                <w:szCs w:val="21"/>
              </w:rPr>
              <w:t>6</w:t>
            </w:r>
          </w:p>
        </w:tc>
        <w:tc>
          <w:tcPr>
            <w:tcW w:w="9247" w:type="dxa"/>
            <w:vAlign w:val="center"/>
          </w:tcPr>
          <w:p w14:paraId="275F4460">
            <w:pP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Cs/>
                <w:szCs w:val="21"/>
              </w:rPr>
              <w:t>配置清单</w:t>
            </w:r>
            <w:r>
              <w:rPr>
                <w:rFonts w:hint="eastAsia" w:asciiTheme="majorEastAsia" w:hAnsiTheme="majorEastAsia" w:eastAsiaTheme="majorEastAsia" w:cstheme="majorEastAsia"/>
                <w:szCs w:val="21"/>
              </w:rPr>
              <w:t>内所有产品必须具备合法来源，且授权范围需包含需求清单内的所有产品。</w:t>
            </w:r>
            <w:r>
              <w:rPr>
                <w:rFonts w:hint="eastAsia" w:asciiTheme="majorEastAsia" w:hAnsiTheme="majorEastAsia" w:eastAsiaTheme="majorEastAsia" w:cstheme="majorEastAsia"/>
                <w:b/>
                <w:bCs/>
                <w:szCs w:val="21"/>
              </w:rPr>
              <w:t>（投标文件中提供有效证明材料，并加盖投标人公章）</w:t>
            </w:r>
          </w:p>
        </w:tc>
      </w:tr>
      <w:tr w14:paraId="62FA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699F4D1">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四</w:t>
            </w:r>
          </w:p>
        </w:tc>
        <w:tc>
          <w:tcPr>
            <w:tcW w:w="9247" w:type="dxa"/>
            <w:vAlign w:val="center"/>
          </w:tcPr>
          <w:p w14:paraId="0B51FA41">
            <w:pPr>
              <w:adjustRightInd w:val="0"/>
              <w:snapToGrid w:val="0"/>
              <w:jc w:val="left"/>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技术要求</w:t>
            </w:r>
          </w:p>
        </w:tc>
      </w:tr>
      <w:tr w14:paraId="380C6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4AAA983">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1</w:t>
            </w:r>
          </w:p>
        </w:tc>
        <w:tc>
          <w:tcPr>
            <w:tcW w:w="9247" w:type="dxa"/>
            <w:vAlign w:val="center"/>
          </w:tcPr>
          <w:p w14:paraId="1235E12E">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快速发药系统</w:t>
            </w:r>
          </w:p>
        </w:tc>
      </w:tr>
      <w:tr w14:paraId="02A53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FA51C2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w:t>
            </w:r>
          </w:p>
        </w:tc>
        <w:tc>
          <w:tcPr>
            <w:tcW w:w="9247" w:type="dxa"/>
          </w:tcPr>
          <w:p w14:paraId="0C35AFC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快速发药机为模块化结构设计，主体分由出药、储存、上药三个互相独立的系统组成。</w:t>
            </w:r>
          </w:p>
        </w:tc>
      </w:tr>
      <w:tr w14:paraId="3C3A6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6D01FE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1.2</w:t>
            </w:r>
          </w:p>
        </w:tc>
        <w:tc>
          <w:tcPr>
            <w:tcW w:w="9247" w:type="dxa"/>
          </w:tcPr>
          <w:p w14:paraId="4964D489">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出药方式采取一次性全屏落药，且为提高药品的落药安全性，避免药品在落药过程中损坏，采用安全缓冲结构进行落药接药，将药品传输到指定落药口。双处方同时运行。</w:t>
            </w:r>
          </w:p>
        </w:tc>
      </w:tr>
      <w:tr w14:paraId="589A6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69B2BE2">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1.3</w:t>
            </w:r>
          </w:p>
        </w:tc>
        <w:tc>
          <w:tcPr>
            <w:tcW w:w="9247" w:type="dxa"/>
          </w:tcPr>
          <w:p w14:paraId="29EF339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单台设备处方处理速度不低于500张处方/小时。（自系统发出指令到药品到达出药口）（</w:t>
            </w:r>
            <w:r>
              <w:rPr>
                <w:rFonts w:hint="eastAsia" w:asciiTheme="majorEastAsia" w:hAnsiTheme="majorEastAsia" w:eastAsiaTheme="majorEastAsia" w:cstheme="majorEastAsia"/>
                <w:b/>
                <w:bCs/>
                <w:szCs w:val="21"/>
              </w:rPr>
              <w:t>提供国家认可的地市级检测机构出具的检测报告，并提供此检测机构合法有效的检验检测机构资质认定证书</w:t>
            </w:r>
            <w:r>
              <w:rPr>
                <w:rFonts w:hint="eastAsia" w:asciiTheme="majorEastAsia" w:hAnsiTheme="majorEastAsia" w:eastAsiaTheme="majorEastAsia" w:cstheme="majorEastAsia"/>
                <w:szCs w:val="21"/>
              </w:rPr>
              <w:t>）</w:t>
            </w:r>
          </w:p>
        </w:tc>
      </w:tr>
      <w:tr w14:paraId="5EC82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6EB80B4">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1.4</w:t>
            </w:r>
          </w:p>
        </w:tc>
        <w:tc>
          <w:tcPr>
            <w:tcW w:w="9247" w:type="dxa"/>
          </w:tcPr>
          <w:p w14:paraId="03B5569B">
            <w:pP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每个药槽具备独立驱动，该独立机构采用精准可360°拨动的结构。（提供完整视频证明及图文说明，并注明拍摄现场医院的名称）</w:t>
            </w:r>
          </w:p>
        </w:tc>
      </w:tr>
      <w:tr w14:paraId="52FFD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00B1247">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1.5</w:t>
            </w:r>
          </w:p>
        </w:tc>
        <w:tc>
          <w:tcPr>
            <w:tcW w:w="9247" w:type="dxa"/>
          </w:tcPr>
          <w:p w14:paraId="03C90CE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每槽道单独具有光电计数和电磁铁动作计数双重计数功能。</w:t>
            </w:r>
          </w:p>
        </w:tc>
      </w:tr>
      <w:tr w14:paraId="1E254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C6D196B">
            <w:pPr>
              <w:adjustRightInd w:val="0"/>
              <w:snapToGrid w:val="0"/>
              <w:jc w:val="center"/>
              <w:rPr>
                <w:rFonts w:hint="eastAsia" w:asciiTheme="majorEastAsia" w:hAnsiTheme="majorEastAsia" w:eastAsiaTheme="majorEastAsia" w:cstheme="majorEastAsia"/>
                <w:szCs w:val="21"/>
              </w:rPr>
            </w:pPr>
            <w:bookmarkStart w:id="1" w:name="_Hlk182314209"/>
            <w:r>
              <w:rPr>
                <w:rFonts w:hint="eastAsia" w:asciiTheme="majorEastAsia" w:hAnsiTheme="majorEastAsia" w:eastAsiaTheme="majorEastAsia" w:cstheme="majorEastAsia"/>
                <w:szCs w:val="21"/>
              </w:rPr>
              <w:t>▲1.6</w:t>
            </w:r>
          </w:p>
        </w:tc>
        <w:tc>
          <w:tcPr>
            <w:tcW w:w="9247" w:type="dxa"/>
          </w:tcPr>
          <w:p w14:paraId="4074DFF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机内所有储药槽长度≥1600mm，单台快速发药系统常规药品储存量≥18000盒。</w:t>
            </w:r>
          </w:p>
          <w:p w14:paraId="5EC09BC9">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
                <w:bCs/>
                <w:szCs w:val="21"/>
              </w:rPr>
              <w:t>（提供现场测量照片说明，需注明拍摄现场医院的名称。另提供国家认可的地市级检测机构出具的检测报告，并提供此检测机构合法有效的检验检测机构资质认定证书）</w:t>
            </w:r>
          </w:p>
        </w:tc>
      </w:tr>
      <w:bookmarkEnd w:id="1"/>
      <w:tr w14:paraId="5CA21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77EF1E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1.7</w:t>
            </w:r>
          </w:p>
        </w:tc>
        <w:tc>
          <w:tcPr>
            <w:tcW w:w="9247" w:type="dxa"/>
          </w:tcPr>
          <w:p w14:paraId="7C12144F">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符合根据医院场地条件，主机占地面积不超过13平方米，高度小于2.9米。</w:t>
            </w:r>
          </w:p>
        </w:tc>
      </w:tr>
      <w:tr w14:paraId="141FF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15F282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1.8</w:t>
            </w:r>
          </w:p>
        </w:tc>
        <w:tc>
          <w:tcPr>
            <w:tcW w:w="9247" w:type="dxa"/>
          </w:tcPr>
          <w:p w14:paraId="4A93689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为提高设备的直发率，保证入机品种的数量和合理存量，设备应配置不少于1200根药槽轨道。</w:t>
            </w:r>
          </w:p>
        </w:tc>
      </w:tr>
      <w:tr w14:paraId="39DF1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9C1760B">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1.9</w:t>
            </w:r>
          </w:p>
        </w:tc>
        <w:tc>
          <w:tcPr>
            <w:tcW w:w="9247" w:type="dxa"/>
          </w:tcPr>
          <w:p w14:paraId="7DDA46E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药品应按照品种储存在相对独立的药槽中，为了确保药品放置的稳定性，每种药品必须基于药槽水平放置，放置高度必须为药品的最短边。</w:t>
            </w:r>
          </w:p>
        </w:tc>
      </w:tr>
      <w:tr w14:paraId="04DA9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E0EA55B">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▲1.10</w:t>
            </w:r>
          </w:p>
        </w:tc>
        <w:tc>
          <w:tcPr>
            <w:tcW w:w="9247" w:type="dxa"/>
          </w:tcPr>
          <w:p w14:paraId="52EA62BC">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储药层板有滚珠助滑、防尘结构，确保出药顺畅。并可确保在不拆除储药层板的情况下，随时调整单个储药槽的宽度。</w:t>
            </w:r>
            <w:r>
              <w:rPr>
                <w:rFonts w:hint="eastAsia" w:asciiTheme="majorEastAsia" w:hAnsiTheme="majorEastAsia" w:eastAsiaTheme="majorEastAsia" w:cstheme="majorEastAsia"/>
                <w:b/>
                <w:bCs/>
                <w:szCs w:val="21"/>
              </w:rPr>
              <w:t>（提供完整视频证明及图文说明，需注明拍摄现场医院的名称。另提供国家认可的地市级检测机构出具的检测报告，并提供此检测机构合法有效的检验检测机构资质认定证书）</w:t>
            </w:r>
          </w:p>
        </w:tc>
      </w:tr>
      <w:tr w14:paraId="08123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0A602C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1.11</w:t>
            </w:r>
          </w:p>
        </w:tc>
        <w:tc>
          <w:tcPr>
            <w:tcW w:w="9247" w:type="dxa"/>
          </w:tcPr>
          <w:p w14:paraId="0BC462E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多功能H型机械手，上药和发药为相互独立的两个系统，可同时进行，互不干扰，且两品种可同时上药。发药机具备盒装药品和瓶装药品的储存、发放功能，发药机储存的所有药品，都通过设备自动进行补充。</w:t>
            </w:r>
            <w:r>
              <w:rPr>
                <w:rFonts w:hint="eastAsia" w:asciiTheme="majorEastAsia" w:hAnsiTheme="majorEastAsia" w:eastAsiaTheme="majorEastAsia" w:cstheme="majorEastAsia"/>
                <w:b/>
                <w:bCs/>
                <w:szCs w:val="21"/>
              </w:rPr>
              <w:t>（提供完整视频证明及图文说明，并注明拍摄现场医院的名称）</w:t>
            </w:r>
          </w:p>
        </w:tc>
      </w:tr>
      <w:tr w14:paraId="17F58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DE7A9E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▲1.12</w:t>
            </w:r>
          </w:p>
        </w:tc>
        <w:tc>
          <w:tcPr>
            <w:tcW w:w="9247" w:type="dxa"/>
          </w:tcPr>
          <w:p w14:paraId="7B6CCCB0">
            <w:pP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采用机械手自动上药，机械手自带横向夹紧功能，不少于2个并行通道持续上药，上药速度单台设备每小时2000盒药以上。</w:t>
            </w:r>
            <w:r>
              <w:rPr>
                <w:rFonts w:hint="eastAsia" w:asciiTheme="majorEastAsia" w:hAnsiTheme="majorEastAsia" w:eastAsiaTheme="majorEastAsia" w:cstheme="majorEastAsia"/>
                <w:b/>
                <w:bCs/>
                <w:szCs w:val="21"/>
              </w:rPr>
              <w:t>（提供完整视频证明及图文说明，并注明拍摄现场医院的名称）</w:t>
            </w:r>
          </w:p>
        </w:tc>
      </w:tr>
      <w:tr w14:paraId="2D0F4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118324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1.13</w:t>
            </w:r>
          </w:p>
        </w:tc>
        <w:tc>
          <w:tcPr>
            <w:tcW w:w="9247" w:type="dxa"/>
          </w:tcPr>
          <w:p w14:paraId="584D6B0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支持药品名称、简码、条形码扫描等多种方式的上药识别，减轻上药人员的疲劳程度以及人为上药错误。</w:t>
            </w:r>
          </w:p>
        </w:tc>
      </w:tr>
      <w:tr w14:paraId="7923B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EE9238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1.14</w:t>
            </w:r>
          </w:p>
        </w:tc>
        <w:tc>
          <w:tcPr>
            <w:tcW w:w="9247" w:type="dxa"/>
          </w:tcPr>
          <w:p w14:paraId="11049DBB">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设备标配补药缓存功能，为提高效率，具备不少于4条独立的补药缓存轨道，补药机械手能在不少于4条独立的补药缓存轨道进行精准接药工作。</w:t>
            </w:r>
            <w:r>
              <w:rPr>
                <w:rFonts w:hint="eastAsia" w:asciiTheme="majorEastAsia" w:hAnsiTheme="majorEastAsia" w:eastAsiaTheme="majorEastAsia" w:cstheme="majorEastAsia"/>
                <w:b/>
                <w:bCs/>
                <w:szCs w:val="21"/>
              </w:rPr>
              <w:t>（提供完整视频证明及图文说明，并注明拍摄现场医院的名称）</w:t>
            </w:r>
          </w:p>
        </w:tc>
      </w:tr>
      <w:tr w14:paraId="1D835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B4DAEAB">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1.15</w:t>
            </w:r>
          </w:p>
        </w:tc>
        <w:tc>
          <w:tcPr>
            <w:tcW w:w="9247" w:type="dxa"/>
          </w:tcPr>
          <w:p w14:paraId="1E32CA3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设备具备库存管理功能，可对每根药槽所存储的药品数量进行底限设置，超过底限值系统自动发出缺药警报。</w:t>
            </w:r>
          </w:p>
        </w:tc>
      </w:tr>
      <w:tr w14:paraId="4974B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25AF8A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1.16</w:t>
            </w:r>
          </w:p>
        </w:tc>
        <w:tc>
          <w:tcPr>
            <w:tcW w:w="9247" w:type="dxa"/>
          </w:tcPr>
          <w:p w14:paraId="0700EC4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设备可随时对药品进行实时盘点，机械手可对设备内药品自动盘库，盘库时间小于30分钟。</w:t>
            </w:r>
          </w:p>
        </w:tc>
      </w:tr>
      <w:tr w14:paraId="73E8B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D25D45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1.17</w:t>
            </w:r>
          </w:p>
        </w:tc>
        <w:tc>
          <w:tcPr>
            <w:tcW w:w="9247" w:type="dxa"/>
          </w:tcPr>
          <w:p w14:paraId="4F51103C">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设备具备故障锁定功能，如单个药槽故障，主系统能自动将其屏蔽，转入其他备用药槽进行正常发药。</w:t>
            </w:r>
          </w:p>
        </w:tc>
      </w:tr>
      <w:tr w14:paraId="6C99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0FAD84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1.18</w:t>
            </w:r>
          </w:p>
        </w:tc>
        <w:tc>
          <w:tcPr>
            <w:tcW w:w="9247" w:type="dxa"/>
          </w:tcPr>
          <w:p w14:paraId="7248C42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设备具备退药回收功能，补药过程中发现当前药品库存已满等状态，补药机械手自动将当前药品发放至退药口。</w:t>
            </w:r>
          </w:p>
        </w:tc>
      </w:tr>
      <w:tr w14:paraId="4E464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C96FDE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1.19</w:t>
            </w:r>
          </w:p>
        </w:tc>
        <w:tc>
          <w:tcPr>
            <w:tcW w:w="9247" w:type="dxa"/>
          </w:tcPr>
          <w:p w14:paraId="5796C66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因网络原因无法获取HIS系统处方数据时，需可立即手工录入处方信息并由发药机自动发药，系统会自动记录发药信息。发药机具备在故障时，可让药师在设备外手工拿到所有机内储存药品进行应急发药的功能。</w:t>
            </w:r>
          </w:p>
        </w:tc>
      </w:tr>
      <w:tr w14:paraId="5DD34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A40A86D">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1.20</w:t>
            </w:r>
          </w:p>
        </w:tc>
        <w:tc>
          <w:tcPr>
            <w:tcW w:w="9247" w:type="dxa"/>
          </w:tcPr>
          <w:p w14:paraId="1D8A4DB1">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设备可实现批号、效期自动跟踪、库存状态实时监管、自动生成补货清单等功能。</w:t>
            </w:r>
          </w:p>
        </w:tc>
      </w:tr>
      <w:tr w14:paraId="31137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E889D57">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1.21</w:t>
            </w:r>
          </w:p>
        </w:tc>
        <w:tc>
          <w:tcPr>
            <w:tcW w:w="9247" w:type="dxa"/>
          </w:tcPr>
          <w:p w14:paraId="2A08DD0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整套系统不少于1套完整处方直发通道。快速发药系统的辅助设备，将处方药品直接传输至发药窗口，无需人工走动取药。</w:t>
            </w:r>
          </w:p>
        </w:tc>
      </w:tr>
      <w:tr w14:paraId="2A91E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3CB26E7">
            <w:pPr>
              <w:adjustRightInd w:val="0"/>
              <w:snapToGrid w:val="0"/>
              <w:jc w:val="center"/>
              <w:rPr>
                <w:rFonts w:hint="eastAsia" w:asciiTheme="majorEastAsia" w:hAnsiTheme="majorEastAsia" w:eastAsiaTheme="majorEastAsia" w:cstheme="majorEastAsia"/>
                <w:szCs w:val="21"/>
              </w:rPr>
            </w:pPr>
            <w:bookmarkStart w:id="2" w:name="_Hlk182314919"/>
            <w:r>
              <w:rPr>
                <w:rFonts w:hint="eastAsia" w:asciiTheme="majorEastAsia" w:hAnsiTheme="majorEastAsia" w:eastAsiaTheme="majorEastAsia" w:cstheme="majorEastAsia"/>
                <w:szCs w:val="21"/>
              </w:rPr>
              <w:t>1.22</w:t>
            </w:r>
          </w:p>
        </w:tc>
        <w:tc>
          <w:tcPr>
            <w:tcW w:w="9247" w:type="dxa"/>
          </w:tcPr>
          <w:p w14:paraId="33A0600F">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采用包括不限于地面轨道传输方式，通过传输带把快速发药机底部出药口的药品传送到药师前台，落到药师方便领取的地方，从而无需发药药师走动取药。</w:t>
            </w:r>
          </w:p>
        </w:tc>
      </w:tr>
      <w:tr w14:paraId="22059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A74BBD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
                <w:bCs/>
                <w:szCs w:val="21"/>
              </w:rPr>
              <w:t>2</w:t>
            </w:r>
          </w:p>
        </w:tc>
        <w:tc>
          <w:tcPr>
            <w:tcW w:w="9247" w:type="dxa"/>
            <w:vAlign w:val="center"/>
          </w:tcPr>
          <w:p w14:paraId="2B561F9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
                <w:bCs/>
                <w:szCs w:val="21"/>
              </w:rPr>
              <w:t>高速发药模块</w:t>
            </w:r>
          </w:p>
        </w:tc>
      </w:tr>
      <w:bookmarkEnd w:id="2"/>
      <w:tr w14:paraId="691AD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C08BDC4">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w:t>
            </w:r>
          </w:p>
        </w:tc>
        <w:tc>
          <w:tcPr>
            <w:tcW w:w="9247" w:type="dxa"/>
          </w:tcPr>
          <w:p w14:paraId="0664EE69">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用于高频次高使用量、或慢病等大批量发药的盒装药品，系统接收处方信息自动分发。</w:t>
            </w:r>
          </w:p>
        </w:tc>
      </w:tr>
      <w:tr w14:paraId="042E1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683667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▲2.2</w:t>
            </w:r>
          </w:p>
        </w:tc>
        <w:tc>
          <w:tcPr>
            <w:tcW w:w="9247" w:type="dxa"/>
          </w:tcPr>
          <w:p w14:paraId="39FEEF46">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要求与医院HIS实现无缝隙连接，系统接收处方信息后，高速分发。设备内嵌于快速发药系统，通过快速发药主机传输分发。</w:t>
            </w:r>
            <w:r>
              <w:rPr>
                <w:rFonts w:hint="eastAsia" w:asciiTheme="majorEastAsia" w:hAnsiTheme="majorEastAsia" w:eastAsiaTheme="majorEastAsia" w:cstheme="majorEastAsia"/>
                <w:b/>
                <w:bCs/>
                <w:szCs w:val="21"/>
              </w:rPr>
              <w:t>（提供完整视频证明及图文说明，并注明拍摄现场医院的名称）</w:t>
            </w:r>
          </w:p>
        </w:tc>
      </w:tr>
      <w:tr w14:paraId="2B929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7246CB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▲2.3</w:t>
            </w:r>
          </w:p>
        </w:tc>
        <w:tc>
          <w:tcPr>
            <w:tcW w:w="9247" w:type="dxa"/>
          </w:tcPr>
          <w:p w14:paraId="4B6CE4CE">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设备内嵌至快速发药系统且储药通道不少于50个储位，药槽宽度可调节。</w:t>
            </w:r>
            <w:r>
              <w:rPr>
                <w:rFonts w:hint="eastAsia" w:asciiTheme="majorEastAsia" w:hAnsiTheme="majorEastAsia" w:eastAsiaTheme="majorEastAsia" w:cstheme="majorEastAsia"/>
                <w:b/>
                <w:bCs/>
                <w:szCs w:val="21"/>
              </w:rPr>
              <w:t>（提供投标产品实际使用医院图片及详细图文说明，并注明拍摄现场医院的名称）</w:t>
            </w:r>
          </w:p>
        </w:tc>
      </w:tr>
      <w:tr w14:paraId="1CCD7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0EF11B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2.4</w:t>
            </w:r>
          </w:p>
        </w:tc>
        <w:tc>
          <w:tcPr>
            <w:tcW w:w="9247" w:type="dxa"/>
          </w:tcPr>
          <w:p w14:paraId="5E87DA45">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每个储药通道采用独立的高速电机驱动出药，确保出药准确率不低于99.99%。</w:t>
            </w:r>
          </w:p>
        </w:tc>
      </w:tr>
      <w:tr w14:paraId="22D35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06BF80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2.5</w:t>
            </w:r>
          </w:p>
        </w:tc>
        <w:tc>
          <w:tcPr>
            <w:tcW w:w="9247" w:type="dxa"/>
          </w:tcPr>
          <w:p w14:paraId="191702CE">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储药单元为上下双层模组储药结构，采用垂直叠加式储存的方式储药。</w:t>
            </w:r>
          </w:p>
        </w:tc>
      </w:tr>
      <w:tr w14:paraId="10C50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209095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2.6</w:t>
            </w:r>
          </w:p>
        </w:tc>
        <w:tc>
          <w:tcPr>
            <w:tcW w:w="9247" w:type="dxa"/>
          </w:tcPr>
          <w:p w14:paraId="4FB93F7A">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储药模块可储存不少于2500盒药品。（每盒药以高20mm进行计算）</w:t>
            </w:r>
          </w:p>
        </w:tc>
      </w:tr>
      <w:tr w14:paraId="30F02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2A2D93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2.7</w:t>
            </w:r>
          </w:p>
        </w:tc>
        <w:tc>
          <w:tcPr>
            <w:tcW w:w="9247" w:type="dxa"/>
          </w:tcPr>
          <w:p w14:paraId="6C73C8ED">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在设备出药口配置传输机构传输药品至指定窗口；为防止大批量药品堵塞传输线，出药传输装置为落地爬坡方式。</w:t>
            </w:r>
          </w:p>
        </w:tc>
      </w:tr>
      <w:tr w14:paraId="09D49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79E663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2.8</w:t>
            </w:r>
          </w:p>
        </w:tc>
        <w:tc>
          <w:tcPr>
            <w:tcW w:w="9247" w:type="dxa"/>
          </w:tcPr>
          <w:p w14:paraId="62C3BA72">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可与快速发药系统共用混发出药通道，用于部分机外调剂处方发药。</w:t>
            </w:r>
          </w:p>
        </w:tc>
      </w:tr>
      <w:tr w14:paraId="6699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B498B7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2.9</w:t>
            </w:r>
          </w:p>
        </w:tc>
        <w:tc>
          <w:tcPr>
            <w:tcW w:w="9247" w:type="dxa"/>
          </w:tcPr>
          <w:p w14:paraId="0F771624">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出药速度不低于3盒每秒种/单通道，可多通道同时高速出药，实现高速批量发药。</w:t>
            </w:r>
          </w:p>
        </w:tc>
      </w:tr>
      <w:tr w14:paraId="5BF41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B08AB7E">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2.10</w:t>
            </w:r>
          </w:p>
        </w:tc>
        <w:tc>
          <w:tcPr>
            <w:tcW w:w="9247" w:type="dxa"/>
          </w:tcPr>
          <w:p w14:paraId="36A7BC6B">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每个储药通道具备自动指示定位，叠加式上药。</w:t>
            </w:r>
            <w:r>
              <w:rPr>
                <w:rFonts w:hint="eastAsia" w:asciiTheme="majorEastAsia" w:hAnsiTheme="majorEastAsia" w:eastAsiaTheme="majorEastAsia" w:cstheme="majorEastAsia"/>
                <w:b/>
                <w:bCs/>
                <w:szCs w:val="21"/>
              </w:rPr>
              <w:t>（提供投标产品实际使用医院图片及详细图文说明，并注明拍摄现场医院的名称）</w:t>
            </w:r>
          </w:p>
        </w:tc>
      </w:tr>
      <w:tr w14:paraId="333FE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F4F693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2.11</w:t>
            </w:r>
          </w:p>
        </w:tc>
        <w:tc>
          <w:tcPr>
            <w:tcW w:w="9247" w:type="dxa"/>
          </w:tcPr>
          <w:p w14:paraId="6483E6F3">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上药速度不小于100盒/分钟/人。</w:t>
            </w:r>
          </w:p>
        </w:tc>
      </w:tr>
      <w:tr w14:paraId="6BFE5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607510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2.12</w:t>
            </w:r>
          </w:p>
        </w:tc>
        <w:tc>
          <w:tcPr>
            <w:tcW w:w="9247" w:type="dxa"/>
          </w:tcPr>
          <w:p w14:paraId="51BD7355">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具有联机、手动两种控制方式，可自动接收医嘱信息发药或手动处方发药。</w:t>
            </w:r>
          </w:p>
        </w:tc>
      </w:tr>
      <w:tr w14:paraId="6E61D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766F8A4">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2.13</w:t>
            </w:r>
          </w:p>
        </w:tc>
        <w:tc>
          <w:tcPr>
            <w:tcW w:w="9247" w:type="dxa"/>
          </w:tcPr>
          <w:p w14:paraId="645D67BE">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具备急停按扭/缺药报警/电机过热、过流、过载、自动故障显示和定位功能。</w:t>
            </w:r>
          </w:p>
        </w:tc>
      </w:tr>
      <w:tr w14:paraId="5B720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BAB802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2.14</w:t>
            </w:r>
          </w:p>
        </w:tc>
        <w:tc>
          <w:tcPr>
            <w:tcW w:w="9247" w:type="dxa"/>
          </w:tcPr>
          <w:p w14:paraId="3D615E78">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具备信息管理和提示功能，库存信息不足时可报警提示，可实现药品数量、效期和批号等信息管理。</w:t>
            </w:r>
          </w:p>
        </w:tc>
      </w:tr>
      <w:tr w14:paraId="34A97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FBBF80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2.15</w:t>
            </w:r>
          </w:p>
        </w:tc>
        <w:tc>
          <w:tcPr>
            <w:tcW w:w="9247" w:type="dxa"/>
          </w:tcPr>
          <w:p w14:paraId="292612BC">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电气安装安全性 设备调试完成，各电器元件的连 接应可靠，布线合理，具备有效保护接地装置，连续处理不少于 500 次发药，保证起、制动无故障，运动系统定位准确，安全保护装置正常。</w:t>
            </w:r>
            <w:r>
              <w:rPr>
                <w:rFonts w:hint="eastAsia" w:asciiTheme="majorEastAsia" w:hAnsiTheme="majorEastAsia" w:eastAsiaTheme="majorEastAsia" w:cstheme="majorEastAsia"/>
                <w:b/>
                <w:bCs/>
                <w:szCs w:val="21"/>
              </w:rPr>
              <w:t>（提供国家认可的地市级检测机构出具的检测报告，并提供此检测机构合法有效的检验检测机构资质认定证书）</w:t>
            </w:r>
          </w:p>
        </w:tc>
      </w:tr>
      <w:tr w14:paraId="28CD9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553BFAE">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2.16</w:t>
            </w:r>
          </w:p>
        </w:tc>
        <w:tc>
          <w:tcPr>
            <w:tcW w:w="9247" w:type="dxa"/>
          </w:tcPr>
          <w:p w14:paraId="58ED75D0">
            <w:pPr>
              <w:adjustRightInd w:val="0"/>
              <w:snapToGrid w:val="0"/>
              <w:jc w:val="left"/>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发药检测高精度光电传感器检测发药数量状态。</w:t>
            </w:r>
            <w:r>
              <w:rPr>
                <w:rFonts w:hint="eastAsia" w:asciiTheme="majorEastAsia" w:hAnsiTheme="majorEastAsia" w:eastAsiaTheme="majorEastAsia" w:cstheme="majorEastAsia"/>
                <w:b/>
                <w:bCs/>
                <w:szCs w:val="21"/>
              </w:rPr>
              <w:t>（提供国家认可的地市级检测机构出具的检测报告，并提供此检测机构合法有效的检验检测机构资质认定证书）</w:t>
            </w:r>
          </w:p>
        </w:tc>
      </w:tr>
      <w:tr w14:paraId="020FE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19578F9">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
                <w:bCs/>
                <w:szCs w:val="21"/>
              </w:rPr>
              <w:t>3</w:t>
            </w:r>
          </w:p>
        </w:tc>
        <w:tc>
          <w:tcPr>
            <w:tcW w:w="9247" w:type="dxa"/>
            <w:vAlign w:val="center"/>
          </w:tcPr>
          <w:p w14:paraId="0E4EDA0D">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
                <w:bCs/>
                <w:szCs w:val="21"/>
              </w:rPr>
              <w:t>整处方传输系统</w:t>
            </w:r>
          </w:p>
        </w:tc>
      </w:tr>
      <w:tr w14:paraId="43784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70255E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3.1</w:t>
            </w:r>
          </w:p>
        </w:tc>
        <w:tc>
          <w:tcPr>
            <w:tcW w:w="9247" w:type="dxa"/>
          </w:tcPr>
          <w:p w14:paraId="6FA5B75C">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药筐自动传输系统与HIS无缝连接，自动接收处方信息，将装有调配完药品的智能药筐进行窗口分拣传送到指定窗口，并同时触发此处方姓名上屏；对于处方进行自由调配与传输，不受接收处方顺序限制；整处方传输系统可以脱离快速发药系统独立使用。</w:t>
            </w:r>
          </w:p>
        </w:tc>
      </w:tr>
      <w:tr w14:paraId="7B8F4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8B0F71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3.2</w:t>
            </w:r>
          </w:p>
        </w:tc>
        <w:tc>
          <w:tcPr>
            <w:tcW w:w="9247" w:type="dxa"/>
          </w:tcPr>
          <w:p w14:paraId="38038EEF">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每小时可传送400-500张处方。</w:t>
            </w:r>
          </w:p>
        </w:tc>
      </w:tr>
      <w:tr w14:paraId="21FB6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32BFA5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3.3</w:t>
            </w:r>
          </w:p>
        </w:tc>
        <w:tc>
          <w:tcPr>
            <w:tcW w:w="9247" w:type="dxa"/>
          </w:tcPr>
          <w:p w14:paraId="09306E1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根据现场使用场地规划，提供不少于3个窗口的药筐缓存系统。</w:t>
            </w:r>
          </w:p>
        </w:tc>
      </w:tr>
      <w:tr w14:paraId="35A13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5085FF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3.4</w:t>
            </w:r>
          </w:p>
        </w:tc>
        <w:tc>
          <w:tcPr>
            <w:tcW w:w="9247" w:type="dxa"/>
            <w:vAlign w:val="center"/>
          </w:tcPr>
          <w:p w14:paraId="6D56CA71">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窗口具备药筐缓存系统可存放不小于两层智能药筐，存放智能药筐数量≥15个。</w:t>
            </w:r>
          </w:p>
        </w:tc>
      </w:tr>
      <w:tr w14:paraId="33FF0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586A11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3.5</w:t>
            </w:r>
          </w:p>
        </w:tc>
        <w:tc>
          <w:tcPr>
            <w:tcW w:w="9247" w:type="dxa"/>
          </w:tcPr>
          <w:p w14:paraId="18DEBCD6">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药师无需按顺序绑定智能药筐进行传送，系统能够自动读写智能药筐信息（在每个进入缓存区的转弯处具备RFID读卡装置），分配到指定窗口。</w:t>
            </w:r>
          </w:p>
        </w:tc>
      </w:tr>
      <w:tr w14:paraId="3ABED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A362F2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3.6</w:t>
            </w:r>
          </w:p>
        </w:tc>
        <w:tc>
          <w:tcPr>
            <w:tcW w:w="9247" w:type="dxa"/>
            <w:vAlign w:val="center"/>
          </w:tcPr>
          <w:p w14:paraId="6BBC881E">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智能药篮与系统无线连接，自动接收系统信息，显示药篮所在位置，并且提示药师取药。</w:t>
            </w:r>
          </w:p>
        </w:tc>
      </w:tr>
      <w:tr w14:paraId="3ABF7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76FD0E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3.7</w:t>
            </w:r>
          </w:p>
        </w:tc>
        <w:tc>
          <w:tcPr>
            <w:tcW w:w="9247" w:type="dxa"/>
          </w:tcPr>
          <w:p w14:paraId="27AD346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发药窗口收方后，药筐亮灯自动提示该处方药品所在的位置，提示药师取药。</w:t>
            </w:r>
          </w:p>
        </w:tc>
      </w:tr>
      <w:tr w14:paraId="0962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F0400A2">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3.8</w:t>
            </w:r>
          </w:p>
        </w:tc>
        <w:tc>
          <w:tcPr>
            <w:tcW w:w="9247" w:type="dxa"/>
          </w:tcPr>
          <w:p w14:paraId="3799266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智能药筐可以随意摆放，不受固定位置的限制，无需使用药架。</w:t>
            </w:r>
          </w:p>
        </w:tc>
      </w:tr>
      <w:tr w14:paraId="1EDF2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028548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3.9</w:t>
            </w:r>
          </w:p>
        </w:tc>
        <w:tc>
          <w:tcPr>
            <w:tcW w:w="9247" w:type="dxa"/>
          </w:tcPr>
          <w:p w14:paraId="463FF67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可由药师后台直接传递，配合传输系统自动传输。</w:t>
            </w:r>
          </w:p>
        </w:tc>
      </w:tr>
      <w:tr w14:paraId="24BDD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1CB11C1">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4</w:t>
            </w:r>
          </w:p>
        </w:tc>
        <w:tc>
          <w:tcPr>
            <w:tcW w:w="9247" w:type="dxa"/>
          </w:tcPr>
          <w:p w14:paraId="16751546">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智能亮灯药筐与智能发药系统</w:t>
            </w:r>
          </w:p>
        </w:tc>
      </w:tr>
      <w:tr w14:paraId="1B1C7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10DC44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★4.1</w:t>
            </w:r>
          </w:p>
        </w:tc>
        <w:tc>
          <w:tcPr>
            <w:tcW w:w="9247" w:type="dxa"/>
            <w:vAlign w:val="center"/>
          </w:tcPr>
          <w:p w14:paraId="282E812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提供不少于400个智能亮灯药筐，在维保期内所有药筐非人为破损均免费更换。</w:t>
            </w:r>
          </w:p>
        </w:tc>
      </w:tr>
      <w:tr w14:paraId="1BA18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D789B6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4.2</w:t>
            </w:r>
          </w:p>
        </w:tc>
        <w:tc>
          <w:tcPr>
            <w:tcW w:w="9247" w:type="dxa"/>
            <w:vAlign w:val="center"/>
          </w:tcPr>
          <w:p w14:paraId="06EF0BB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提供不少于4套药筐充电站，每个充电站可同时充电不少于40个药筐。</w:t>
            </w:r>
            <w:r>
              <w:rPr>
                <w:rFonts w:hint="eastAsia" w:asciiTheme="majorEastAsia" w:hAnsiTheme="majorEastAsia" w:eastAsiaTheme="majorEastAsia" w:cstheme="majorEastAsia"/>
                <w:b/>
                <w:bCs/>
                <w:szCs w:val="21"/>
              </w:rPr>
              <w:t>（提供完整视频证明及图文说明，并注明拍摄现场医院的名称）</w:t>
            </w:r>
          </w:p>
        </w:tc>
      </w:tr>
      <w:tr w14:paraId="07D19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EAC3C3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4.3</w:t>
            </w:r>
          </w:p>
        </w:tc>
        <w:tc>
          <w:tcPr>
            <w:tcW w:w="9247" w:type="dxa"/>
            <w:vAlign w:val="center"/>
          </w:tcPr>
          <w:p w14:paraId="508E8D5A">
            <w:pPr>
              <w:pStyle w:val="78"/>
              <w:rPr>
                <w:rFonts w:hint="eastAsia" w:asciiTheme="majorEastAsia" w:hAnsiTheme="majorEastAsia" w:eastAsiaTheme="majorEastAsia" w:cstheme="majorEastAsia"/>
                <w:kern w:val="2"/>
                <w:sz w:val="21"/>
                <w:szCs w:val="21"/>
              </w:rPr>
            </w:pPr>
            <w:r>
              <w:rPr>
                <w:rFonts w:hint="eastAsia" w:asciiTheme="majorEastAsia" w:hAnsiTheme="majorEastAsia" w:eastAsiaTheme="majorEastAsia" w:cstheme="majorEastAsia"/>
                <w:sz w:val="21"/>
                <w:szCs w:val="21"/>
              </w:rPr>
              <w:t>智能药筐采用充电式供电，可多个药筐叠加充电。</w:t>
            </w:r>
          </w:p>
        </w:tc>
      </w:tr>
      <w:tr w14:paraId="14DAF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E7C20E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4.4</w:t>
            </w:r>
          </w:p>
        </w:tc>
        <w:tc>
          <w:tcPr>
            <w:tcW w:w="9247" w:type="dxa"/>
            <w:vAlign w:val="center"/>
          </w:tcPr>
          <w:p w14:paraId="4B0834B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充电一次可持续使用3个月以上。</w:t>
            </w:r>
          </w:p>
        </w:tc>
      </w:tr>
      <w:tr w14:paraId="3C4D2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EB57C6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4.5</w:t>
            </w:r>
          </w:p>
        </w:tc>
        <w:tc>
          <w:tcPr>
            <w:tcW w:w="9247" w:type="dxa"/>
            <w:vAlign w:val="center"/>
          </w:tcPr>
          <w:p w14:paraId="0371B58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智能药筐与系统无线连接，自动接收系统信息，显示药筐所在位置，并且提示药师取药。</w:t>
            </w:r>
          </w:p>
        </w:tc>
      </w:tr>
      <w:tr w14:paraId="36B7D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75F58C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4.6</w:t>
            </w:r>
          </w:p>
        </w:tc>
        <w:tc>
          <w:tcPr>
            <w:tcW w:w="9247" w:type="dxa"/>
            <w:vAlign w:val="center"/>
          </w:tcPr>
          <w:p w14:paraId="1FDE859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智能药筐与发药设备可实现信息同步，在处方药品放入智能药筐后，智能药筐自动录入处方信息，使药品、药筐、处方信息一一对应，保证准确性。</w:t>
            </w:r>
          </w:p>
        </w:tc>
      </w:tr>
      <w:tr w14:paraId="7F146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608269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4.7</w:t>
            </w:r>
          </w:p>
        </w:tc>
        <w:tc>
          <w:tcPr>
            <w:tcW w:w="9247" w:type="dxa"/>
            <w:vAlign w:val="center"/>
          </w:tcPr>
          <w:p w14:paraId="41BCB26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发药口收方后，药筐自动亮灯提示该处方药品所在的位置，提示药师取药。</w:t>
            </w:r>
          </w:p>
        </w:tc>
      </w:tr>
      <w:tr w14:paraId="2307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D2A49F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4.8</w:t>
            </w:r>
          </w:p>
        </w:tc>
        <w:tc>
          <w:tcPr>
            <w:tcW w:w="9247" w:type="dxa"/>
            <w:vAlign w:val="center"/>
          </w:tcPr>
          <w:p w14:paraId="6A644066">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智能药筐可以随意摆放，不受固定位置的限制，无需使用药架。</w:t>
            </w:r>
          </w:p>
        </w:tc>
      </w:tr>
      <w:tr w14:paraId="5CB1E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2ED1D5D">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4.9</w:t>
            </w:r>
          </w:p>
        </w:tc>
        <w:tc>
          <w:tcPr>
            <w:tcW w:w="9247" w:type="dxa"/>
            <w:vAlign w:val="center"/>
          </w:tcPr>
          <w:p w14:paraId="0D8C5BFE">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采用无线射频技术传输数据，不受医院现场环境干扰，无延时或卡顿等异常情况。</w:t>
            </w:r>
          </w:p>
        </w:tc>
      </w:tr>
      <w:tr w14:paraId="05AB4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FC340D5">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5</w:t>
            </w:r>
          </w:p>
        </w:tc>
        <w:tc>
          <w:tcPr>
            <w:tcW w:w="9247" w:type="dxa"/>
            <w:vAlign w:val="center"/>
          </w:tcPr>
          <w:p w14:paraId="709B0211">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智能拆零机</w:t>
            </w:r>
          </w:p>
        </w:tc>
      </w:tr>
      <w:tr w14:paraId="5A99C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7A09E7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5.1</w:t>
            </w:r>
          </w:p>
        </w:tc>
        <w:tc>
          <w:tcPr>
            <w:tcW w:w="9247" w:type="dxa"/>
            <w:vAlign w:val="center"/>
          </w:tcPr>
          <w:p w14:paraId="07EAED2E">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与HIS系统无缝对接，并可与门诊发药系统等智能设备协同使用，对拆零药品进行集中，快速发放。</w:t>
            </w:r>
          </w:p>
        </w:tc>
      </w:tr>
      <w:tr w14:paraId="30B18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57FDEFC7">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5.2</w:t>
            </w:r>
          </w:p>
        </w:tc>
        <w:tc>
          <w:tcPr>
            <w:tcW w:w="9247" w:type="dxa"/>
          </w:tcPr>
          <w:p w14:paraId="43E4843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有同时处理多张处方的拆零发药功能，同时处理2张以上拆零处方。</w:t>
            </w:r>
          </w:p>
        </w:tc>
      </w:tr>
      <w:tr w14:paraId="64FFF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52A992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▲5.3</w:t>
            </w:r>
          </w:p>
        </w:tc>
        <w:tc>
          <w:tcPr>
            <w:tcW w:w="9247" w:type="dxa"/>
          </w:tcPr>
          <w:p w14:paraId="6E41950D">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单台智能拆零机机内储药品种类≥70种，分布不少于6个抽拉模块内。</w:t>
            </w:r>
            <w:r>
              <w:rPr>
                <w:rFonts w:hint="eastAsia" w:asciiTheme="majorEastAsia" w:hAnsiTheme="majorEastAsia" w:eastAsiaTheme="majorEastAsia" w:cstheme="majorEastAsia"/>
                <w:b/>
                <w:bCs/>
                <w:szCs w:val="21"/>
              </w:rPr>
              <w:t>（提供完整视频证明及图文说明，并注明拍摄现场医院的名称）</w:t>
            </w:r>
          </w:p>
        </w:tc>
      </w:tr>
      <w:tr w14:paraId="505A7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B886532">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5.4</w:t>
            </w:r>
          </w:p>
        </w:tc>
        <w:tc>
          <w:tcPr>
            <w:tcW w:w="9247" w:type="dxa"/>
          </w:tcPr>
          <w:p w14:paraId="4A9EFCF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整机密封性好，药盒为透明、避光、密封设计，具有防潮、防尘、防紫外线等功能。</w:t>
            </w:r>
          </w:p>
        </w:tc>
      </w:tr>
      <w:tr w14:paraId="16429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8CEC34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5.5</w:t>
            </w:r>
          </w:p>
        </w:tc>
        <w:tc>
          <w:tcPr>
            <w:tcW w:w="9247" w:type="dxa"/>
          </w:tcPr>
          <w:p w14:paraId="6F25BFF9">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所有药盒均为智能药盒，随处任意摆放药盒位置，能够准确识别。</w:t>
            </w:r>
          </w:p>
        </w:tc>
      </w:tr>
      <w:tr w14:paraId="5DF44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491F32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5.6</w:t>
            </w:r>
          </w:p>
        </w:tc>
        <w:tc>
          <w:tcPr>
            <w:tcW w:w="9247" w:type="dxa"/>
          </w:tcPr>
          <w:p w14:paraId="3E29A03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具备药品种类、数量显示，药品实时盘点，药品消耗统计。</w:t>
            </w:r>
          </w:p>
        </w:tc>
      </w:tr>
      <w:tr w14:paraId="6683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02D610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5.7</w:t>
            </w:r>
          </w:p>
        </w:tc>
        <w:tc>
          <w:tcPr>
            <w:tcW w:w="9247" w:type="dxa"/>
          </w:tcPr>
          <w:p w14:paraId="67EF685C">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具备药品种类、存量、用量等信息管理，可设置最低药量预警值，药盒缺药报警提醒等。</w:t>
            </w:r>
          </w:p>
        </w:tc>
      </w:tr>
      <w:tr w14:paraId="7B793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5D154E1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5.8</w:t>
            </w:r>
          </w:p>
        </w:tc>
        <w:tc>
          <w:tcPr>
            <w:tcW w:w="9247" w:type="dxa"/>
          </w:tcPr>
          <w:p w14:paraId="1562699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具有单品种片剂、胶囊发药功能，拆零药品信息进行自动登记，记忆分配可自定义编辑，并具有拆零发药统计功能。</w:t>
            </w:r>
          </w:p>
        </w:tc>
      </w:tr>
      <w:tr w14:paraId="52704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3747F2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5.9</w:t>
            </w:r>
          </w:p>
        </w:tc>
        <w:tc>
          <w:tcPr>
            <w:tcW w:w="9247" w:type="dxa"/>
          </w:tcPr>
          <w:p w14:paraId="57402249">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具备医嘱信息、患者信息、药品信息等可永久保存于数据库，便于日后查询。</w:t>
            </w:r>
          </w:p>
        </w:tc>
      </w:tr>
      <w:tr w14:paraId="217E5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75CFEFC">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6</w:t>
            </w:r>
          </w:p>
        </w:tc>
        <w:tc>
          <w:tcPr>
            <w:tcW w:w="9247" w:type="dxa"/>
          </w:tcPr>
          <w:p w14:paraId="05AEE470">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智能麻精柜</w:t>
            </w:r>
          </w:p>
        </w:tc>
      </w:tr>
      <w:tr w14:paraId="6444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7BBF714">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6.1</w:t>
            </w:r>
          </w:p>
        </w:tc>
        <w:tc>
          <w:tcPr>
            <w:tcW w:w="9247" w:type="dxa"/>
            <w:vAlign w:val="center"/>
          </w:tcPr>
          <w:p w14:paraId="5102675F">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系统接收处方信息后，设备需要确认取药人身份和处方后自动将药品推出，并提示所在位置，且取药全过程摄像头视频记录，柜体为立式柜体。</w:t>
            </w:r>
          </w:p>
        </w:tc>
      </w:tr>
      <w:tr w14:paraId="70CF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522D459">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6.2</w:t>
            </w:r>
          </w:p>
        </w:tc>
        <w:tc>
          <w:tcPr>
            <w:tcW w:w="9247" w:type="dxa"/>
            <w:vAlign w:val="center"/>
          </w:tcPr>
          <w:p w14:paraId="14392F1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抽屉式储存结构，不少于9层储药抽屉，整机不少于44个药品存储单元。</w:t>
            </w:r>
          </w:p>
        </w:tc>
      </w:tr>
      <w:tr w14:paraId="1FCF4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062DED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6.3</w:t>
            </w:r>
          </w:p>
        </w:tc>
        <w:tc>
          <w:tcPr>
            <w:tcW w:w="9247" w:type="dxa"/>
            <w:vAlign w:val="center"/>
          </w:tcPr>
          <w:p w14:paraId="1C0C52C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与医院HIS实现无缝隙连接，直接接收HIS传输过来的信息。</w:t>
            </w:r>
          </w:p>
        </w:tc>
      </w:tr>
      <w:tr w14:paraId="657E4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DA915D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6.4</w:t>
            </w:r>
          </w:p>
        </w:tc>
        <w:tc>
          <w:tcPr>
            <w:tcW w:w="9247" w:type="dxa"/>
            <w:vAlign w:val="center"/>
          </w:tcPr>
          <w:p w14:paraId="0AB8902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液晶触摸屏中文简体操作，处方信息和药品信息直接显示在触摸屏上。</w:t>
            </w:r>
          </w:p>
        </w:tc>
      </w:tr>
      <w:tr w14:paraId="428C8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7B2A3FE">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6.5</w:t>
            </w:r>
          </w:p>
        </w:tc>
        <w:tc>
          <w:tcPr>
            <w:tcW w:w="9247" w:type="dxa"/>
            <w:vAlign w:val="center"/>
          </w:tcPr>
          <w:p w14:paraId="5B4A0AC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接受处方信息后，对药品进行单品种独立处理，确保药品发放和保管安全。</w:t>
            </w:r>
          </w:p>
        </w:tc>
      </w:tr>
      <w:tr w14:paraId="2E114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526B23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6.6</w:t>
            </w:r>
          </w:p>
        </w:tc>
        <w:tc>
          <w:tcPr>
            <w:tcW w:w="9247" w:type="dxa"/>
            <w:vAlign w:val="center"/>
          </w:tcPr>
          <w:p w14:paraId="58902CBE">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符合药品管理法基于特殊药品的管理要求，可设置读卡识别、指纹识别和密码识别等方式。</w:t>
            </w:r>
          </w:p>
        </w:tc>
      </w:tr>
      <w:tr w14:paraId="0A7D8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8FA06BB">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6.7</w:t>
            </w:r>
          </w:p>
        </w:tc>
        <w:tc>
          <w:tcPr>
            <w:tcW w:w="9247" w:type="dxa"/>
            <w:vAlign w:val="center"/>
          </w:tcPr>
          <w:p w14:paraId="5AE1260C">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需要确认取药人身份和处方后方可取药。</w:t>
            </w:r>
          </w:p>
        </w:tc>
      </w:tr>
      <w:tr w14:paraId="6DEBC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D8B8FEA">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6.8</w:t>
            </w:r>
          </w:p>
        </w:tc>
        <w:tc>
          <w:tcPr>
            <w:tcW w:w="9247" w:type="dxa"/>
            <w:vAlign w:val="center"/>
          </w:tcPr>
          <w:p w14:paraId="3E1CB22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注明药品名称，并可贴附条形码，药盒分隔区间。</w:t>
            </w:r>
          </w:p>
        </w:tc>
      </w:tr>
      <w:tr w14:paraId="5A83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9D3CB00">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6.9</w:t>
            </w:r>
          </w:p>
        </w:tc>
        <w:tc>
          <w:tcPr>
            <w:tcW w:w="9247" w:type="dxa"/>
            <w:vAlign w:val="center"/>
          </w:tcPr>
          <w:p w14:paraId="1D1F72C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系统加密后，只有指定人员可以打开抽屉，保证药品存放的避光性，外壳防盗、防撬。</w:t>
            </w:r>
          </w:p>
        </w:tc>
      </w:tr>
      <w:tr w14:paraId="24D33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F292839">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6.10</w:t>
            </w:r>
          </w:p>
        </w:tc>
        <w:tc>
          <w:tcPr>
            <w:tcW w:w="9247" w:type="dxa"/>
            <w:vAlign w:val="center"/>
          </w:tcPr>
          <w:p w14:paraId="18F908CC">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可打印处方信息，包括患者姓名、医嘱等。</w:t>
            </w:r>
          </w:p>
        </w:tc>
      </w:tr>
      <w:tr w14:paraId="6516E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60F939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6.11</w:t>
            </w:r>
          </w:p>
        </w:tc>
        <w:tc>
          <w:tcPr>
            <w:tcW w:w="9247" w:type="dxa"/>
            <w:vAlign w:val="center"/>
          </w:tcPr>
          <w:p w14:paraId="2E9D56C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根据需要可以手动检索药品，打开指定的药品抽屉。</w:t>
            </w:r>
          </w:p>
        </w:tc>
      </w:tr>
      <w:tr w14:paraId="73707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B464A5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6.12</w:t>
            </w:r>
          </w:p>
        </w:tc>
        <w:tc>
          <w:tcPr>
            <w:tcW w:w="9247" w:type="dxa"/>
            <w:vAlign w:val="center"/>
          </w:tcPr>
          <w:p w14:paraId="129EDC2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具备药品条形码识别与添加功能，具有药品入库扫描功能。</w:t>
            </w:r>
          </w:p>
        </w:tc>
      </w:tr>
      <w:tr w14:paraId="25034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BA8124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6.13</w:t>
            </w:r>
          </w:p>
        </w:tc>
        <w:tc>
          <w:tcPr>
            <w:tcW w:w="9247" w:type="dxa"/>
            <w:vAlign w:val="center"/>
          </w:tcPr>
          <w:p w14:paraId="39D1144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及时提示当前设备特殊药品库存，提醒设备是否需要进行补药。</w:t>
            </w:r>
          </w:p>
        </w:tc>
      </w:tr>
      <w:tr w14:paraId="32723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9DDA833">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7</w:t>
            </w:r>
          </w:p>
        </w:tc>
        <w:tc>
          <w:tcPr>
            <w:tcW w:w="9247" w:type="dxa"/>
          </w:tcPr>
          <w:p w14:paraId="178A5F2F">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发药追溯系统</w:t>
            </w:r>
          </w:p>
        </w:tc>
      </w:tr>
      <w:tr w14:paraId="54A3D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3131DD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7.1</w:t>
            </w:r>
          </w:p>
        </w:tc>
        <w:tc>
          <w:tcPr>
            <w:tcW w:w="9247" w:type="dxa"/>
            <w:vAlign w:val="center"/>
          </w:tcPr>
          <w:p w14:paraId="6F6D716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可根据医院要求提供发药追溯功能，实现机内发药自动追溯或机外追溯。</w:t>
            </w:r>
          </w:p>
        </w:tc>
      </w:tr>
      <w:tr w14:paraId="6BBDE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C40B1F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7.2</w:t>
            </w:r>
          </w:p>
        </w:tc>
        <w:tc>
          <w:tcPr>
            <w:tcW w:w="9247" w:type="dxa"/>
            <w:vAlign w:val="center"/>
          </w:tcPr>
          <w:p w14:paraId="48F7F6A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机内追溯功能可自动采集发出药品的溯源码信息。</w:t>
            </w:r>
          </w:p>
        </w:tc>
      </w:tr>
      <w:tr w14:paraId="65E8C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06D1D4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7.3</w:t>
            </w:r>
          </w:p>
        </w:tc>
        <w:tc>
          <w:tcPr>
            <w:tcW w:w="9247" w:type="dxa"/>
            <w:vAlign w:val="center"/>
          </w:tcPr>
          <w:p w14:paraId="250903F0">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能够将采集的溯源码信息同步交互上传给HIS或医保部门。</w:t>
            </w:r>
          </w:p>
        </w:tc>
      </w:tr>
      <w:tr w14:paraId="684BE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ECA57E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7.4</w:t>
            </w:r>
          </w:p>
        </w:tc>
        <w:tc>
          <w:tcPr>
            <w:tcW w:w="9247" w:type="dxa"/>
            <w:vAlign w:val="center"/>
          </w:tcPr>
          <w:p w14:paraId="239A0F5B">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能够实现采集失败的药品进行预警提示，同时实现对药品分发的数量和品种的核对。</w:t>
            </w:r>
          </w:p>
        </w:tc>
      </w:tr>
      <w:tr w14:paraId="5C9A2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3F17FB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7.5</w:t>
            </w:r>
          </w:p>
        </w:tc>
        <w:tc>
          <w:tcPr>
            <w:tcW w:w="9247" w:type="dxa"/>
            <w:vAlign w:val="center"/>
          </w:tcPr>
          <w:p w14:paraId="22BD8B6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读码速度：不低于100张图/秒。</w:t>
            </w:r>
          </w:p>
        </w:tc>
      </w:tr>
      <w:tr w14:paraId="7D761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0A1FC8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7.6</w:t>
            </w:r>
          </w:p>
        </w:tc>
        <w:tc>
          <w:tcPr>
            <w:tcW w:w="9247" w:type="dxa"/>
            <w:vAlign w:val="center"/>
          </w:tcPr>
          <w:p w14:paraId="0160E677">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可对药盒图片和追溯信息留底。保留时间不低于6个月。</w:t>
            </w:r>
          </w:p>
        </w:tc>
      </w:tr>
      <w:tr w14:paraId="5C940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58B985A">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8</w:t>
            </w:r>
          </w:p>
        </w:tc>
        <w:tc>
          <w:tcPr>
            <w:tcW w:w="9247" w:type="dxa"/>
            <w:vAlign w:val="center"/>
          </w:tcPr>
          <w:p w14:paraId="47608325">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智慧药房中央大屏系统</w:t>
            </w:r>
          </w:p>
        </w:tc>
      </w:tr>
      <w:tr w14:paraId="3DA1E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547BC0F">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8.1</w:t>
            </w:r>
          </w:p>
        </w:tc>
        <w:tc>
          <w:tcPr>
            <w:tcW w:w="9247" w:type="dxa"/>
          </w:tcPr>
          <w:p w14:paraId="1C066D75">
            <w:pPr>
              <w:pStyle w:val="78"/>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sz w:val="21"/>
                <w:szCs w:val="21"/>
              </w:rPr>
              <w:t>具备工作量监控显示，根据员工发药操作统计个人月度门诊配发量、平均量，并将汇总数据转化为图表或直观数字模式以供参阅。</w:t>
            </w:r>
          </w:p>
        </w:tc>
      </w:tr>
      <w:tr w14:paraId="25097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7D2CC10">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8.2</w:t>
            </w:r>
          </w:p>
        </w:tc>
        <w:tc>
          <w:tcPr>
            <w:tcW w:w="9247" w:type="dxa"/>
          </w:tcPr>
          <w:p w14:paraId="3CEB2C26">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处方总体数据监控，汇总并监控当日总量、已报到量、已调配量、待发放量、已发放量等信息。</w:t>
            </w:r>
          </w:p>
        </w:tc>
      </w:tr>
      <w:tr w14:paraId="1464F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7808F50">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8.3</w:t>
            </w:r>
          </w:p>
        </w:tc>
        <w:tc>
          <w:tcPr>
            <w:tcW w:w="9247" w:type="dxa"/>
          </w:tcPr>
          <w:p w14:paraId="1A06DD50">
            <w:pPr>
              <w:pStyle w:val="78"/>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sz w:val="21"/>
                <w:szCs w:val="21"/>
              </w:rPr>
              <w:t>可对处方实时监控，实时更新并监控当日总量、已报到量、已调配量、待发放量、已发放量等信息。</w:t>
            </w:r>
          </w:p>
        </w:tc>
      </w:tr>
      <w:tr w14:paraId="2ECD9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FD47FAA">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8.4</w:t>
            </w:r>
          </w:p>
        </w:tc>
        <w:tc>
          <w:tcPr>
            <w:tcW w:w="9247" w:type="dxa"/>
          </w:tcPr>
          <w:p w14:paraId="16329D6A">
            <w:pPr>
              <w:pStyle w:val="78"/>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sz w:val="21"/>
                <w:szCs w:val="21"/>
              </w:rPr>
              <w:t>实时显示处方配发效率，根据操作记录计算调剂平均时间、窗口发药平均时间，并在患者等候时间过长时对发药员工发出提示。</w:t>
            </w:r>
          </w:p>
        </w:tc>
      </w:tr>
      <w:tr w14:paraId="719EC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0A6C33D">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8.5</w:t>
            </w:r>
          </w:p>
        </w:tc>
        <w:tc>
          <w:tcPr>
            <w:tcW w:w="9247" w:type="dxa"/>
          </w:tcPr>
          <w:p w14:paraId="389CC783">
            <w:pPr>
              <w:pStyle w:val="78"/>
              <w:rPr>
                <w:rFonts w:hint="eastAsia" w:asciiTheme="majorEastAsia" w:hAnsiTheme="majorEastAsia" w:eastAsiaTheme="majorEastAsia" w:cstheme="majorEastAsia"/>
                <w:b/>
                <w:bCs/>
                <w:sz w:val="21"/>
                <w:szCs w:val="21"/>
              </w:rPr>
            </w:pPr>
            <w:r>
              <w:rPr>
                <w:rFonts w:hint="eastAsia" w:asciiTheme="majorEastAsia" w:hAnsiTheme="majorEastAsia" w:eastAsiaTheme="majorEastAsia" w:cstheme="majorEastAsia"/>
                <w:sz w:val="21"/>
                <w:szCs w:val="21"/>
              </w:rPr>
              <w:t>可显示已发处方的科室分布，根据抓取的处方信息统计来源的科室并汇总后以科室形式展现，处方信息实时更新。</w:t>
            </w:r>
          </w:p>
        </w:tc>
      </w:tr>
      <w:tr w14:paraId="68FCA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3B6558D">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8.6</w:t>
            </w:r>
          </w:p>
        </w:tc>
        <w:tc>
          <w:tcPr>
            <w:tcW w:w="9247" w:type="dxa"/>
          </w:tcPr>
          <w:p w14:paraId="34FD002E">
            <w:pPr>
              <w:pStyle w:val="78"/>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sz w:val="21"/>
                <w:szCs w:val="21"/>
              </w:rPr>
              <w:t>具备处方在各个发药设备分布监控功能，系统监控全院各发药设备处理的处方量，统计后可查阅实时更新的数据。</w:t>
            </w:r>
          </w:p>
        </w:tc>
      </w:tr>
      <w:tr w14:paraId="27703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F5B649B">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8.7</w:t>
            </w:r>
          </w:p>
        </w:tc>
        <w:tc>
          <w:tcPr>
            <w:tcW w:w="9247" w:type="dxa"/>
          </w:tcPr>
          <w:p w14:paraId="302F738A">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具备设备出药监控功能，系统监控每个设备每个储位未出药提示，具备显示屏弹出提示信息功能。</w:t>
            </w:r>
          </w:p>
        </w:tc>
      </w:tr>
      <w:tr w14:paraId="212F7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71A4018">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8.8</w:t>
            </w:r>
          </w:p>
        </w:tc>
        <w:tc>
          <w:tcPr>
            <w:tcW w:w="9247" w:type="dxa"/>
          </w:tcPr>
          <w:p w14:paraId="65199329">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具备设备实时运行监控功能，系统可监控全院发药设备运行情况，也可监控单个设备处理单处方的实时工作情况。</w:t>
            </w:r>
          </w:p>
        </w:tc>
      </w:tr>
      <w:tr w14:paraId="29461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64701F7">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9</w:t>
            </w:r>
          </w:p>
        </w:tc>
        <w:tc>
          <w:tcPr>
            <w:tcW w:w="9247" w:type="dxa"/>
          </w:tcPr>
          <w:p w14:paraId="5D232B6F">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医用冷藏箱</w:t>
            </w:r>
          </w:p>
        </w:tc>
      </w:tr>
      <w:tr w14:paraId="66FDE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219C599">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▲9.1</w:t>
            </w:r>
          </w:p>
        </w:tc>
        <w:tc>
          <w:tcPr>
            <w:tcW w:w="9247" w:type="dxa"/>
          </w:tcPr>
          <w:p w14:paraId="31BE277E">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立式对开门设计，有效容积不少于1030L，产品外部尺寸不超过1210*750*2000mm（宽*深*高）。</w:t>
            </w:r>
            <w:r>
              <w:rPr>
                <w:rFonts w:hint="eastAsia" w:asciiTheme="majorEastAsia" w:hAnsiTheme="majorEastAsia" w:eastAsiaTheme="majorEastAsia" w:cstheme="majorEastAsia"/>
                <w:b/>
                <w:bCs/>
                <w:szCs w:val="21"/>
              </w:rPr>
              <w:t>（提供完整视频证明及图文说明，内容至少包含产品外观、尺寸测量、设备铭牌等内容，要求铭牌型号必须与产品注册证一致）</w:t>
            </w:r>
          </w:p>
        </w:tc>
      </w:tr>
      <w:tr w14:paraId="0BF99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687B212">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9.2</w:t>
            </w:r>
          </w:p>
        </w:tc>
        <w:tc>
          <w:tcPr>
            <w:tcW w:w="9247" w:type="dxa"/>
            <w:vAlign w:val="center"/>
          </w:tcPr>
          <w:p w14:paraId="0EC7399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箱内温度控制在2~8℃范围内，数码管温度显示，显示精度0.1℃。</w:t>
            </w:r>
          </w:p>
        </w:tc>
      </w:tr>
      <w:tr w14:paraId="097CE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096A55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▲9.3</w:t>
            </w:r>
          </w:p>
        </w:tc>
        <w:tc>
          <w:tcPr>
            <w:tcW w:w="9247" w:type="dxa"/>
            <w:vAlign w:val="center"/>
          </w:tcPr>
          <w:p w14:paraId="2E518C37">
            <w:pP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风冷设计，保证箱内温度维持在标定的温度范围内。通过26点测试法测量，可以实现温度均匀度±1.5℃，设定温度默认5℃，用户可自主调整为4℃。</w:t>
            </w:r>
            <w:r>
              <w:rPr>
                <w:rFonts w:hint="eastAsia" w:asciiTheme="majorEastAsia" w:hAnsiTheme="majorEastAsia" w:eastAsiaTheme="majorEastAsia" w:cstheme="majorEastAsia"/>
                <w:b/>
                <w:bCs/>
                <w:szCs w:val="21"/>
              </w:rPr>
              <w:t>（提供国家认可的地市级检测机构出具带有CMA或CNAS认证的第三方出具的检测报告）</w:t>
            </w:r>
          </w:p>
        </w:tc>
      </w:tr>
      <w:tr w14:paraId="7E6A1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17D3D149">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9.4</w:t>
            </w:r>
          </w:p>
        </w:tc>
        <w:tc>
          <w:tcPr>
            <w:tcW w:w="9247" w:type="dxa"/>
            <w:vAlign w:val="center"/>
          </w:tcPr>
          <w:p w14:paraId="3410AA8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设备门板采用三层钢化玻璃，智感除露降低传热效率，32℃、80%湿度下无凝露。</w:t>
            </w:r>
          </w:p>
        </w:tc>
      </w:tr>
      <w:tr w14:paraId="24812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7CB7FD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9.5</w:t>
            </w:r>
          </w:p>
        </w:tc>
        <w:tc>
          <w:tcPr>
            <w:tcW w:w="9247" w:type="dxa"/>
            <w:vAlign w:val="center"/>
          </w:tcPr>
          <w:p w14:paraId="64F4F5A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玻璃门采用边框电加热结构，控制方式受箱内温度和环境湿度双重自主控制，智感除露，避免不必要的加热，降低能耗，日能耗不超过2.5kwh。</w:t>
            </w:r>
          </w:p>
        </w:tc>
      </w:tr>
      <w:tr w14:paraId="2C34A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AA6A7A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9.6</w:t>
            </w:r>
          </w:p>
        </w:tc>
        <w:tc>
          <w:tcPr>
            <w:tcW w:w="9247" w:type="dxa"/>
            <w:vAlign w:val="center"/>
          </w:tcPr>
          <w:p w14:paraId="367B1DD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报警功能齐全：高低温报警、断电报警、开门报警、传感器故障报警、电池电量低报警，冷凝器脏堵报警，两种报警方式。（声音蜂鸣报警和灯光闪烁报警）</w:t>
            </w:r>
          </w:p>
        </w:tc>
      </w:tr>
      <w:tr w14:paraId="5ACC8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C36E46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9.7</w:t>
            </w:r>
          </w:p>
        </w:tc>
        <w:tc>
          <w:tcPr>
            <w:tcW w:w="9247" w:type="dxa"/>
            <w:vAlign w:val="center"/>
          </w:tcPr>
          <w:p w14:paraId="60E5612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7路传感温度控制：上温、下温、化霜、控制、冷凝器脏堵、环温、环湿；有效保证温控的准确性。</w:t>
            </w:r>
          </w:p>
        </w:tc>
      </w:tr>
      <w:tr w14:paraId="5BED4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3C5E081">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9.8</w:t>
            </w:r>
          </w:p>
        </w:tc>
        <w:tc>
          <w:tcPr>
            <w:tcW w:w="9247" w:type="dxa"/>
            <w:vAlign w:val="center"/>
          </w:tcPr>
          <w:p w14:paraId="09429F7D">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标配WIFI物联模块，通过手机APP程序，远程监控设备状态，查看温度情况及报警情况。（提供APP程序界面证明材料）</w:t>
            </w:r>
          </w:p>
        </w:tc>
      </w:tr>
      <w:tr w14:paraId="579DF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85D039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▲9.9</w:t>
            </w:r>
          </w:p>
        </w:tc>
        <w:tc>
          <w:tcPr>
            <w:tcW w:w="9247" w:type="dxa"/>
            <w:vAlign w:val="center"/>
          </w:tcPr>
          <w:p w14:paraId="635F3C6D">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产品必须具备医疗器械注册证。（提供有效证明材料，并加盖投标人公章）</w:t>
            </w:r>
          </w:p>
        </w:tc>
      </w:tr>
      <w:tr w14:paraId="7D3B7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339A40E">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9.10</w:t>
            </w:r>
          </w:p>
        </w:tc>
        <w:tc>
          <w:tcPr>
            <w:tcW w:w="9247" w:type="dxa"/>
            <w:vAlign w:val="center"/>
          </w:tcPr>
          <w:p w14:paraId="35579D54">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产品具备第三方性能检测报告。（提供有效证明材料，并加盖投标人公章）</w:t>
            </w:r>
          </w:p>
        </w:tc>
      </w:tr>
      <w:tr w14:paraId="2E0E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E3B234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9.11</w:t>
            </w:r>
          </w:p>
        </w:tc>
        <w:tc>
          <w:tcPr>
            <w:tcW w:w="9247" w:type="dxa"/>
            <w:vAlign w:val="center"/>
          </w:tcPr>
          <w:p w14:paraId="6DC4B2DB">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产品具备CQC节能环保认证、美国UL能源之星认证、CE/ UKCA/ DIN 13277 认证。（提供有效证明材料，并加盖投标人公章）</w:t>
            </w:r>
          </w:p>
        </w:tc>
      </w:tr>
      <w:tr w14:paraId="45231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7802EF62">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10</w:t>
            </w:r>
          </w:p>
        </w:tc>
        <w:tc>
          <w:tcPr>
            <w:tcW w:w="9247" w:type="dxa"/>
          </w:tcPr>
          <w:p w14:paraId="23A67D56">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自动补药机器人</w:t>
            </w:r>
          </w:p>
        </w:tc>
      </w:tr>
      <w:tr w14:paraId="6D613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DC6E456">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10.1</w:t>
            </w:r>
          </w:p>
        </w:tc>
        <w:tc>
          <w:tcPr>
            <w:tcW w:w="9247" w:type="dxa"/>
          </w:tcPr>
          <w:p w14:paraId="0232AE9B">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 xml:space="preserve">补药系统采用全自动机器人补药方式，主体结构不少于补药机器人主机、智能复核系统、药品缓存仓和循环式补药通道四个部分 </w:t>
            </w:r>
          </w:p>
        </w:tc>
      </w:tr>
      <w:tr w14:paraId="23695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4B1D028">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10.2</w:t>
            </w:r>
          </w:p>
        </w:tc>
        <w:tc>
          <w:tcPr>
            <w:tcW w:w="9247" w:type="dxa"/>
          </w:tcPr>
          <w:p w14:paraId="748B69DE">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发药主机单元具有药品条形码（或医院药品管理ID码、二维码）自动识别系统；</w:t>
            </w:r>
          </w:p>
        </w:tc>
      </w:tr>
      <w:tr w14:paraId="61A06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AB8E86E">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10.3</w:t>
            </w:r>
          </w:p>
        </w:tc>
        <w:tc>
          <w:tcPr>
            <w:tcW w:w="9247" w:type="dxa"/>
          </w:tcPr>
          <w:p w14:paraId="42B98141">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补药系统采用吸盘式机械手进行药盒吸附式抓取。为保证抓取灵活度，采用四轴机械臂自动规划路径实现药盒抓取，抓取效率不低于800盒/小时。</w:t>
            </w:r>
          </w:p>
        </w:tc>
      </w:tr>
      <w:tr w14:paraId="431B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139337D">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10.4</w:t>
            </w:r>
          </w:p>
        </w:tc>
        <w:tc>
          <w:tcPr>
            <w:tcW w:w="9247" w:type="dxa"/>
          </w:tcPr>
          <w:p w14:paraId="6A791B59">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药品缓存仓采用3D视觉相机AI智能采集算法，完成药品的品规及位置采集，机械手自动完成药品的补药工作。</w:t>
            </w:r>
          </w:p>
        </w:tc>
      </w:tr>
      <w:tr w14:paraId="20080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13A0471">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10.5</w:t>
            </w:r>
          </w:p>
        </w:tc>
        <w:tc>
          <w:tcPr>
            <w:tcW w:w="9247" w:type="dxa"/>
          </w:tcPr>
          <w:p w14:paraId="29C9066B">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具备药品复核系统，可对待补药品进行定位并识别，确保加药准确。</w:t>
            </w:r>
          </w:p>
        </w:tc>
      </w:tr>
      <w:tr w14:paraId="7013A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EEF04E0">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10.6</w:t>
            </w:r>
          </w:p>
        </w:tc>
        <w:tc>
          <w:tcPr>
            <w:tcW w:w="9247" w:type="dxa"/>
          </w:tcPr>
          <w:p w14:paraId="629B04CA">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szCs w:val="21"/>
              </w:rPr>
              <w:t>补药系统可根据使用要求无缝对接自动化二级库，实现快速发药系统库发一体化功能。</w:t>
            </w:r>
          </w:p>
        </w:tc>
      </w:tr>
    </w:tbl>
    <w:p w14:paraId="3C372A08">
      <w:pPr>
        <w:rPr>
          <w:rFonts w:hint="eastAsia" w:hAnsi="宋体" w:cs="方正大标宋简体"/>
          <w:b/>
          <w:bCs/>
          <w:szCs w:val="21"/>
        </w:rPr>
      </w:pPr>
    </w:p>
    <w:p w14:paraId="2B544C59">
      <w:pPr>
        <w:pStyle w:val="27"/>
        <w:jc w:val="left"/>
        <w:rPr>
          <w:rFonts w:hint="eastAsia" w:ascii="宋体" w:hAnsi="宋体"/>
        </w:rPr>
      </w:pPr>
      <w:r>
        <w:rPr>
          <w:rFonts w:hint="eastAsia" w:ascii="宋体" w:hAnsi="宋体"/>
        </w:rPr>
        <w:t>三、商务要求</w:t>
      </w:r>
    </w:p>
    <w:tbl>
      <w:tblPr>
        <w:tblStyle w:val="28"/>
        <w:tblW w:w="1009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9247"/>
      </w:tblGrid>
      <w:tr w14:paraId="7E3AF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Borders>
              <w:top w:val="single" w:color="auto" w:sz="4" w:space="0"/>
              <w:left w:val="single" w:color="auto" w:sz="4" w:space="0"/>
              <w:bottom w:val="single" w:color="auto" w:sz="4" w:space="0"/>
              <w:right w:val="single" w:color="auto" w:sz="4" w:space="0"/>
            </w:tcBorders>
            <w:vAlign w:val="center"/>
          </w:tcPr>
          <w:p w14:paraId="5C01CB32">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序号</w:t>
            </w:r>
          </w:p>
        </w:tc>
        <w:tc>
          <w:tcPr>
            <w:tcW w:w="9247" w:type="dxa"/>
            <w:tcBorders>
              <w:top w:val="single" w:color="auto" w:sz="4" w:space="0"/>
              <w:left w:val="single" w:color="auto" w:sz="4" w:space="0"/>
              <w:bottom w:val="single" w:color="auto" w:sz="4" w:space="0"/>
              <w:right w:val="single" w:color="auto" w:sz="4" w:space="0"/>
            </w:tcBorders>
          </w:tcPr>
          <w:p w14:paraId="4BDD2756">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内容</w:t>
            </w:r>
          </w:p>
        </w:tc>
      </w:tr>
      <w:tr w14:paraId="69163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Borders>
              <w:top w:val="single" w:color="auto" w:sz="4" w:space="0"/>
              <w:left w:val="single" w:color="auto" w:sz="4" w:space="0"/>
              <w:bottom w:val="single" w:color="auto" w:sz="4" w:space="0"/>
              <w:right w:val="single" w:color="auto" w:sz="4" w:space="0"/>
            </w:tcBorders>
            <w:vAlign w:val="center"/>
          </w:tcPr>
          <w:p w14:paraId="067B9A3C">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（一）</w:t>
            </w:r>
          </w:p>
        </w:tc>
        <w:tc>
          <w:tcPr>
            <w:tcW w:w="9247" w:type="dxa"/>
            <w:tcBorders>
              <w:top w:val="single" w:color="auto" w:sz="4" w:space="0"/>
              <w:left w:val="single" w:color="auto" w:sz="4" w:space="0"/>
              <w:bottom w:val="single" w:color="auto" w:sz="4" w:space="0"/>
              <w:right w:val="single" w:color="auto" w:sz="4" w:space="0"/>
            </w:tcBorders>
          </w:tcPr>
          <w:p w14:paraId="4ED8AA9D">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供货要求</w:t>
            </w:r>
          </w:p>
        </w:tc>
      </w:tr>
      <w:tr w14:paraId="21AFC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71C85D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9247" w:type="dxa"/>
            <w:vAlign w:val="center"/>
          </w:tcPr>
          <w:p w14:paraId="5C46C2E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中标供应商需免费提供1套自动化二级库系统，实现2套快速发药系统的库发一体功能。系统通过天轨传输直接与2套发药机的全自动智能补药机无缝对接，实现库内药箱自动流转。整体库存容量不低于500个标准药箱，出入库速度≥120箱/小时。</w:t>
            </w:r>
          </w:p>
        </w:tc>
      </w:tr>
      <w:tr w14:paraId="13B31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8EE446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w:t>
            </w:r>
          </w:p>
        </w:tc>
        <w:tc>
          <w:tcPr>
            <w:tcW w:w="9247" w:type="dxa"/>
            <w:vAlign w:val="center"/>
          </w:tcPr>
          <w:p w14:paraId="47C2B553">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bCs/>
                <w:color w:val="000000"/>
                <w:szCs w:val="21"/>
              </w:rPr>
              <w:t>中标人应保证所提供的设备制造日期距交货时间不能超过 1 年，是全新的、未使用过的设备，并符合国家有关标准、制造厂标准及合同技术标准要求。</w:t>
            </w:r>
          </w:p>
        </w:tc>
      </w:tr>
      <w:tr w14:paraId="2542D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5E4096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w:t>
            </w:r>
          </w:p>
        </w:tc>
        <w:tc>
          <w:tcPr>
            <w:tcW w:w="9247" w:type="dxa"/>
            <w:vAlign w:val="center"/>
          </w:tcPr>
          <w:p w14:paraId="2849760F">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中标人应自本合同签订生效后60个工作日内产品运输至招标人指定地点并完成设备的安装调试，中标人需自行安排工程技术人员开箱清点并安装。</w:t>
            </w:r>
          </w:p>
        </w:tc>
      </w:tr>
      <w:tr w14:paraId="68999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67058B6">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（二）</w:t>
            </w:r>
          </w:p>
        </w:tc>
        <w:tc>
          <w:tcPr>
            <w:tcW w:w="9247" w:type="dxa"/>
            <w:vAlign w:val="center"/>
          </w:tcPr>
          <w:p w14:paraId="2F083302">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安装要求</w:t>
            </w:r>
          </w:p>
        </w:tc>
      </w:tr>
      <w:tr w14:paraId="036C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9F00338">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9247" w:type="dxa"/>
            <w:vAlign w:val="center"/>
          </w:tcPr>
          <w:p w14:paraId="47B84646">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工期要求：合同签订生效后，即起计工期，即从实施单位应自本合同生效之日起进场实施到项目完成验收全过程在180日内完成。</w:t>
            </w:r>
          </w:p>
        </w:tc>
      </w:tr>
      <w:tr w14:paraId="11B16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A80135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w:t>
            </w:r>
          </w:p>
        </w:tc>
        <w:tc>
          <w:tcPr>
            <w:tcW w:w="9247" w:type="dxa"/>
            <w:vAlign w:val="center"/>
          </w:tcPr>
          <w:p w14:paraId="5E738B3C">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中标人必须按项目进度安排计划，派出适当的技术人员到安装现场负责安装和调试工作。在安装施工期间，严格遵守招标人的有关规定。</w:t>
            </w:r>
          </w:p>
        </w:tc>
      </w:tr>
      <w:tr w14:paraId="23C12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D0799D7">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w:t>
            </w:r>
          </w:p>
        </w:tc>
        <w:tc>
          <w:tcPr>
            <w:tcW w:w="9247" w:type="dxa"/>
            <w:vAlign w:val="center"/>
          </w:tcPr>
          <w:p w14:paraId="77A583E0">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中标人必须依照招标文件的要求和投标文件的承诺，将设备、系统安装并调试至正常运行的最佳状态。</w:t>
            </w:r>
          </w:p>
        </w:tc>
      </w:tr>
      <w:tr w14:paraId="3F6D6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6890404">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（三）</w:t>
            </w:r>
          </w:p>
        </w:tc>
        <w:tc>
          <w:tcPr>
            <w:tcW w:w="9247" w:type="dxa"/>
            <w:vAlign w:val="center"/>
          </w:tcPr>
          <w:p w14:paraId="216BCB92">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售后服务要求</w:t>
            </w:r>
          </w:p>
        </w:tc>
      </w:tr>
      <w:tr w14:paraId="68A6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EF8606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9247" w:type="dxa"/>
            <w:vAlign w:val="center"/>
          </w:tcPr>
          <w:p w14:paraId="4998093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保修期：整套设备（含自动化二级库）至少5年免费保修期。</w:t>
            </w:r>
          </w:p>
        </w:tc>
      </w:tr>
      <w:tr w14:paraId="3BECC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F3497AC">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1.1</w:t>
            </w:r>
          </w:p>
        </w:tc>
        <w:tc>
          <w:tcPr>
            <w:tcW w:w="9247" w:type="dxa"/>
            <w:vAlign w:val="center"/>
          </w:tcPr>
          <w:p w14:paraId="0FAB5BC8">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保修期内必须保证 95％以上日期（以每年 365 天计算）能正常工作，如未能达到，应按 2 倍时间相应延长保修期。</w:t>
            </w:r>
          </w:p>
        </w:tc>
      </w:tr>
      <w:tr w14:paraId="1F77D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D90E08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1.2</w:t>
            </w:r>
          </w:p>
        </w:tc>
        <w:tc>
          <w:tcPr>
            <w:tcW w:w="9247" w:type="dxa"/>
            <w:vAlign w:val="center"/>
          </w:tcPr>
          <w:p w14:paraId="2A01BB36">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保质保修期内，投标产品必须由原厂负责维修和售后服务（提供原厂售后服务承诺） 。每年需对设备进行不少于 4 次的维护，每次维护时间间隔应不少于 3 个月。</w:t>
            </w:r>
          </w:p>
        </w:tc>
      </w:tr>
      <w:tr w14:paraId="551B5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EB1AC5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w:t>
            </w:r>
          </w:p>
        </w:tc>
        <w:tc>
          <w:tcPr>
            <w:tcW w:w="9247" w:type="dxa"/>
            <w:vAlign w:val="center"/>
          </w:tcPr>
          <w:p w14:paraId="612EA275">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保修期内，所有服务及配件全部（含自动化二级库）包含在报价中。“用户需求书”中另有要求的，以其中的要求为准。</w:t>
            </w:r>
          </w:p>
        </w:tc>
      </w:tr>
      <w:tr w14:paraId="6447E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5311DCD">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w:t>
            </w:r>
          </w:p>
        </w:tc>
        <w:tc>
          <w:tcPr>
            <w:tcW w:w="9247" w:type="dxa"/>
            <w:vAlign w:val="center"/>
          </w:tcPr>
          <w:p w14:paraId="4850F15A">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保修期自招标人和中标人代表在货物安装调试验收后的验收书上签字之日起计算。保修期内中标人对所供货物实行包修、包换、包退、包维护保养，保修期后设备维修配件更换只收取成本费用。</w:t>
            </w:r>
          </w:p>
        </w:tc>
      </w:tr>
      <w:tr w14:paraId="64366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6C70EA57">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4.</w:t>
            </w:r>
          </w:p>
        </w:tc>
        <w:tc>
          <w:tcPr>
            <w:tcW w:w="9247" w:type="dxa"/>
            <w:vAlign w:val="center"/>
          </w:tcPr>
          <w:p w14:paraId="42DAF002">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保修期内，如设备或零部件因非人为因素出现故障而造成短期停用时，则保修期相应顺延。如停用时间累计超过 60 天则保修期重新计算。</w:t>
            </w:r>
          </w:p>
        </w:tc>
      </w:tr>
      <w:tr w14:paraId="4700E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CAB438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5.</w:t>
            </w:r>
          </w:p>
        </w:tc>
        <w:tc>
          <w:tcPr>
            <w:tcW w:w="9247" w:type="dxa"/>
            <w:vAlign w:val="center"/>
          </w:tcPr>
          <w:p w14:paraId="4149CB16">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在保修期内，如货品非因招标人的人为原因而出现的问题由中标人负责保修、包换或包退，并承担修理、调换或退货的实际费用。</w:t>
            </w:r>
          </w:p>
        </w:tc>
      </w:tr>
      <w:tr w14:paraId="7E876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79F182F">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6.</w:t>
            </w:r>
          </w:p>
        </w:tc>
        <w:tc>
          <w:tcPr>
            <w:tcW w:w="9247" w:type="dxa"/>
            <w:vAlign w:val="center"/>
          </w:tcPr>
          <w:p w14:paraId="3D6FA12F">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保修期内，中标人负责对其提供的货物整机进行维修和系统维护，不再收取任何费用，但非中标人责任的人为因素、 自然因素（如火灾、雷击等）造成的故障除外。</w:t>
            </w:r>
          </w:p>
        </w:tc>
      </w:tr>
      <w:tr w14:paraId="700EC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CBD3AA9">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7.</w:t>
            </w:r>
          </w:p>
        </w:tc>
        <w:tc>
          <w:tcPr>
            <w:tcW w:w="9247" w:type="dxa"/>
            <w:vAlign w:val="center"/>
          </w:tcPr>
          <w:p w14:paraId="62805376">
            <w:pPr>
              <w:adjustRightInd w:val="0"/>
              <w:snapToGrid w:val="0"/>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保修期内，对招标人的服务通知，中标人在接报后 2 小时内响应，12 小时内到达现场，24 小时内处理完毕。若中标人未能在48小时内消除障碍，招标人有权聘请第三方消除障碍，由此产生的费用由中标人承担。</w:t>
            </w:r>
          </w:p>
        </w:tc>
      </w:tr>
      <w:tr w14:paraId="0FB87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8A5C1D6">
            <w:pPr>
              <w:adjustRightInd w:val="0"/>
              <w:snapToGrid w:val="0"/>
              <w:jc w:val="center"/>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（四）</w:t>
            </w:r>
          </w:p>
        </w:tc>
        <w:tc>
          <w:tcPr>
            <w:tcW w:w="9247" w:type="dxa"/>
            <w:vAlign w:val="center"/>
          </w:tcPr>
          <w:p w14:paraId="1A0A1446">
            <w:pPr>
              <w:adjustRightInd w:val="0"/>
              <w:snapToGrid w:val="0"/>
              <w:rPr>
                <w:rFonts w:hint="eastAsia" w:asciiTheme="majorEastAsia" w:hAnsiTheme="majorEastAsia" w:eastAsiaTheme="majorEastAsia" w:cstheme="majorEastAsia"/>
                <w:b/>
                <w:bCs/>
                <w:szCs w:val="21"/>
              </w:rPr>
            </w:pPr>
            <w:r>
              <w:rPr>
                <w:rFonts w:hint="eastAsia" w:asciiTheme="majorEastAsia" w:hAnsiTheme="majorEastAsia" w:eastAsiaTheme="majorEastAsia" w:cstheme="majorEastAsia"/>
                <w:b/>
                <w:bCs/>
                <w:szCs w:val="21"/>
              </w:rPr>
              <w:t>其他要求</w:t>
            </w:r>
          </w:p>
        </w:tc>
      </w:tr>
      <w:tr w14:paraId="63892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55A06E3">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▲1</w:t>
            </w:r>
          </w:p>
        </w:tc>
        <w:tc>
          <w:tcPr>
            <w:tcW w:w="9247" w:type="dxa"/>
            <w:vAlign w:val="center"/>
          </w:tcPr>
          <w:p w14:paraId="79C707F4">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需提供成熟稳定产品，三年内</w:t>
            </w:r>
            <w:r>
              <w:rPr>
                <w:rFonts w:hint="eastAsia" w:asciiTheme="majorEastAsia" w:hAnsiTheme="majorEastAsia" w:eastAsiaTheme="majorEastAsia" w:cstheme="majorEastAsia"/>
                <w:szCs w:val="21"/>
              </w:rPr>
              <w:t>所投产品的同品牌同类型产品</w:t>
            </w:r>
            <w:r>
              <w:rPr>
                <w:rFonts w:hint="eastAsia" w:asciiTheme="majorEastAsia" w:hAnsiTheme="majorEastAsia" w:eastAsiaTheme="majorEastAsia" w:cstheme="majorEastAsia"/>
                <w:bCs/>
                <w:color w:val="000000"/>
                <w:szCs w:val="21"/>
              </w:rPr>
              <w:t>不少于5家省内医院装机案例。（提供2023年01月至2025年12月成交的同类客户医院名称及现场定位照片，需</w:t>
            </w:r>
            <w:r>
              <w:rPr>
                <w:rFonts w:hint="eastAsia" w:asciiTheme="majorEastAsia" w:hAnsiTheme="majorEastAsia" w:eastAsiaTheme="majorEastAsia" w:cstheme="majorEastAsia"/>
                <w:szCs w:val="21"/>
              </w:rPr>
              <w:t>提供有效材料</w:t>
            </w:r>
            <w:r>
              <w:rPr>
                <w:rFonts w:hint="eastAsia" w:asciiTheme="majorEastAsia" w:hAnsiTheme="majorEastAsia" w:eastAsiaTheme="majorEastAsia" w:cstheme="majorEastAsia"/>
                <w:bCs/>
                <w:color w:val="000000"/>
                <w:szCs w:val="21"/>
              </w:rPr>
              <w:t>证明装机时间）</w:t>
            </w:r>
          </w:p>
        </w:tc>
      </w:tr>
      <w:tr w14:paraId="2217F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F70CE76">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2</w:t>
            </w:r>
          </w:p>
        </w:tc>
        <w:tc>
          <w:tcPr>
            <w:tcW w:w="9247" w:type="dxa"/>
            <w:vAlign w:val="center"/>
          </w:tcPr>
          <w:p w14:paraId="45AD3D5D">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szCs w:val="21"/>
              </w:rPr>
              <w:t>设备使用年限：≥10年。</w:t>
            </w:r>
          </w:p>
        </w:tc>
      </w:tr>
      <w:tr w14:paraId="67831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B8478A5">
            <w:pPr>
              <w:adjustRightInd w:val="0"/>
              <w:snapToGrid w:val="0"/>
              <w:jc w:val="center"/>
              <w:rPr>
                <w:rFonts w:hint="eastAsia" w:asciiTheme="majorEastAsia" w:hAnsiTheme="majorEastAsia" w:eastAsiaTheme="majorEastAsia" w:cstheme="majorEastAsia"/>
                <w:szCs w:val="21"/>
              </w:rPr>
            </w:pPr>
            <w:r>
              <w:rPr>
                <w:rFonts w:hint="eastAsia" w:asciiTheme="majorEastAsia" w:hAnsiTheme="majorEastAsia" w:eastAsiaTheme="majorEastAsia" w:cstheme="majorEastAsia"/>
                <w:szCs w:val="21"/>
              </w:rPr>
              <w:t>3</w:t>
            </w:r>
          </w:p>
        </w:tc>
        <w:tc>
          <w:tcPr>
            <w:tcW w:w="9247" w:type="dxa"/>
            <w:vAlign w:val="center"/>
          </w:tcPr>
          <w:p w14:paraId="741512E7">
            <w:pPr>
              <w:adjustRightInd w:val="0"/>
              <w:snapToGrid w:val="0"/>
              <w:rPr>
                <w:rFonts w:hint="eastAsia" w:asciiTheme="majorEastAsia" w:hAnsiTheme="majorEastAsia" w:eastAsiaTheme="majorEastAsia" w:cstheme="majorEastAsia"/>
                <w:bCs/>
                <w:color w:val="000000"/>
                <w:szCs w:val="21"/>
              </w:rPr>
            </w:pPr>
            <w:r>
              <w:rPr>
                <w:rFonts w:hint="eastAsia" w:asciiTheme="majorEastAsia" w:hAnsiTheme="majorEastAsia" w:eastAsiaTheme="majorEastAsia" w:cstheme="majorEastAsia"/>
                <w:bCs/>
                <w:color w:val="000000"/>
                <w:szCs w:val="21"/>
              </w:rPr>
              <w:t>在设备安装和调试完成后，中标人应在为招标人提供培训服务，提供专业技术人员对招标人使用操作人员和维护维修人员进行不少于14天的培训，并保证使用操作人员2名，维护维修人员1名，培训后能熟练操作应用、维护检修该产品。</w:t>
            </w:r>
          </w:p>
        </w:tc>
      </w:tr>
    </w:tbl>
    <w:p w14:paraId="1997F376">
      <w:pPr>
        <w:pStyle w:val="27"/>
        <w:jc w:val="left"/>
        <w:rPr>
          <w:rFonts w:hint="eastAsia" w:ascii="宋体" w:hAnsi="宋体"/>
        </w:rPr>
      </w:pPr>
      <w:r>
        <w:rPr>
          <w:rFonts w:hint="eastAsia" w:ascii="宋体" w:hAnsi="宋体"/>
          <w:lang w:val="en-US" w:eastAsia="zh-CN"/>
        </w:rPr>
        <w:t>四</w:t>
      </w:r>
      <w:r>
        <w:rPr>
          <w:rFonts w:hint="eastAsia" w:ascii="宋体" w:hAnsi="宋体"/>
        </w:rPr>
        <w:t>、工期及服务地点</w:t>
      </w:r>
    </w:p>
    <w:p w14:paraId="3DFF3241">
      <w:pPr>
        <w:pStyle w:val="26"/>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180" w:lineRule="atLeast"/>
        <w:ind w:left="0" w:right="0" w:firstLine="240"/>
        <w:rPr>
          <w:rFonts w:hint="eastAsia" w:ascii="宋体" w:hAnsi="宋体" w:eastAsia="宋体" w:cs="宋体"/>
          <w:i w:val="0"/>
          <w:iCs w:val="0"/>
          <w:caps w:val="0"/>
          <w:color w:val="000000"/>
          <w:spacing w:val="0"/>
          <w:sz w:val="24"/>
          <w:szCs w:val="24"/>
          <w:shd w:val="clear" w:color="auto" w:fill="FFFFFF"/>
        </w:rPr>
      </w:pPr>
      <w:r>
        <w:rPr>
          <w:rFonts w:hint="eastAsia" w:ascii="宋体" w:hAnsi="宋体" w:cs="宋体"/>
          <w:i w:val="0"/>
          <w:iCs w:val="0"/>
          <w:caps w:val="0"/>
          <w:color w:val="000000"/>
          <w:spacing w:val="0"/>
          <w:sz w:val="24"/>
          <w:szCs w:val="24"/>
          <w:shd w:val="clear" w:color="auto" w:fill="FFFFFF"/>
          <w:lang w:val="en-US" w:eastAsia="zh-CN"/>
        </w:rPr>
        <w:t>1、工期</w:t>
      </w:r>
      <w:r>
        <w:rPr>
          <w:rFonts w:hint="eastAsia" w:ascii="宋体" w:hAnsi="宋体" w:eastAsia="宋体" w:cs="宋体"/>
          <w:i w:val="0"/>
          <w:iCs w:val="0"/>
          <w:caps w:val="0"/>
          <w:color w:val="000000"/>
          <w:spacing w:val="0"/>
          <w:sz w:val="24"/>
          <w:szCs w:val="24"/>
          <w:shd w:val="clear" w:color="auto" w:fill="FFFFFF"/>
        </w:rPr>
        <w:t>合同签订生效后，实施单位应在</w:t>
      </w:r>
      <w:r>
        <w:rPr>
          <w:rFonts w:hint="eastAsia" w:ascii="宋体" w:hAnsi="宋体" w:cs="宋体"/>
          <w:i w:val="0"/>
          <w:iCs w:val="0"/>
          <w:caps w:val="0"/>
          <w:color w:val="000000"/>
          <w:spacing w:val="0"/>
          <w:sz w:val="24"/>
          <w:szCs w:val="24"/>
          <w:shd w:val="clear" w:color="auto" w:fill="FFFFFF"/>
          <w:lang w:val="en-US" w:eastAsia="zh-CN"/>
        </w:rPr>
        <w:t>18</w:t>
      </w:r>
      <w:r>
        <w:rPr>
          <w:rFonts w:hint="eastAsia" w:ascii="宋体" w:hAnsi="宋体" w:eastAsia="宋体" w:cs="宋体"/>
          <w:i w:val="0"/>
          <w:iCs w:val="0"/>
          <w:caps w:val="0"/>
          <w:color w:val="000000"/>
          <w:spacing w:val="0"/>
          <w:sz w:val="24"/>
          <w:szCs w:val="24"/>
          <w:shd w:val="clear" w:color="auto" w:fill="FFFFFF"/>
        </w:rPr>
        <w:t>0日内完成进场实施到验收全过程。</w:t>
      </w:r>
    </w:p>
    <w:p w14:paraId="703BB94E">
      <w:pPr>
        <w:pStyle w:val="26"/>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180" w:lineRule="atLeast"/>
        <w:ind w:left="0" w:right="0" w:firstLine="240"/>
        <w:rPr>
          <w:rFonts w:hint="eastAsia" w:ascii="宋体" w:hAnsi="宋体" w:eastAsia="宋体" w:cs="宋体"/>
          <w:i w:val="0"/>
          <w:iCs w:val="0"/>
          <w:caps w:val="0"/>
          <w:color w:val="000000"/>
          <w:spacing w:val="0"/>
          <w:sz w:val="24"/>
          <w:szCs w:val="24"/>
          <w:shd w:val="clear" w:color="auto" w:fill="FFFFFF"/>
        </w:rPr>
      </w:pPr>
      <w:bookmarkStart w:id="3" w:name="_GoBack"/>
      <w:bookmarkEnd w:id="3"/>
    </w:p>
    <w:p w14:paraId="6CF9067E">
      <w:pPr>
        <w:pStyle w:val="26"/>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180" w:lineRule="atLeast"/>
        <w:ind w:left="0" w:right="0" w:firstLine="240"/>
        <w:rPr>
          <w:rFonts w:hint="eastAsia" w:ascii="宋体" w:hAnsi="宋体" w:cs="宋体"/>
          <w:i w:val="0"/>
          <w:iCs w:val="0"/>
          <w:caps w:val="0"/>
          <w:color w:val="000000"/>
          <w:spacing w:val="0"/>
          <w:sz w:val="24"/>
          <w:szCs w:val="24"/>
          <w:shd w:val="clear" w:color="auto" w:fill="FFFFFF"/>
          <w:lang w:val="en-US" w:eastAsia="zh-CN"/>
        </w:rPr>
      </w:pPr>
      <w:r>
        <w:rPr>
          <w:rFonts w:hint="eastAsia" w:ascii="宋体" w:hAnsi="宋体" w:cs="宋体"/>
          <w:i w:val="0"/>
          <w:iCs w:val="0"/>
          <w:caps w:val="0"/>
          <w:color w:val="000000"/>
          <w:spacing w:val="0"/>
          <w:sz w:val="24"/>
          <w:szCs w:val="24"/>
          <w:shd w:val="clear" w:color="auto" w:fill="FFFFFF"/>
          <w:lang w:val="en-US" w:eastAsia="zh-CN"/>
        </w:rPr>
        <w:t>2、服务地点：广东省茂名市，招标人指定地点。</w:t>
      </w:r>
    </w:p>
    <w:sectPr>
      <w:headerReference r:id="rId3" w:type="default"/>
      <w:headerReference r:id="rId4" w:type="even"/>
      <w:pgSz w:w="11906" w:h="16838"/>
      <w:pgMar w:top="567" w:right="851" w:bottom="561" w:left="85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rinda">
    <w:altName w:val="Segoe Print"/>
    <w:panose1 w:val="00000400000000000000"/>
    <w:charset w:val="00"/>
    <w:family w:val="swiss"/>
    <w:pitch w:val="default"/>
    <w:sig w:usb0="00000000" w:usb1="00000000" w:usb2="00000000" w:usb3="00000000" w:csb0="00000001" w:csb1="00000000"/>
  </w:font>
  <w:font w:name="ksdb">
    <w:altName w:val="Segoe UI Symbol"/>
    <w:panose1 w:val="020005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方正大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Segoe UI Symbol">
    <w:panose1 w:val="020B0502040204020203"/>
    <w:charset w:val="00"/>
    <w:family w:val="auto"/>
    <w:pitch w:val="default"/>
    <w:sig w:usb0="800001E3" w:usb1="1200FFEF" w:usb2="00040000" w:usb3="04000000" w:csb0="00000001" w:csb1="4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7066A">
    <w:pPr>
      <w:pStyle w:val="1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8F4DC">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Thousand"/>
      <w:lvlText w:val="%1、"/>
      <w:lvlJc w:val="left"/>
      <w:pPr>
        <w:tabs>
          <w:tab w:val="left" w:pos="420"/>
        </w:tabs>
        <w:ind w:left="420" w:hanging="420"/>
      </w:pPr>
      <w:rPr>
        <w:rFonts w:cs="Times New Roman"/>
      </w:rPr>
    </w:lvl>
    <w:lvl w:ilvl="1" w:tentative="0">
      <w:start w:val="1"/>
      <w:numFmt w:val="decimal"/>
      <w:pStyle w:val="3"/>
      <w:lvlText w:val="%1.%2"/>
      <w:lvlJc w:val="left"/>
      <w:pPr>
        <w:ind w:left="718" w:hanging="576"/>
      </w:pPr>
      <w:rPr>
        <w:rFonts w:cs="Times New Roman"/>
        <w:b w:val="0"/>
        <w:bCs w:val="0"/>
        <w:i w:val="0"/>
        <w:iCs w:val="0"/>
        <w:caps w:val="0"/>
        <w:smallCaps w:val="0"/>
        <w:color w:val="000000"/>
        <w:spacing w:val="0"/>
        <w:position w:val="0"/>
        <w:u w:val="none"/>
      </w:rPr>
    </w:lvl>
    <w:lvl w:ilvl="2" w:tentative="0">
      <w:start w:val="1"/>
      <w:numFmt w:val="decimal"/>
      <w:lvlText w:val="%3."/>
      <w:lvlJc w:val="left"/>
      <w:pPr>
        <w:tabs>
          <w:tab w:val="left" w:pos="420"/>
        </w:tabs>
        <w:ind w:left="420" w:hanging="420"/>
      </w:pPr>
      <w:rPr>
        <w:rFonts w:cs="Times New Roman"/>
      </w:rPr>
    </w:lvl>
    <w:lvl w:ilvl="3" w:tentative="0">
      <w:start w:val="1"/>
      <w:numFmt w:val="decimal"/>
      <w:pStyle w:val="5"/>
      <w:lvlText w:val="%1.%2.%3.%4"/>
      <w:lvlJc w:val="left"/>
      <w:pPr>
        <w:ind w:left="864" w:hanging="864"/>
      </w:pPr>
      <w:rPr>
        <w:rFonts w:cs="Times New Roman"/>
      </w:rPr>
    </w:lvl>
    <w:lvl w:ilvl="4" w:tentative="0">
      <w:start w:val="1"/>
      <w:numFmt w:val="decimal"/>
      <w:pStyle w:val="6"/>
      <w:lvlText w:val="%1.%2.%3.%4.%5"/>
      <w:lvlJc w:val="left"/>
      <w:pPr>
        <w:ind w:left="1008" w:hanging="1008"/>
      </w:pPr>
      <w:rPr>
        <w:rFonts w:cs="Times New Roman"/>
      </w:rPr>
    </w:lvl>
    <w:lvl w:ilvl="5" w:tentative="0">
      <w:start w:val="1"/>
      <w:numFmt w:val="decimal"/>
      <w:pStyle w:val="7"/>
      <w:lvlText w:val="%1.%2.%3.%4.%5.%6"/>
      <w:lvlJc w:val="left"/>
      <w:pPr>
        <w:ind w:left="1152" w:hanging="1152"/>
      </w:pPr>
      <w:rPr>
        <w:rFonts w:cs="Times New Roman"/>
      </w:rPr>
    </w:lvl>
    <w:lvl w:ilvl="6" w:tentative="0">
      <w:start w:val="1"/>
      <w:numFmt w:val="decimal"/>
      <w:pStyle w:val="8"/>
      <w:lvlText w:val="%1.%2.%3.%4.%5.%6.%7"/>
      <w:lvlJc w:val="left"/>
      <w:pPr>
        <w:ind w:left="1296" w:hanging="1296"/>
      </w:pPr>
      <w:rPr>
        <w:rFonts w:cs="Times New Roman"/>
      </w:rPr>
    </w:lvl>
    <w:lvl w:ilvl="7" w:tentative="0">
      <w:start w:val="1"/>
      <w:numFmt w:val="decimal"/>
      <w:pStyle w:val="9"/>
      <w:lvlText w:val="%1.%2.%3.%4.%5.%6.%7.%8"/>
      <w:lvlJc w:val="left"/>
      <w:pPr>
        <w:ind w:left="1440" w:hanging="1440"/>
      </w:pPr>
      <w:rPr>
        <w:rFonts w:cs="Times New Roman"/>
      </w:rPr>
    </w:lvl>
    <w:lvl w:ilvl="8" w:tentative="0">
      <w:start w:val="1"/>
      <w:numFmt w:val="decimal"/>
      <w:pStyle w:val="10"/>
      <w:lvlText w:val="%1.%2.%3.%4.%5.%6.%7.%8.%9"/>
      <w:lvlJc w:val="left"/>
      <w:pPr>
        <w:ind w:left="1584" w:hanging="1584"/>
      </w:pPr>
      <w:rPr>
        <w:rFonts w:cs="Times New Roman"/>
      </w:rPr>
    </w:lvl>
  </w:abstractNum>
  <w:abstractNum w:abstractNumId="1">
    <w:nsid w:val="0053208E"/>
    <w:multiLevelType w:val="multilevel"/>
    <w:tmpl w:val="0053208E"/>
    <w:lvl w:ilvl="0" w:tentative="0">
      <w:start w:val="1"/>
      <w:numFmt w:val="japaneseCounting"/>
      <w:pStyle w:val="2"/>
      <w:lvlText w:val="%1、"/>
      <w:lvlJc w:val="left"/>
      <w:pPr>
        <w:ind w:left="750" w:hanging="7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9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RhNTE1ZjVmZTUwZDA3ODM1NWNmZGU2MGJkODE4YmEifQ=="/>
  </w:docVars>
  <w:rsids>
    <w:rsidRoot w:val="004E2B57"/>
    <w:rsid w:val="00040CE4"/>
    <w:rsid w:val="000E78AB"/>
    <w:rsid w:val="000F7A3A"/>
    <w:rsid w:val="00114D4A"/>
    <w:rsid w:val="001412B2"/>
    <w:rsid w:val="00202FBB"/>
    <w:rsid w:val="00282CDD"/>
    <w:rsid w:val="002A59E7"/>
    <w:rsid w:val="00311BA5"/>
    <w:rsid w:val="003C3E20"/>
    <w:rsid w:val="003F520D"/>
    <w:rsid w:val="00482FDF"/>
    <w:rsid w:val="004E2B57"/>
    <w:rsid w:val="00536A1F"/>
    <w:rsid w:val="00540196"/>
    <w:rsid w:val="00564112"/>
    <w:rsid w:val="005A4975"/>
    <w:rsid w:val="00655973"/>
    <w:rsid w:val="006D3608"/>
    <w:rsid w:val="006E5BEC"/>
    <w:rsid w:val="00737DD2"/>
    <w:rsid w:val="008217A5"/>
    <w:rsid w:val="008858B2"/>
    <w:rsid w:val="0089050F"/>
    <w:rsid w:val="00964B9F"/>
    <w:rsid w:val="009968E6"/>
    <w:rsid w:val="00AB75D9"/>
    <w:rsid w:val="00AF4B94"/>
    <w:rsid w:val="00B0297A"/>
    <w:rsid w:val="00B31098"/>
    <w:rsid w:val="00B50E57"/>
    <w:rsid w:val="00B85224"/>
    <w:rsid w:val="00C30642"/>
    <w:rsid w:val="00CE2253"/>
    <w:rsid w:val="00D8179C"/>
    <w:rsid w:val="00DF244C"/>
    <w:rsid w:val="00E43314"/>
    <w:rsid w:val="00EC657C"/>
    <w:rsid w:val="00EE6951"/>
    <w:rsid w:val="00EF4A07"/>
    <w:rsid w:val="00F454B4"/>
    <w:rsid w:val="00F930EF"/>
    <w:rsid w:val="02BD4BDE"/>
    <w:rsid w:val="05711D79"/>
    <w:rsid w:val="0593450D"/>
    <w:rsid w:val="0858329C"/>
    <w:rsid w:val="0CFF0C0E"/>
    <w:rsid w:val="0E942B2D"/>
    <w:rsid w:val="0F015D69"/>
    <w:rsid w:val="0F335676"/>
    <w:rsid w:val="0F956EDE"/>
    <w:rsid w:val="11F903ED"/>
    <w:rsid w:val="12442BC4"/>
    <w:rsid w:val="13395A4C"/>
    <w:rsid w:val="14BA195C"/>
    <w:rsid w:val="16E857BF"/>
    <w:rsid w:val="19140DC8"/>
    <w:rsid w:val="19556F6E"/>
    <w:rsid w:val="1E6C4C8C"/>
    <w:rsid w:val="1EE11671"/>
    <w:rsid w:val="1FAA4E84"/>
    <w:rsid w:val="20FC5D8D"/>
    <w:rsid w:val="22CE33D3"/>
    <w:rsid w:val="233B1C79"/>
    <w:rsid w:val="25132A7F"/>
    <w:rsid w:val="251F7825"/>
    <w:rsid w:val="26912C7F"/>
    <w:rsid w:val="273D2A3A"/>
    <w:rsid w:val="29420A6E"/>
    <w:rsid w:val="29BD20F1"/>
    <w:rsid w:val="2AC96A14"/>
    <w:rsid w:val="2BC4623B"/>
    <w:rsid w:val="2D9E12B5"/>
    <w:rsid w:val="33AB6628"/>
    <w:rsid w:val="34913C34"/>
    <w:rsid w:val="37E60A5C"/>
    <w:rsid w:val="3C782557"/>
    <w:rsid w:val="3CA6009C"/>
    <w:rsid w:val="3CBA20A0"/>
    <w:rsid w:val="3D2C4852"/>
    <w:rsid w:val="3FDB4081"/>
    <w:rsid w:val="3FE37F51"/>
    <w:rsid w:val="407A6EF0"/>
    <w:rsid w:val="407B667E"/>
    <w:rsid w:val="448F5628"/>
    <w:rsid w:val="4BC22F8F"/>
    <w:rsid w:val="4C4E30BD"/>
    <w:rsid w:val="4CD35D36"/>
    <w:rsid w:val="4E3227C9"/>
    <w:rsid w:val="4E45330B"/>
    <w:rsid w:val="4FDB39D0"/>
    <w:rsid w:val="4FDE2349"/>
    <w:rsid w:val="50E06E6F"/>
    <w:rsid w:val="510A3AAE"/>
    <w:rsid w:val="532164E8"/>
    <w:rsid w:val="54B81BA1"/>
    <w:rsid w:val="567E1286"/>
    <w:rsid w:val="57592C33"/>
    <w:rsid w:val="575D6797"/>
    <w:rsid w:val="5B51558F"/>
    <w:rsid w:val="5FB066BE"/>
    <w:rsid w:val="61250763"/>
    <w:rsid w:val="61CD5996"/>
    <w:rsid w:val="66B73C6C"/>
    <w:rsid w:val="6A01627E"/>
    <w:rsid w:val="6EBA3E17"/>
    <w:rsid w:val="6FEE553E"/>
    <w:rsid w:val="705B681C"/>
    <w:rsid w:val="747B5B86"/>
    <w:rsid w:val="75B1084A"/>
    <w:rsid w:val="7A880BD6"/>
    <w:rsid w:val="7BA7639C"/>
    <w:rsid w:val="7F3149A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qFormat="1" w:unhideWhenUsed="0" w:uiPriority="99" w:semiHidden="0" w:name="Medium Grid 1 Accent 1"/>
    <w:lsdException w:unhideWhenUsed="0" w:uiPriority="68" w:semiHidden="0" w:name="Medium Grid 2 Accent 1"/>
    <w:lsdException w:qFormat="1" w:unhideWhenUsed="0" w:uiPriority="99" w:semiHidden="0" w:name="Medium Grid 3 Accent 1"/>
    <w:lsdException w:qFormat="1" w:unhideWhenUsed="0" w:uiPriority="99"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qFormat="1" w:unhideWhenUsed="0" w:uiPriority="99" w:semiHidden="0" w:name="Medium Shading 2 Accent 3"/>
    <w:lsdException w:unhideWhenUsed="0" w:uiPriority="65" w:semiHidden="0" w:name="Medium List 1 Accent 3"/>
    <w:lsdException w:unhideWhenUsed="0" w:uiPriority="66" w:semiHidden="0" w:name="Medium List 2 Accent 3"/>
    <w:lsdException w:qFormat="1" w:unhideWhenUsed="0" w:uiPriority="99" w:semiHidden="0" w:name="Medium Grid 1 Accent 3"/>
    <w:lsdException w:unhideWhenUsed="0" w:uiPriority="68" w:semiHidden="0" w:name="Medium Grid 2 Accent 3"/>
    <w:lsdException w:qFormat="1" w:unhideWhenUsed="0" w:uiPriority="99" w:semiHidden="0" w:name="Medium Grid 3 Accent 3"/>
    <w:lsdException w:qFormat="1" w:unhideWhenUsed="0" w:uiPriority="99"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qFormat="1" w:unhideWhenUsed="0" w:uiPriority="99" w:semiHidden="0" w:name="Light Grid Accent 4"/>
    <w:lsdException w:unhideWhenUsed="0" w:uiPriority="63" w:semiHidden="0" w:name="Medium Shading 1 Accent 4"/>
    <w:lsdException w:qFormat="1" w:unhideWhenUsed="0" w:uiPriority="99" w:semiHidden="0" w:name="Medium Shading 2 Accent 4"/>
    <w:lsdException w:unhideWhenUsed="0" w:uiPriority="65" w:semiHidden="0" w:name="Medium List 1 Accent 4"/>
    <w:lsdException w:unhideWhenUsed="0" w:uiPriority="66" w:semiHidden="0" w:name="Medium List 2 Accent 4"/>
    <w:lsdException w:qFormat="1" w:unhideWhenUsed="0" w:uiPriority="99" w:semiHidden="0" w:name="Medium Grid 1 Accent 4"/>
    <w:lsdException w:unhideWhenUsed="0" w:uiPriority="68" w:semiHidden="0" w:name="Medium Grid 2 Accent 4"/>
    <w:lsdException w:qFormat="1" w:unhideWhenUsed="0" w:uiPriority="9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99" w:semiHidden="0" w:name="Light Shading Accent 5"/>
    <w:lsdException w:unhideWhenUsed="0" w:uiPriority="61" w:semiHidden="0" w:name="Light List Accent 5"/>
    <w:lsdException w:unhideWhenUsed="0" w:uiPriority="62" w:semiHidden="0" w:name="Light Grid Accent 5"/>
    <w:lsdException w:qFormat="1" w:unhideWhenUsed="0" w:uiPriority="99"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qFormat="1" w:unhideWhenUsed="0" w:uiPriority="99" w:semiHidden="0" w:name="Medium Grid 1 Accent 5"/>
    <w:lsdException w:unhideWhenUsed="0" w:uiPriority="68" w:semiHidden="0" w:name="Medium Grid 2 Accent 5"/>
    <w:lsdException w:qFormat="1" w:unhideWhenUsed="0" w:uiPriority="9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qFormat="1" w:unhideWhenUsed="0" w:uiPriority="99"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qFormat="1" w:unhideWhenUsed="0" w:uiPriority="99"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Vrinda" w:hAnsi="Vrinda" w:eastAsia="宋体" w:cs="Times New Roman"/>
      <w:kern w:val="2"/>
      <w:sz w:val="18"/>
      <w:szCs w:val="24"/>
      <w:lang w:val="en-US" w:eastAsia="zh-CN" w:bidi="ar-SA"/>
    </w:rPr>
  </w:style>
  <w:style w:type="paragraph" w:styleId="2">
    <w:name w:val="heading 1"/>
    <w:basedOn w:val="1"/>
    <w:next w:val="1"/>
    <w:link w:val="56"/>
    <w:qFormat/>
    <w:uiPriority w:val="99"/>
    <w:pPr>
      <w:keepNext/>
      <w:keepLines/>
      <w:numPr>
        <w:ilvl w:val="0"/>
        <w:numId w:val="1"/>
      </w:numPr>
      <w:spacing w:before="340" w:after="330" w:line="578" w:lineRule="auto"/>
      <w:outlineLvl w:val="0"/>
    </w:pPr>
    <w:rPr>
      <w:rFonts w:ascii="仿宋" w:hAnsi="仿宋" w:eastAsia="仿宋"/>
      <w:b/>
      <w:bCs/>
      <w:kern w:val="44"/>
      <w:sz w:val="36"/>
      <w:szCs w:val="36"/>
    </w:rPr>
  </w:style>
  <w:style w:type="paragraph" w:styleId="3">
    <w:name w:val="heading 2"/>
    <w:basedOn w:val="1"/>
    <w:next w:val="1"/>
    <w:link w:val="57"/>
    <w:qFormat/>
    <w:uiPriority w:val="99"/>
    <w:pPr>
      <w:keepNext/>
      <w:keepLines/>
      <w:numPr>
        <w:ilvl w:val="1"/>
        <w:numId w:val="2"/>
      </w:numPr>
      <w:tabs>
        <w:tab w:val="left" w:pos="420"/>
      </w:tabs>
      <w:spacing w:before="260" w:after="260" w:line="416" w:lineRule="auto"/>
      <w:outlineLvl w:val="1"/>
    </w:pPr>
    <w:rPr>
      <w:rFonts w:ascii="Cambria" w:hAnsi="Cambria"/>
      <w:b/>
      <w:bCs/>
      <w:sz w:val="32"/>
      <w:szCs w:val="32"/>
    </w:rPr>
  </w:style>
  <w:style w:type="paragraph" w:styleId="4">
    <w:name w:val="heading 3"/>
    <w:basedOn w:val="1"/>
    <w:next w:val="1"/>
    <w:link w:val="58"/>
    <w:qFormat/>
    <w:uiPriority w:val="99"/>
    <w:pPr>
      <w:keepNext/>
      <w:keepLines/>
      <w:spacing w:before="260" w:after="260" w:line="416" w:lineRule="auto"/>
      <w:outlineLvl w:val="2"/>
    </w:pPr>
    <w:rPr>
      <w:b/>
      <w:bCs/>
      <w:sz w:val="32"/>
      <w:szCs w:val="32"/>
    </w:rPr>
  </w:style>
  <w:style w:type="paragraph" w:styleId="5">
    <w:name w:val="heading 4"/>
    <w:basedOn w:val="1"/>
    <w:next w:val="1"/>
    <w:link w:val="59"/>
    <w:qFormat/>
    <w:uiPriority w:val="99"/>
    <w:pPr>
      <w:keepNext/>
      <w:keepLines/>
      <w:numPr>
        <w:ilvl w:val="3"/>
        <w:numId w:val="2"/>
      </w:numPr>
      <w:tabs>
        <w:tab w:val="left" w:pos="420"/>
      </w:tabs>
      <w:spacing w:before="280" w:after="290" w:line="376" w:lineRule="auto"/>
      <w:outlineLvl w:val="3"/>
    </w:pPr>
    <w:rPr>
      <w:rFonts w:ascii="Cambria" w:hAnsi="Cambria"/>
      <w:b/>
      <w:bCs/>
      <w:sz w:val="28"/>
      <w:szCs w:val="28"/>
    </w:rPr>
  </w:style>
  <w:style w:type="paragraph" w:styleId="6">
    <w:name w:val="heading 5"/>
    <w:basedOn w:val="1"/>
    <w:next w:val="1"/>
    <w:link w:val="60"/>
    <w:qFormat/>
    <w:uiPriority w:val="99"/>
    <w:pPr>
      <w:keepNext/>
      <w:keepLines/>
      <w:numPr>
        <w:ilvl w:val="4"/>
        <w:numId w:val="2"/>
      </w:numPr>
      <w:tabs>
        <w:tab w:val="left" w:pos="420"/>
      </w:tabs>
      <w:spacing w:before="280" w:after="290" w:line="376" w:lineRule="auto"/>
      <w:outlineLvl w:val="4"/>
    </w:pPr>
    <w:rPr>
      <w:b/>
      <w:bCs/>
      <w:sz w:val="28"/>
      <w:szCs w:val="28"/>
    </w:rPr>
  </w:style>
  <w:style w:type="paragraph" w:styleId="7">
    <w:name w:val="heading 6"/>
    <w:basedOn w:val="1"/>
    <w:next w:val="1"/>
    <w:link w:val="61"/>
    <w:qFormat/>
    <w:uiPriority w:val="99"/>
    <w:pPr>
      <w:keepNext/>
      <w:keepLines/>
      <w:numPr>
        <w:ilvl w:val="5"/>
        <w:numId w:val="2"/>
      </w:numPr>
      <w:tabs>
        <w:tab w:val="left" w:pos="420"/>
      </w:tabs>
      <w:spacing w:before="240" w:after="64" w:line="320" w:lineRule="auto"/>
      <w:outlineLvl w:val="5"/>
    </w:pPr>
    <w:rPr>
      <w:rFonts w:ascii="Cambria" w:hAnsi="Cambria"/>
      <w:b/>
      <w:bCs/>
      <w:sz w:val="24"/>
    </w:rPr>
  </w:style>
  <w:style w:type="paragraph" w:styleId="8">
    <w:name w:val="heading 7"/>
    <w:basedOn w:val="1"/>
    <w:next w:val="1"/>
    <w:link w:val="62"/>
    <w:qFormat/>
    <w:uiPriority w:val="99"/>
    <w:pPr>
      <w:keepNext/>
      <w:keepLines/>
      <w:numPr>
        <w:ilvl w:val="6"/>
        <w:numId w:val="2"/>
      </w:numPr>
      <w:tabs>
        <w:tab w:val="left" w:pos="420"/>
      </w:tabs>
      <w:spacing w:before="240" w:after="64" w:line="320" w:lineRule="auto"/>
      <w:outlineLvl w:val="6"/>
    </w:pPr>
    <w:rPr>
      <w:b/>
      <w:bCs/>
      <w:sz w:val="24"/>
    </w:rPr>
  </w:style>
  <w:style w:type="paragraph" w:styleId="9">
    <w:name w:val="heading 8"/>
    <w:basedOn w:val="1"/>
    <w:next w:val="1"/>
    <w:link w:val="63"/>
    <w:qFormat/>
    <w:uiPriority w:val="99"/>
    <w:pPr>
      <w:keepNext/>
      <w:keepLines/>
      <w:numPr>
        <w:ilvl w:val="7"/>
        <w:numId w:val="2"/>
      </w:numPr>
      <w:tabs>
        <w:tab w:val="left" w:pos="420"/>
      </w:tabs>
      <w:spacing w:before="240" w:after="64" w:line="320" w:lineRule="auto"/>
      <w:outlineLvl w:val="7"/>
    </w:pPr>
    <w:rPr>
      <w:rFonts w:ascii="Cambria" w:hAnsi="Cambria"/>
      <w:sz w:val="24"/>
    </w:rPr>
  </w:style>
  <w:style w:type="paragraph" w:styleId="10">
    <w:name w:val="heading 9"/>
    <w:basedOn w:val="1"/>
    <w:next w:val="1"/>
    <w:link w:val="64"/>
    <w:qFormat/>
    <w:uiPriority w:val="99"/>
    <w:pPr>
      <w:keepNext/>
      <w:keepLines/>
      <w:numPr>
        <w:ilvl w:val="8"/>
        <w:numId w:val="2"/>
      </w:numPr>
      <w:tabs>
        <w:tab w:val="left" w:pos="420"/>
      </w:tabs>
      <w:spacing w:before="240" w:after="64" w:line="320" w:lineRule="auto"/>
      <w:outlineLvl w:val="8"/>
    </w:pPr>
    <w:rPr>
      <w:rFonts w:ascii="Cambria" w:hAnsi="Cambria"/>
      <w:sz w:val="21"/>
      <w:szCs w:val="21"/>
    </w:rPr>
  </w:style>
  <w:style w:type="character" w:default="1" w:styleId="47">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900"/>
      <w:jc w:val="left"/>
    </w:pPr>
    <w:rPr>
      <w:rFonts w:ascii="Calibri" w:hAnsi="Calibri"/>
      <w:sz w:val="20"/>
      <w:szCs w:val="20"/>
    </w:rPr>
  </w:style>
  <w:style w:type="paragraph" w:styleId="12">
    <w:name w:val="Normal Indent"/>
    <w:basedOn w:val="1"/>
    <w:qFormat/>
    <w:uiPriority w:val="0"/>
    <w:pPr>
      <w:ind w:firstLine="420"/>
    </w:pPr>
    <w:rPr>
      <w:rFonts w:ascii="Times New Roman" w:hAnsi="Times New Roman"/>
      <w:sz w:val="21"/>
      <w:szCs w:val="20"/>
    </w:rPr>
  </w:style>
  <w:style w:type="paragraph" w:styleId="13">
    <w:name w:val="Document Map"/>
    <w:basedOn w:val="1"/>
    <w:link w:val="71"/>
    <w:qFormat/>
    <w:uiPriority w:val="99"/>
    <w:pPr>
      <w:shd w:val="clear" w:color="auto" w:fill="000080"/>
    </w:pPr>
  </w:style>
  <w:style w:type="paragraph" w:styleId="14">
    <w:name w:val="toc 5"/>
    <w:basedOn w:val="1"/>
    <w:next w:val="1"/>
    <w:qFormat/>
    <w:uiPriority w:val="39"/>
    <w:pPr>
      <w:ind w:left="540"/>
      <w:jc w:val="left"/>
    </w:pPr>
    <w:rPr>
      <w:rFonts w:ascii="Calibri" w:hAnsi="Calibri"/>
      <w:sz w:val="20"/>
      <w:szCs w:val="20"/>
    </w:rPr>
  </w:style>
  <w:style w:type="paragraph" w:styleId="15">
    <w:name w:val="toc 3"/>
    <w:basedOn w:val="1"/>
    <w:next w:val="1"/>
    <w:qFormat/>
    <w:uiPriority w:val="39"/>
    <w:pPr>
      <w:ind w:left="180"/>
      <w:jc w:val="left"/>
    </w:pPr>
    <w:rPr>
      <w:rFonts w:ascii="Calibri" w:hAnsi="Calibri"/>
      <w:sz w:val="20"/>
      <w:szCs w:val="20"/>
    </w:rPr>
  </w:style>
  <w:style w:type="paragraph" w:styleId="16">
    <w:name w:val="toc 8"/>
    <w:basedOn w:val="1"/>
    <w:next w:val="1"/>
    <w:qFormat/>
    <w:uiPriority w:val="39"/>
    <w:pPr>
      <w:ind w:left="1080"/>
      <w:jc w:val="left"/>
    </w:pPr>
    <w:rPr>
      <w:rFonts w:ascii="Calibri" w:hAnsi="Calibri"/>
      <w:sz w:val="20"/>
      <w:szCs w:val="20"/>
    </w:rPr>
  </w:style>
  <w:style w:type="paragraph" w:styleId="17">
    <w:name w:val="Balloon Text"/>
    <w:basedOn w:val="1"/>
    <w:link w:val="69"/>
    <w:qFormat/>
    <w:uiPriority w:val="99"/>
    <w:rPr>
      <w:szCs w:val="18"/>
    </w:rPr>
  </w:style>
  <w:style w:type="paragraph" w:styleId="18">
    <w:name w:val="footer"/>
    <w:basedOn w:val="1"/>
    <w:link w:val="66"/>
    <w:qFormat/>
    <w:uiPriority w:val="99"/>
    <w:pPr>
      <w:tabs>
        <w:tab w:val="center" w:pos="4153"/>
        <w:tab w:val="right" w:pos="8306"/>
      </w:tabs>
      <w:snapToGrid w:val="0"/>
      <w:jc w:val="left"/>
    </w:pPr>
    <w:rPr>
      <w:szCs w:val="18"/>
    </w:rPr>
  </w:style>
  <w:style w:type="paragraph" w:styleId="19">
    <w:name w:val="header"/>
    <w:basedOn w:val="1"/>
    <w:link w:val="65"/>
    <w:qFormat/>
    <w:uiPriority w:val="99"/>
    <w:pPr>
      <w:pBdr>
        <w:bottom w:val="single" w:color="auto" w:sz="6" w:space="1"/>
      </w:pBdr>
      <w:tabs>
        <w:tab w:val="center" w:pos="4153"/>
        <w:tab w:val="right" w:pos="8306"/>
      </w:tabs>
      <w:snapToGrid w:val="0"/>
      <w:jc w:val="center"/>
    </w:pPr>
    <w:rPr>
      <w:szCs w:val="18"/>
    </w:rPr>
  </w:style>
  <w:style w:type="paragraph" w:styleId="20">
    <w:name w:val="toc 1"/>
    <w:basedOn w:val="1"/>
    <w:next w:val="1"/>
    <w:qFormat/>
    <w:uiPriority w:val="39"/>
    <w:pPr>
      <w:spacing w:before="360"/>
      <w:jc w:val="left"/>
    </w:pPr>
    <w:rPr>
      <w:rFonts w:ascii="Cambria" w:hAnsi="Cambria"/>
      <w:b/>
      <w:bCs/>
      <w:caps/>
      <w:sz w:val="24"/>
    </w:rPr>
  </w:style>
  <w:style w:type="paragraph" w:styleId="21">
    <w:name w:val="toc 4"/>
    <w:basedOn w:val="1"/>
    <w:next w:val="1"/>
    <w:qFormat/>
    <w:uiPriority w:val="39"/>
    <w:pPr>
      <w:ind w:left="360"/>
      <w:jc w:val="left"/>
    </w:pPr>
    <w:rPr>
      <w:rFonts w:ascii="Calibri" w:hAnsi="Calibri"/>
      <w:sz w:val="20"/>
      <w:szCs w:val="20"/>
    </w:rPr>
  </w:style>
  <w:style w:type="paragraph" w:styleId="22">
    <w:name w:val="Subtitle"/>
    <w:basedOn w:val="1"/>
    <w:next w:val="1"/>
    <w:link w:val="68"/>
    <w:qFormat/>
    <w:uiPriority w:val="0"/>
    <w:pPr>
      <w:spacing w:before="240" w:after="60" w:line="312" w:lineRule="auto"/>
      <w:jc w:val="center"/>
      <w:outlineLvl w:val="1"/>
    </w:pPr>
    <w:rPr>
      <w:rFonts w:ascii="Cambria" w:hAnsi="Cambria"/>
      <w:b/>
      <w:bCs/>
      <w:kern w:val="28"/>
      <w:sz w:val="32"/>
      <w:szCs w:val="32"/>
    </w:rPr>
  </w:style>
  <w:style w:type="paragraph" w:styleId="23">
    <w:name w:val="toc 6"/>
    <w:basedOn w:val="1"/>
    <w:next w:val="1"/>
    <w:qFormat/>
    <w:uiPriority w:val="39"/>
    <w:pPr>
      <w:ind w:left="720"/>
      <w:jc w:val="left"/>
    </w:pPr>
    <w:rPr>
      <w:rFonts w:ascii="Calibri" w:hAnsi="Calibri"/>
      <w:sz w:val="20"/>
      <w:szCs w:val="20"/>
    </w:rPr>
  </w:style>
  <w:style w:type="paragraph" w:styleId="24">
    <w:name w:val="toc 2"/>
    <w:basedOn w:val="1"/>
    <w:next w:val="1"/>
    <w:qFormat/>
    <w:uiPriority w:val="39"/>
    <w:pPr>
      <w:spacing w:before="240"/>
      <w:jc w:val="left"/>
    </w:pPr>
    <w:rPr>
      <w:rFonts w:ascii="Calibri" w:hAnsi="Calibri"/>
      <w:b/>
      <w:bCs/>
      <w:sz w:val="20"/>
      <w:szCs w:val="20"/>
    </w:rPr>
  </w:style>
  <w:style w:type="paragraph" w:styleId="25">
    <w:name w:val="toc 9"/>
    <w:basedOn w:val="1"/>
    <w:next w:val="1"/>
    <w:qFormat/>
    <w:uiPriority w:val="39"/>
    <w:pPr>
      <w:ind w:left="1260"/>
      <w:jc w:val="left"/>
    </w:pPr>
    <w:rPr>
      <w:rFonts w:ascii="Calibri" w:hAnsi="Calibri"/>
      <w:sz w:val="20"/>
      <w:szCs w:val="20"/>
    </w:rPr>
  </w:style>
  <w:style w:type="paragraph" w:styleId="26">
    <w:name w:val="Normal (Web)"/>
    <w:basedOn w:val="1"/>
    <w:qFormat/>
    <w:uiPriority w:val="99"/>
    <w:pPr>
      <w:widowControl/>
      <w:spacing w:before="100" w:beforeAutospacing="1" w:after="100" w:afterAutospacing="1"/>
      <w:jc w:val="left"/>
    </w:pPr>
    <w:rPr>
      <w:rFonts w:ascii="??" w:hAnsi="??" w:cs="宋体"/>
      <w:color w:val="000000"/>
      <w:kern w:val="0"/>
      <w:sz w:val="22"/>
      <w:szCs w:val="22"/>
    </w:rPr>
  </w:style>
  <w:style w:type="paragraph" w:styleId="27">
    <w:name w:val="Title"/>
    <w:basedOn w:val="1"/>
    <w:next w:val="1"/>
    <w:link w:val="67"/>
    <w:qFormat/>
    <w:uiPriority w:val="10"/>
    <w:pPr>
      <w:spacing w:before="240" w:after="60"/>
      <w:jc w:val="center"/>
      <w:outlineLvl w:val="0"/>
    </w:pPr>
    <w:rPr>
      <w:rFonts w:ascii="Cambria" w:hAnsi="Cambria"/>
      <w:b/>
      <w:bCs/>
      <w:sz w:val="32"/>
      <w:szCs w:val="32"/>
    </w:rPr>
  </w:style>
  <w:style w:type="table" w:styleId="29">
    <w:name w:val="Table Grid"/>
    <w:basedOn w:val="28"/>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styleId="30">
    <w:name w:val="Light Shading Accent 5"/>
    <w:basedOn w:val="28"/>
    <w:qFormat/>
    <w:uiPriority w:val="99"/>
    <w:rPr>
      <w:color w:val="31849B"/>
    </w:rPr>
    <w:tblPr>
      <w:tblBorders>
        <w:top w:val="single" w:color="4BACC6" w:sz="8" w:space="0"/>
        <w:bottom w:val="single" w:color="4BACC6" w:sz="8" w:space="0"/>
      </w:tblBorders>
    </w:tblPr>
    <w:tblStylePr w:type="firstRow">
      <w:pPr>
        <w:spacing w:before="0" w:after="0"/>
      </w:pPr>
      <w:rPr>
        <w:rFonts w:cs="Times New Roman"/>
        <w:b/>
        <w:bCs/>
      </w:rPr>
      <w:tblPr/>
      <w:tcPr>
        <w:tcBorders>
          <w:top w:val="single" w:color="4BACC6" w:sz="8" w:space="0"/>
          <w:left w:val="nil"/>
          <w:bottom w:val="single" w:color="4BACC6" w:sz="8" w:space="0"/>
          <w:right w:val="nil"/>
          <w:insideH w:val="nil"/>
          <w:insideV w:val="nil"/>
          <w:tl2br w:val="nil"/>
          <w:tr2bl w:val="nil"/>
        </w:tcBorders>
      </w:tcPr>
    </w:tblStylePr>
    <w:tblStylePr w:type="lastRow">
      <w:pPr>
        <w:spacing w:before="0" w:after="0"/>
      </w:pPr>
      <w:rPr>
        <w:rFonts w:cs="Times New Roman"/>
        <w:b/>
        <w:bCs/>
      </w:rPr>
      <w:tblPr/>
      <w:tcPr>
        <w:tcBorders>
          <w:top w:val="single" w:color="4BACC6" w:sz="8" w:space="0"/>
          <w:left w:val="nil"/>
          <w:bottom w:val="single" w:color="4BACC6" w:sz="8" w:space="0"/>
          <w:right w:val="nil"/>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l2br w:val="nil"/>
          <w:tr2bl w:val="nil"/>
        </w:tcBorders>
        <w:shd w:val="clear" w:color="auto" w:fill="D2EAF1"/>
      </w:tcPr>
    </w:tblStylePr>
    <w:tblStylePr w:type="band1Horz">
      <w:rPr>
        <w:rFonts w:cs="Times New Roman"/>
      </w:rPr>
      <w:tblPr/>
      <w:tcPr>
        <w:tcBorders>
          <w:top w:val="nil"/>
          <w:left w:val="nil"/>
          <w:bottom w:val="nil"/>
          <w:right w:val="nil"/>
          <w:insideH w:val="nil"/>
          <w:insideV w:val="nil"/>
          <w:tl2br w:val="nil"/>
          <w:tr2bl w:val="nil"/>
        </w:tcBorders>
        <w:shd w:val="clear" w:color="auto" w:fill="D2EAF1"/>
      </w:tcPr>
    </w:tblStylePr>
  </w:style>
  <w:style w:type="table" w:styleId="31">
    <w:name w:val="Light Grid Accent 4"/>
    <w:basedOn w:val="28"/>
    <w:qFormat/>
    <w:uiPriority w:val="99"/>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Pr>
    <w:tblStylePr w:type="firstRow">
      <w:pPr>
        <w:spacing w:before="0" w:after="0"/>
      </w:pPr>
      <w:rPr>
        <w:rFonts w:ascii="Cambria" w:hAnsi="Cambria" w:eastAsia="宋体" w:cs="Times New Roman"/>
        <w:b/>
        <w:bCs/>
      </w:rPr>
      <w:tblPr/>
      <w:tcPr>
        <w:tcBorders>
          <w:top w:val="single" w:color="8064A2" w:sz="8" w:space="0"/>
          <w:left w:val="single" w:color="8064A2" w:sz="8" w:space="0"/>
          <w:bottom w:val="single" w:color="8064A2" w:sz="18" w:space="0"/>
          <w:right w:val="single" w:color="8064A2" w:sz="8" w:space="0"/>
          <w:insideH w:val="nil"/>
          <w:insideV w:val="nil"/>
          <w:tl2br w:val="nil"/>
          <w:tr2bl w:val="nil"/>
        </w:tcBorders>
      </w:tcPr>
    </w:tblStylePr>
    <w:tblStylePr w:type="lastRow">
      <w:pPr>
        <w:spacing w:before="0" w:after="0"/>
      </w:pPr>
      <w:rPr>
        <w:rFonts w:ascii="Cambria" w:hAnsi="Cambria" w:eastAsia="宋体" w:cs="Times New Roman"/>
        <w:b/>
        <w:bCs/>
      </w:rPr>
      <w:tblPr/>
      <w:tcPr>
        <w:tcBorders>
          <w:top w:val="double" w:color="8064A2" w:sz="6" w:space="0"/>
          <w:left w:val="single" w:color="8064A2" w:sz="8" w:space="0"/>
          <w:bottom w:val="single" w:color="8064A2" w:sz="8" w:space="0"/>
          <w:right w:val="single" w:color="8064A2" w:sz="8" w:space="0"/>
          <w:insideH w:val="nil"/>
          <w:insideV w:val="nil"/>
          <w:tl2br w:val="nil"/>
          <w:tr2bl w:val="nil"/>
        </w:tcBorders>
      </w:tcPr>
    </w:tblStylePr>
    <w:tblStylePr w:type="firstCol">
      <w:rPr>
        <w:rFonts w:ascii="Cambria" w:hAnsi="Cambria" w:eastAsia="宋体" w:cs="Times New Roman"/>
        <w:b/>
        <w:bCs/>
      </w:rPr>
    </w:tblStylePr>
    <w:tblStylePr w:type="lastCol">
      <w:rPr>
        <w:rFonts w:ascii="Cambria" w:hAnsi="Cambria" w:eastAsia="宋体" w:cs="Times New Roman"/>
        <w:b/>
        <w:bCs/>
      </w:rPr>
      <w:tblPr/>
      <w:tcPr>
        <w:tcBorders>
          <w:top w:val="single" w:color="8064A2" w:sz="8" w:space="0"/>
          <w:left w:val="single" w:color="8064A2" w:sz="8" w:space="0"/>
          <w:bottom w:val="single" w:color="8064A2" w:sz="8" w:space="0"/>
          <w:right w:val="single" w:color="8064A2" w:sz="8" w:space="0"/>
          <w:insideH w:val="nil"/>
          <w:insideV w:val="nil"/>
          <w:tl2br w:val="nil"/>
          <w:tr2bl w:val="nil"/>
        </w:tcBorders>
      </w:tcPr>
    </w:tblStylePr>
    <w:tblStylePr w:type="band1Vert">
      <w:rPr>
        <w:rFonts w:cs="Times New Roman"/>
      </w:rPr>
      <w:tblPr/>
      <w:tcPr>
        <w:tcBorders>
          <w:top w:val="single" w:color="8064A2" w:sz="8" w:space="0"/>
          <w:left w:val="single" w:color="8064A2" w:sz="8" w:space="0"/>
          <w:bottom w:val="single" w:color="8064A2" w:sz="8" w:space="0"/>
          <w:right w:val="single" w:color="8064A2" w:sz="8" w:space="0"/>
          <w:insideH w:val="nil"/>
          <w:insideV w:val="nil"/>
          <w:tl2br w:val="nil"/>
          <w:tr2bl w:val="nil"/>
        </w:tcBorders>
        <w:shd w:val="clear" w:color="auto" w:fill="DFD8E8"/>
      </w:tcPr>
    </w:tblStylePr>
    <w:tblStylePr w:type="band1Horz">
      <w:rPr>
        <w:rFonts w:cs="Times New Roman"/>
      </w:rPr>
      <w:tblPr/>
      <w:tcPr>
        <w:tcBorders>
          <w:top w:val="single" w:color="8064A2" w:sz="8" w:space="0"/>
          <w:left w:val="single" w:color="8064A2" w:sz="8" w:space="0"/>
          <w:bottom w:val="single" w:color="8064A2" w:sz="8" w:space="0"/>
          <w:right w:val="single" w:color="8064A2" w:sz="8" w:space="0"/>
          <w:insideH w:val="nil"/>
          <w:insideV w:val="nil"/>
          <w:tl2br w:val="nil"/>
          <w:tr2bl w:val="nil"/>
        </w:tcBorders>
        <w:shd w:val="clear" w:color="auto" w:fill="DFD8E8"/>
      </w:tcPr>
    </w:tblStylePr>
    <w:tblStylePr w:type="band2Horz">
      <w:rPr>
        <w:rFonts w:cs="Times New Roman"/>
      </w:rPr>
      <w:tblPr/>
      <w:tcPr>
        <w:tcBorders>
          <w:top w:val="single" w:color="8064A2" w:sz="8" w:space="0"/>
          <w:left w:val="single" w:color="8064A2" w:sz="8" w:space="0"/>
          <w:bottom w:val="single" w:color="8064A2" w:sz="8" w:space="0"/>
          <w:right w:val="single" w:color="8064A2" w:sz="8" w:space="0"/>
          <w:insideH w:val="nil"/>
          <w:insideV w:val="nil"/>
          <w:tl2br w:val="nil"/>
          <w:tr2bl w:val="nil"/>
        </w:tcBorders>
      </w:tcPr>
    </w:tblStylePr>
  </w:style>
  <w:style w:type="table" w:styleId="32">
    <w:name w:val="Medium Shading 1 Accent 5"/>
    <w:basedOn w:val="28"/>
    <w:qFormat/>
    <w:uiPriority w:val="99"/>
    <w:tblPr>
      <w:tblBorders>
        <w:top w:val="single" w:color="78C0D4" w:sz="8" w:space="0"/>
        <w:left w:val="single" w:color="78C0D4" w:sz="8" w:space="0"/>
        <w:bottom w:val="single" w:color="78C0D4" w:sz="8" w:space="0"/>
        <w:right w:val="single" w:color="78C0D4" w:sz="8" w:space="0"/>
        <w:insideH w:val="single" w:color="78C0D4" w:sz="8" w:space="0"/>
      </w:tblBorders>
    </w:tblPr>
    <w:tblStylePr w:type="firstRow">
      <w:pPr>
        <w:spacing w:before="0" w:after="0"/>
      </w:pPr>
      <w:rPr>
        <w:rFonts w:cs="Times New Roman"/>
        <w:b/>
        <w:bCs/>
        <w:color w:val="FFFFFF"/>
      </w:rPr>
      <w:tblPr/>
      <w:tcPr>
        <w:tcBorders>
          <w:top w:val="single" w:color="78C0D4" w:sz="8" w:space="0"/>
          <w:left w:val="single" w:color="78C0D4" w:sz="8" w:space="0"/>
          <w:bottom w:val="single" w:color="78C0D4" w:sz="8" w:space="0"/>
          <w:right w:val="single" w:color="78C0D4" w:sz="8" w:space="0"/>
          <w:insideH w:val="nil"/>
          <w:insideV w:val="nil"/>
          <w:tl2br w:val="nil"/>
          <w:tr2bl w:val="nil"/>
        </w:tcBorders>
        <w:shd w:val="clear" w:color="auto" w:fill="4BACC6"/>
      </w:tcPr>
    </w:tblStylePr>
    <w:tblStylePr w:type="lastRow">
      <w:pPr>
        <w:spacing w:before="0" w:after="0"/>
      </w:pPr>
      <w:rPr>
        <w:rFonts w:cs="Times New Roman"/>
        <w:b/>
        <w:bCs/>
      </w:rPr>
      <w:tblPr/>
      <w:tcPr>
        <w:tcBorders>
          <w:top w:val="double" w:color="78C0D4" w:sz="6" w:space="0"/>
          <w:left w:val="single" w:color="78C0D4" w:sz="8" w:space="0"/>
          <w:bottom w:val="single" w:color="78C0D4" w:sz="8" w:space="0"/>
          <w:right w:val="single" w:color="78C0D4" w:sz="8" w:space="0"/>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2EAF1"/>
      </w:tcPr>
    </w:tblStylePr>
    <w:tblStylePr w:type="band1Horz">
      <w:rPr>
        <w:rFonts w:cs="Times New Roman"/>
      </w:rPr>
      <w:tblPr/>
      <w:tcPr>
        <w:shd w:val="clear" w:color="auto" w:fill="D2EAF1"/>
      </w:tcPr>
    </w:tblStylePr>
    <w:tblStylePr w:type="band2Horz">
      <w:rPr>
        <w:rFonts w:cs="Times New Roman"/>
      </w:rPr>
      <w:tblPr/>
    </w:tblStylePr>
  </w:style>
  <w:style w:type="table" w:styleId="33">
    <w:name w:val="Medium Shading 2 Accent 3"/>
    <w:basedOn w:val="28"/>
    <w:qFormat/>
    <w:uiPriority w:val="99"/>
    <w:tblPr>
      <w:tblBorders>
        <w:top w:val="single" w:color="auto" w:sz="18" w:space="0"/>
        <w:bottom w:val="single" w:color="auto" w:sz="18" w:space="0"/>
      </w:tblBorders>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l2br w:val="nil"/>
          <w:tr2bl w:val="nil"/>
        </w:tcBorders>
        <w:shd w:val="clear" w:color="auto" w:fill="9BBB59"/>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l2br w:val="nil"/>
          <w:tr2bl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l2br w:val="nil"/>
          <w:tr2bl w:val="nil"/>
        </w:tcBorders>
        <w:shd w:val="clear" w:color="auto" w:fill="9BBB59"/>
      </w:tcPr>
    </w:tblStylePr>
    <w:tblStylePr w:type="lastCol">
      <w:rPr>
        <w:rFonts w:cs="Times New Roman"/>
        <w:b/>
        <w:bCs/>
        <w:color w:val="FFFFFF"/>
      </w:rPr>
      <w:tblPr/>
      <w:tcPr>
        <w:tcBorders>
          <w:top w:val="nil"/>
          <w:left w:val="nil"/>
          <w:bottom w:val="nil"/>
          <w:right w:val="nil"/>
          <w:insideH w:val="nil"/>
          <w:insideV w:val="nil"/>
          <w:tl2br w:val="nil"/>
          <w:tr2bl w:val="nil"/>
        </w:tcBorders>
        <w:shd w:val="clear" w:color="auto" w:fill="9BBB59"/>
      </w:tcPr>
    </w:tblStylePr>
    <w:tblStylePr w:type="band1Vert">
      <w:rPr>
        <w:rFonts w:cs="Times New Roman"/>
      </w:rPr>
      <w:tblPr/>
      <w:tcPr>
        <w:tcBorders>
          <w:top w:val="nil"/>
          <w:left w:val="nil"/>
          <w:bottom w:val="nil"/>
          <w:right w:val="nil"/>
          <w:insideH w:val="nil"/>
          <w:insideV w:val="nil"/>
          <w:tl2br w:val="nil"/>
          <w:tr2bl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l2br w:val="nil"/>
          <w:tr2bl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l2br w:val="nil"/>
          <w:tr2bl w:val="nil"/>
        </w:tcBorders>
      </w:tcPr>
    </w:tblStylePr>
  </w:style>
  <w:style w:type="table" w:styleId="34">
    <w:name w:val="Medium Shading 2 Accent 4"/>
    <w:basedOn w:val="28"/>
    <w:qFormat/>
    <w:uiPriority w:val="99"/>
    <w:tblPr>
      <w:tblBorders>
        <w:top w:val="single" w:color="auto" w:sz="18" w:space="0"/>
        <w:bottom w:val="single" w:color="auto" w:sz="18" w:space="0"/>
      </w:tblBorders>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l2br w:val="nil"/>
          <w:tr2bl w:val="nil"/>
        </w:tcBorders>
        <w:shd w:val="clear" w:color="auto" w:fill="8064A2"/>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l2br w:val="nil"/>
          <w:tr2bl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l2br w:val="nil"/>
          <w:tr2bl w:val="nil"/>
        </w:tcBorders>
        <w:shd w:val="clear" w:color="auto" w:fill="8064A2"/>
      </w:tcPr>
    </w:tblStylePr>
    <w:tblStylePr w:type="lastCol">
      <w:rPr>
        <w:rFonts w:cs="Times New Roman"/>
        <w:b/>
        <w:bCs/>
        <w:color w:val="FFFFFF"/>
      </w:rPr>
      <w:tblPr/>
      <w:tcPr>
        <w:tcBorders>
          <w:top w:val="nil"/>
          <w:left w:val="nil"/>
          <w:bottom w:val="nil"/>
          <w:right w:val="nil"/>
          <w:insideH w:val="nil"/>
          <w:insideV w:val="nil"/>
          <w:tl2br w:val="nil"/>
          <w:tr2bl w:val="nil"/>
        </w:tcBorders>
        <w:shd w:val="clear" w:color="auto" w:fill="8064A2"/>
      </w:tcPr>
    </w:tblStylePr>
    <w:tblStylePr w:type="band1Vert">
      <w:rPr>
        <w:rFonts w:cs="Times New Roman"/>
      </w:rPr>
      <w:tblPr/>
      <w:tcPr>
        <w:tcBorders>
          <w:top w:val="nil"/>
          <w:left w:val="nil"/>
          <w:bottom w:val="nil"/>
          <w:right w:val="nil"/>
          <w:insideH w:val="nil"/>
          <w:insideV w:val="nil"/>
          <w:tl2br w:val="nil"/>
          <w:tr2bl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l2br w:val="nil"/>
          <w:tr2bl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l2br w:val="nil"/>
          <w:tr2bl w:val="nil"/>
        </w:tcBorders>
      </w:tcPr>
    </w:tblStylePr>
  </w:style>
  <w:style w:type="table" w:styleId="35">
    <w:name w:val="Medium Shading 2 Accent 6"/>
    <w:basedOn w:val="28"/>
    <w:qFormat/>
    <w:uiPriority w:val="99"/>
    <w:tblPr>
      <w:tblBorders>
        <w:top w:val="single" w:color="auto" w:sz="18" w:space="0"/>
        <w:bottom w:val="single" w:color="auto" w:sz="18" w:space="0"/>
      </w:tblBorders>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l2br w:val="nil"/>
          <w:tr2bl w:val="nil"/>
        </w:tcBorders>
        <w:shd w:val="clear" w:color="auto" w:fill="F79646"/>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l2br w:val="nil"/>
          <w:tr2bl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l2br w:val="nil"/>
          <w:tr2bl w:val="nil"/>
        </w:tcBorders>
        <w:shd w:val="clear" w:color="auto" w:fill="F79646"/>
      </w:tcPr>
    </w:tblStylePr>
    <w:tblStylePr w:type="lastCol">
      <w:rPr>
        <w:rFonts w:cs="Times New Roman"/>
        <w:b/>
        <w:bCs/>
        <w:color w:val="FFFFFF"/>
      </w:rPr>
      <w:tblPr/>
      <w:tcPr>
        <w:tcBorders>
          <w:top w:val="nil"/>
          <w:left w:val="nil"/>
          <w:bottom w:val="nil"/>
          <w:right w:val="nil"/>
          <w:insideH w:val="nil"/>
          <w:insideV w:val="nil"/>
          <w:tl2br w:val="nil"/>
          <w:tr2bl w:val="nil"/>
        </w:tcBorders>
        <w:shd w:val="clear" w:color="auto" w:fill="F79646"/>
      </w:tcPr>
    </w:tblStylePr>
    <w:tblStylePr w:type="band1Vert">
      <w:rPr>
        <w:rFonts w:cs="Times New Roman"/>
      </w:rPr>
      <w:tblPr/>
      <w:tcPr>
        <w:tcBorders>
          <w:top w:val="nil"/>
          <w:left w:val="nil"/>
          <w:bottom w:val="nil"/>
          <w:right w:val="nil"/>
          <w:insideH w:val="nil"/>
          <w:insideV w:val="nil"/>
          <w:tl2br w:val="nil"/>
          <w:tr2bl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l2br w:val="nil"/>
          <w:tr2bl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l2br w:val="nil"/>
          <w:tr2bl w:val="nil"/>
        </w:tcBorders>
      </w:tcPr>
    </w:tblStylePr>
  </w:style>
  <w:style w:type="table" w:styleId="36">
    <w:name w:val="Medium Grid 1 Accent 1"/>
    <w:basedOn w:val="28"/>
    <w:qFormat/>
    <w:uiPriority w:val="99"/>
    <w:tblPr>
      <w:tblBorders>
        <w:top w:val="single" w:color="7BA0CD" w:sz="8" w:space="0"/>
        <w:left w:val="single" w:color="7BA0CD" w:sz="8" w:space="0"/>
        <w:bottom w:val="single" w:color="7BA0CD" w:sz="8" w:space="0"/>
        <w:right w:val="single" w:color="7BA0CD" w:sz="8" w:space="0"/>
        <w:insideH w:val="single" w:color="7BA0CD" w:sz="8" w:space="0"/>
        <w:insideV w:val="single" w:color="7BA0CD" w:sz="8" w:space="0"/>
      </w:tblBorders>
    </w:tblPr>
    <w:tcPr>
      <w:shd w:val="clear" w:color="auto" w:fill="D3DFEE"/>
    </w:tcPr>
    <w:tblStylePr w:type="firstRow">
      <w:rPr>
        <w:rFonts w:cs="Times New Roman"/>
        <w:b/>
        <w:bCs/>
      </w:rPr>
    </w:tblStylePr>
    <w:tblStylePr w:type="lastRow">
      <w:rPr>
        <w:rFonts w:cs="Times New Roman"/>
        <w:b/>
        <w:bCs/>
      </w:rPr>
      <w:tblPr/>
      <w:tcPr>
        <w:tcBorders>
          <w:top w:val="single" w:color="7BA0CD" w:sz="18" w:space="0"/>
          <w:left w:val="nil"/>
          <w:bottom w:val="nil"/>
          <w:right w:val="nil"/>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table" w:styleId="37">
    <w:name w:val="Medium Grid 1 Accent 3"/>
    <w:basedOn w:val="28"/>
    <w:qFormat/>
    <w:uiPriority w:val="99"/>
    <w:tblPr>
      <w:tblBorders>
        <w:top w:val="single" w:color="B3CC82" w:sz="8" w:space="0"/>
        <w:left w:val="single" w:color="B3CC82" w:sz="8" w:space="0"/>
        <w:bottom w:val="single" w:color="B3CC82" w:sz="8" w:space="0"/>
        <w:right w:val="single" w:color="B3CC82" w:sz="8" w:space="0"/>
        <w:insideH w:val="single" w:color="B3CC82" w:sz="8" w:space="0"/>
        <w:insideV w:val="single" w:color="B3CC82" w:sz="8" w:space="0"/>
      </w:tblBorders>
    </w:tblPr>
    <w:tcPr>
      <w:shd w:val="clear" w:color="auto" w:fill="E6EED5"/>
    </w:tcPr>
    <w:tblStylePr w:type="firstRow">
      <w:rPr>
        <w:rFonts w:cs="Times New Roman"/>
        <w:b/>
        <w:bCs/>
      </w:rPr>
    </w:tblStylePr>
    <w:tblStylePr w:type="lastRow">
      <w:rPr>
        <w:rFonts w:cs="Times New Roman"/>
        <w:b/>
        <w:bCs/>
      </w:rPr>
      <w:tblPr/>
      <w:tcPr>
        <w:tcBorders>
          <w:top w:val="single" w:color="B3CC82" w:sz="18" w:space="0"/>
          <w:left w:val="nil"/>
          <w:bottom w:val="nil"/>
          <w:right w:val="nil"/>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DDDAC"/>
      </w:tcPr>
    </w:tblStylePr>
    <w:tblStylePr w:type="band1Horz">
      <w:rPr>
        <w:rFonts w:cs="Times New Roman"/>
      </w:rPr>
      <w:tblPr/>
      <w:tcPr>
        <w:shd w:val="clear" w:color="auto" w:fill="CDDDAC"/>
      </w:tcPr>
    </w:tblStylePr>
  </w:style>
  <w:style w:type="table" w:styleId="38">
    <w:name w:val="Medium Grid 1 Accent 4"/>
    <w:basedOn w:val="28"/>
    <w:qFormat/>
    <w:uiPriority w:val="99"/>
    <w:tblPr>
      <w:tblBorders>
        <w:top w:val="single" w:color="9F8AB9" w:sz="8" w:space="0"/>
        <w:left w:val="single" w:color="9F8AB9" w:sz="8" w:space="0"/>
        <w:bottom w:val="single" w:color="9F8AB9" w:sz="8" w:space="0"/>
        <w:right w:val="single" w:color="9F8AB9" w:sz="8" w:space="0"/>
        <w:insideH w:val="single" w:color="9F8AB9" w:sz="8" w:space="0"/>
        <w:insideV w:val="single" w:color="9F8AB9" w:sz="8" w:space="0"/>
      </w:tblBorders>
    </w:tblPr>
    <w:tcPr>
      <w:shd w:val="clear" w:color="auto" w:fill="DFD8E8"/>
    </w:tcPr>
    <w:tblStylePr w:type="firstRow">
      <w:rPr>
        <w:rFonts w:cs="Times New Roman"/>
        <w:b/>
        <w:bCs/>
      </w:rPr>
    </w:tblStylePr>
    <w:tblStylePr w:type="lastRow">
      <w:rPr>
        <w:rFonts w:cs="Times New Roman"/>
        <w:b/>
        <w:bCs/>
      </w:rPr>
      <w:tblPr/>
      <w:tcPr>
        <w:tcBorders>
          <w:top w:val="single" w:color="9F8AB9" w:sz="18" w:space="0"/>
          <w:left w:val="nil"/>
          <w:bottom w:val="nil"/>
          <w:right w:val="nil"/>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cPr>
    </w:tblStylePr>
    <w:tblStylePr w:type="band1Horz">
      <w:rPr>
        <w:rFonts w:cs="Times New Roman"/>
      </w:rPr>
      <w:tblPr/>
      <w:tcPr>
        <w:shd w:val="clear" w:color="auto" w:fill="BFB1D0"/>
      </w:tcPr>
    </w:tblStylePr>
  </w:style>
  <w:style w:type="table" w:styleId="39">
    <w:name w:val="Medium Grid 1 Accent 5"/>
    <w:basedOn w:val="28"/>
    <w:qFormat/>
    <w:uiPriority w:val="99"/>
    <w:tblPr>
      <w:tblBorders>
        <w:top w:val="single" w:color="78C0D4" w:sz="8" w:space="0"/>
        <w:left w:val="single" w:color="78C0D4" w:sz="8" w:space="0"/>
        <w:bottom w:val="single" w:color="78C0D4" w:sz="8" w:space="0"/>
        <w:right w:val="single" w:color="78C0D4" w:sz="8" w:space="0"/>
        <w:insideH w:val="single" w:color="78C0D4" w:sz="8" w:space="0"/>
        <w:insideV w:val="single" w:color="78C0D4" w:sz="8" w:space="0"/>
      </w:tblBorders>
    </w:tblPr>
    <w:tcPr>
      <w:shd w:val="clear" w:color="auto" w:fill="D2EAF1"/>
    </w:tcPr>
    <w:tblStylePr w:type="firstRow">
      <w:rPr>
        <w:rFonts w:cs="Times New Roman"/>
        <w:b/>
        <w:bCs/>
      </w:rPr>
    </w:tblStylePr>
    <w:tblStylePr w:type="lastRow">
      <w:rPr>
        <w:rFonts w:cs="Times New Roman"/>
        <w:b/>
        <w:bCs/>
      </w:rPr>
      <w:tblPr/>
      <w:tcPr>
        <w:tcBorders>
          <w:top w:val="single" w:color="78C0D4" w:sz="18" w:space="0"/>
          <w:left w:val="nil"/>
          <w:bottom w:val="nil"/>
          <w:right w:val="nil"/>
          <w:insideH w:val="nil"/>
          <w:insideV w:val="nil"/>
          <w:tl2br w:val="nil"/>
          <w:tr2bl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table" w:styleId="40">
    <w:name w:val="Medium Grid 3 Accent 1"/>
    <w:basedOn w:val="28"/>
    <w:qFormat/>
    <w:uiPriority w:val="99"/>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Pr>
    <w:tcPr>
      <w:shd w:val="clear" w:color="auto" w:fill="D3DFEE"/>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nil"/>
          <w:tl2br w:val="nil"/>
          <w:tr2bl w:val="nil"/>
        </w:tcBorders>
        <w:shd w:val="clear" w:color="auto" w:fill="4F81BD"/>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nil"/>
          <w:tl2br w:val="nil"/>
          <w:tr2bl w:val="nil"/>
        </w:tcBorders>
        <w:shd w:val="clear" w:color="auto" w:fill="4F81BD"/>
      </w:tcPr>
    </w:tblStylePr>
    <w:tblStylePr w:type="firstCol">
      <w:rPr>
        <w:rFonts w:cs="Times New Roman"/>
        <w:b/>
        <w:bCs/>
        <w:i w:val="0"/>
        <w:iCs w:val="0"/>
        <w:color w:val="FFFFFF"/>
      </w:rPr>
      <w:tblPr/>
      <w:tcPr>
        <w:tcBorders>
          <w:top w:val="nil"/>
          <w:left w:val="single" w:color="FFFFFF" w:sz="8" w:space="0"/>
          <w:bottom w:val="nil"/>
          <w:right w:val="single" w:color="FFFFFF" w:sz="24" w:space="0"/>
          <w:insideH w:val="nil"/>
          <w:insideV w:val="nil"/>
          <w:tl2br w:val="nil"/>
          <w:tr2bl w:val="nil"/>
        </w:tcBorders>
        <w:shd w:val="clear" w:color="auto" w:fill="4F81BD"/>
      </w:tcPr>
    </w:tblStylePr>
    <w:tblStylePr w:type="lastCol">
      <w:rPr>
        <w:rFonts w:cs="Times New Roman"/>
        <w:b/>
        <w:bCs/>
        <w:i w:val="0"/>
        <w:iCs w:val="0"/>
        <w:color w:val="FFFFFF"/>
      </w:rPr>
      <w:tblPr/>
      <w:tcPr>
        <w:tcBorders>
          <w:top w:val="nil"/>
          <w:left w:val="single" w:color="FFFFFF" w:sz="24" w:space="0"/>
          <w:bottom w:val="nil"/>
          <w:right w:val="nil"/>
          <w:insideH w:val="nil"/>
          <w:insideV w:val="nil"/>
          <w:tl2br w:val="nil"/>
          <w:tr2bl w:val="nil"/>
        </w:tcBorders>
        <w:shd w:val="clear" w:color="auto" w:fill="4F81BD"/>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A7BFDE"/>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A7BFDE"/>
      </w:tcPr>
    </w:tblStylePr>
  </w:style>
  <w:style w:type="table" w:styleId="41">
    <w:name w:val="Medium Grid 3 Accent 3"/>
    <w:basedOn w:val="28"/>
    <w:qFormat/>
    <w:uiPriority w:val="99"/>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Pr>
    <w:tcPr>
      <w:shd w:val="clear" w:color="auto" w:fill="E6EED5"/>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nil"/>
          <w:tl2br w:val="nil"/>
          <w:tr2bl w:val="nil"/>
        </w:tcBorders>
        <w:shd w:val="clear" w:color="auto" w:fill="9BBB59"/>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nil"/>
          <w:tl2br w:val="nil"/>
          <w:tr2bl w:val="nil"/>
        </w:tcBorders>
        <w:shd w:val="clear" w:color="auto" w:fill="9BBB59"/>
      </w:tcPr>
    </w:tblStylePr>
    <w:tblStylePr w:type="firstCol">
      <w:rPr>
        <w:rFonts w:cs="Times New Roman"/>
        <w:b/>
        <w:bCs/>
        <w:i w:val="0"/>
        <w:iCs w:val="0"/>
        <w:color w:val="FFFFFF"/>
      </w:rPr>
      <w:tblPr/>
      <w:tcPr>
        <w:tcBorders>
          <w:top w:val="nil"/>
          <w:left w:val="single" w:color="FFFFFF" w:sz="8" w:space="0"/>
          <w:bottom w:val="nil"/>
          <w:right w:val="single" w:color="FFFFFF" w:sz="24" w:space="0"/>
          <w:insideH w:val="nil"/>
          <w:insideV w:val="nil"/>
          <w:tl2br w:val="nil"/>
          <w:tr2bl w:val="nil"/>
        </w:tcBorders>
        <w:shd w:val="clear" w:color="auto" w:fill="9BBB59"/>
      </w:tcPr>
    </w:tblStylePr>
    <w:tblStylePr w:type="lastCol">
      <w:rPr>
        <w:rFonts w:cs="Times New Roman"/>
        <w:b/>
        <w:bCs/>
        <w:i w:val="0"/>
        <w:iCs w:val="0"/>
        <w:color w:val="FFFFFF"/>
      </w:rPr>
      <w:tblPr/>
      <w:tcPr>
        <w:tcBorders>
          <w:top w:val="nil"/>
          <w:left w:val="single" w:color="FFFFFF" w:sz="24" w:space="0"/>
          <w:bottom w:val="nil"/>
          <w:right w:val="nil"/>
          <w:insideH w:val="nil"/>
          <w:insideV w:val="nil"/>
          <w:tl2br w:val="nil"/>
          <w:tr2bl w:val="nil"/>
        </w:tcBorders>
        <w:shd w:val="clear" w:color="auto" w:fill="9BBB59"/>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CDDDAC"/>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CDDDAC"/>
      </w:tcPr>
    </w:tblStylePr>
  </w:style>
  <w:style w:type="table" w:styleId="42">
    <w:name w:val="Medium Grid 3 Accent 4"/>
    <w:basedOn w:val="28"/>
    <w:qFormat/>
    <w:uiPriority w:val="99"/>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Pr>
    <w:tcPr>
      <w:shd w:val="clear" w:color="auto" w:fill="DFD8E8"/>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nil"/>
          <w:tl2br w:val="nil"/>
          <w:tr2bl w:val="nil"/>
        </w:tcBorders>
        <w:shd w:val="clear" w:color="auto" w:fill="8064A2"/>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nil"/>
          <w:tl2br w:val="nil"/>
          <w:tr2bl w:val="nil"/>
        </w:tcBorders>
        <w:shd w:val="clear" w:color="auto" w:fill="8064A2"/>
      </w:tcPr>
    </w:tblStylePr>
    <w:tblStylePr w:type="firstCol">
      <w:rPr>
        <w:rFonts w:cs="Times New Roman"/>
        <w:b/>
        <w:bCs/>
        <w:i w:val="0"/>
        <w:iCs w:val="0"/>
        <w:color w:val="FFFFFF"/>
      </w:rPr>
      <w:tblPr/>
      <w:tcPr>
        <w:tcBorders>
          <w:top w:val="nil"/>
          <w:left w:val="single" w:color="FFFFFF" w:sz="8" w:space="0"/>
          <w:bottom w:val="nil"/>
          <w:right w:val="single" w:color="FFFFFF" w:sz="24" w:space="0"/>
          <w:insideH w:val="nil"/>
          <w:insideV w:val="nil"/>
          <w:tl2br w:val="nil"/>
          <w:tr2bl w:val="nil"/>
        </w:tcBorders>
        <w:shd w:val="clear" w:color="auto" w:fill="8064A2"/>
      </w:tcPr>
    </w:tblStylePr>
    <w:tblStylePr w:type="lastCol">
      <w:rPr>
        <w:rFonts w:cs="Times New Roman"/>
        <w:b/>
        <w:bCs/>
        <w:i w:val="0"/>
        <w:iCs w:val="0"/>
        <w:color w:val="FFFFFF"/>
      </w:rPr>
      <w:tblPr/>
      <w:tcPr>
        <w:tcBorders>
          <w:top w:val="nil"/>
          <w:left w:val="single" w:color="FFFFFF" w:sz="24" w:space="0"/>
          <w:bottom w:val="nil"/>
          <w:right w:val="nil"/>
          <w:insideH w:val="nil"/>
          <w:insideV w:val="nil"/>
          <w:tl2br w:val="nil"/>
          <w:tr2bl w:val="nil"/>
        </w:tcBorders>
        <w:shd w:val="clear" w:color="auto" w:fill="8064A2"/>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BFB1D0"/>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BFB1D0"/>
      </w:tcPr>
    </w:tblStylePr>
  </w:style>
  <w:style w:type="table" w:styleId="43">
    <w:name w:val="Medium Grid 3 Accent 5"/>
    <w:basedOn w:val="28"/>
    <w:qFormat/>
    <w:uiPriority w:val="99"/>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Pr>
    <w:tcPr>
      <w:shd w:val="clear" w:color="auto" w:fill="D2EAF1"/>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nil"/>
          <w:tl2br w:val="nil"/>
          <w:tr2bl w:val="nil"/>
        </w:tcBorders>
        <w:shd w:val="clear" w:color="auto" w:fill="4BACC6"/>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nil"/>
          <w:tl2br w:val="nil"/>
          <w:tr2bl w:val="nil"/>
        </w:tcBorders>
        <w:shd w:val="clear" w:color="auto" w:fill="4BACC6"/>
      </w:tcPr>
    </w:tblStylePr>
    <w:tblStylePr w:type="firstCol">
      <w:rPr>
        <w:rFonts w:cs="Times New Roman"/>
        <w:b/>
        <w:bCs/>
        <w:i w:val="0"/>
        <w:iCs w:val="0"/>
        <w:color w:val="FFFFFF"/>
      </w:rPr>
      <w:tblPr/>
      <w:tcPr>
        <w:tcBorders>
          <w:top w:val="nil"/>
          <w:left w:val="single" w:color="FFFFFF" w:sz="8" w:space="0"/>
          <w:bottom w:val="nil"/>
          <w:right w:val="single" w:color="FFFFFF" w:sz="24" w:space="0"/>
          <w:insideH w:val="nil"/>
          <w:insideV w:val="nil"/>
          <w:tl2br w:val="nil"/>
          <w:tr2bl w:val="nil"/>
        </w:tcBorders>
        <w:shd w:val="clear" w:color="auto" w:fill="4BACC6"/>
      </w:tcPr>
    </w:tblStylePr>
    <w:tblStylePr w:type="lastCol">
      <w:rPr>
        <w:rFonts w:cs="Times New Roman"/>
        <w:b/>
        <w:bCs/>
        <w:i w:val="0"/>
        <w:iCs w:val="0"/>
        <w:color w:val="FFFFFF"/>
      </w:rPr>
      <w:tblPr/>
      <w:tcPr>
        <w:tcBorders>
          <w:top w:val="nil"/>
          <w:left w:val="single" w:color="FFFFFF" w:sz="24" w:space="0"/>
          <w:bottom w:val="nil"/>
          <w:right w:val="nil"/>
          <w:insideH w:val="nil"/>
          <w:insideV w:val="nil"/>
          <w:tl2br w:val="nil"/>
          <w:tr2bl w:val="nil"/>
        </w:tcBorders>
        <w:shd w:val="clear" w:color="auto" w:fill="4BACC6"/>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A5D5E2"/>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nil"/>
          <w:insideV w:val="nil"/>
          <w:tl2br w:val="nil"/>
          <w:tr2bl w:val="nil"/>
        </w:tcBorders>
        <w:shd w:val="clear" w:color="auto" w:fill="A5D5E2"/>
      </w:tcPr>
    </w:tblStylePr>
  </w:style>
  <w:style w:type="table" w:styleId="44">
    <w:name w:val="Dark List Accent 1"/>
    <w:basedOn w:val="28"/>
    <w:qFormat/>
    <w:uiPriority w:val="99"/>
    <w:rPr>
      <w:color w:val="FFFFFF"/>
    </w:rPr>
    <w:tblPr>
      <w:tblStyleRowBandSize w:val="1"/>
      <w:tblStyleColBandSize w:val="1"/>
    </w:tblPr>
    <w:tcPr>
      <w:shd w:val="clear" w:color="auto" w:fill="4F81BD"/>
    </w:tcPr>
    <w:tblStylePr w:type="firstRow">
      <w:rPr>
        <w:rFonts w:cs="Times New Roman"/>
        <w:b/>
        <w:bCs/>
      </w:rPr>
      <w:tblPr/>
      <w:tcPr>
        <w:tcBorders>
          <w:top w:val="nil"/>
          <w:left w:val="nil"/>
          <w:bottom w:val="single" w:color="FFFFFF" w:sz="18" w:space="0"/>
          <w:right w:val="nil"/>
          <w:insideH w:val="nil"/>
          <w:insideV w:val="nil"/>
          <w:tl2br w:val="nil"/>
          <w:tr2bl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l2br w:val="nil"/>
          <w:tr2bl w:val="nil"/>
        </w:tcBorders>
        <w:shd w:val="clear" w:color="auto" w:fill="243F60"/>
      </w:tcPr>
    </w:tblStylePr>
    <w:tblStylePr w:type="firstCol">
      <w:rPr>
        <w:rFonts w:cs="Times New Roman"/>
      </w:rPr>
      <w:tblPr/>
      <w:tcPr>
        <w:tcBorders>
          <w:top w:val="nil"/>
          <w:left w:val="nil"/>
          <w:bottom w:val="nil"/>
          <w:right w:val="single" w:color="FFFFFF" w:sz="18" w:space="0"/>
          <w:insideH w:val="nil"/>
          <w:insideV w:val="nil"/>
          <w:tl2br w:val="nil"/>
          <w:tr2bl w:val="nil"/>
        </w:tcBorders>
        <w:shd w:val="clear" w:color="auto" w:fill="365F91"/>
      </w:tcPr>
    </w:tblStylePr>
    <w:tblStylePr w:type="lastCol">
      <w:rPr>
        <w:rFonts w:cs="Times New Roman"/>
      </w:rPr>
      <w:tblPr/>
      <w:tcPr>
        <w:tcBorders>
          <w:top w:val="nil"/>
          <w:left w:val="single" w:color="FFFFFF" w:sz="18" w:space="0"/>
          <w:bottom w:val="nil"/>
          <w:right w:val="nil"/>
          <w:insideH w:val="nil"/>
          <w:insideV w:val="nil"/>
          <w:tl2br w:val="nil"/>
          <w:tr2bl w:val="nil"/>
        </w:tcBorders>
        <w:shd w:val="clear" w:color="auto" w:fill="365F91"/>
      </w:tcPr>
    </w:tblStylePr>
    <w:tblStylePr w:type="band1Vert">
      <w:rPr>
        <w:rFonts w:cs="Times New Roman"/>
      </w:rPr>
      <w:tblPr/>
      <w:tcPr>
        <w:tcBorders>
          <w:top w:val="nil"/>
          <w:left w:val="nil"/>
          <w:bottom w:val="nil"/>
          <w:right w:val="nil"/>
          <w:insideH w:val="nil"/>
          <w:insideV w:val="nil"/>
          <w:tl2br w:val="nil"/>
          <w:tr2bl w:val="nil"/>
        </w:tcBorders>
        <w:shd w:val="clear" w:color="auto" w:fill="365F91"/>
      </w:tcPr>
    </w:tblStylePr>
    <w:tblStylePr w:type="band1Horz">
      <w:rPr>
        <w:rFonts w:cs="Times New Roman"/>
      </w:rPr>
      <w:tblPr/>
      <w:tcPr>
        <w:tcBorders>
          <w:top w:val="nil"/>
          <w:left w:val="nil"/>
          <w:bottom w:val="nil"/>
          <w:right w:val="nil"/>
          <w:insideH w:val="nil"/>
          <w:insideV w:val="nil"/>
          <w:tl2br w:val="nil"/>
          <w:tr2bl w:val="nil"/>
        </w:tcBorders>
        <w:shd w:val="clear" w:color="auto" w:fill="365F91"/>
      </w:tcPr>
    </w:tblStylePr>
  </w:style>
  <w:style w:type="table" w:styleId="45">
    <w:name w:val="Dark List Accent 3"/>
    <w:basedOn w:val="28"/>
    <w:qFormat/>
    <w:uiPriority w:val="99"/>
    <w:rPr>
      <w:color w:val="FFFFFF"/>
    </w:rPr>
    <w:tblPr>
      <w:tblStyleRowBandSize w:val="1"/>
      <w:tblStyleColBandSize w:val="1"/>
    </w:tblPr>
    <w:tcPr>
      <w:shd w:val="clear" w:color="auto" w:fill="9BBB59"/>
    </w:tcPr>
    <w:tblStylePr w:type="firstRow">
      <w:rPr>
        <w:rFonts w:cs="Times New Roman"/>
        <w:b/>
        <w:bCs/>
      </w:rPr>
      <w:tblPr/>
      <w:tcPr>
        <w:tcBorders>
          <w:top w:val="nil"/>
          <w:left w:val="nil"/>
          <w:bottom w:val="single" w:color="FFFFFF" w:sz="18" w:space="0"/>
          <w:right w:val="nil"/>
          <w:insideH w:val="nil"/>
          <w:insideV w:val="nil"/>
          <w:tl2br w:val="nil"/>
          <w:tr2bl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l2br w:val="nil"/>
          <w:tr2bl w:val="nil"/>
        </w:tcBorders>
        <w:shd w:val="clear" w:color="auto" w:fill="4E6128"/>
      </w:tcPr>
    </w:tblStylePr>
    <w:tblStylePr w:type="firstCol">
      <w:rPr>
        <w:rFonts w:cs="Times New Roman"/>
      </w:rPr>
      <w:tblPr/>
      <w:tcPr>
        <w:tcBorders>
          <w:top w:val="nil"/>
          <w:left w:val="nil"/>
          <w:bottom w:val="nil"/>
          <w:right w:val="single" w:color="FFFFFF" w:sz="18" w:space="0"/>
          <w:insideH w:val="nil"/>
          <w:insideV w:val="nil"/>
          <w:tl2br w:val="nil"/>
          <w:tr2bl w:val="nil"/>
        </w:tcBorders>
        <w:shd w:val="clear" w:color="auto" w:fill="76923C"/>
      </w:tcPr>
    </w:tblStylePr>
    <w:tblStylePr w:type="lastCol">
      <w:rPr>
        <w:rFonts w:cs="Times New Roman"/>
      </w:rPr>
      <w:tblPr/>
      <w:tcPr>
        <w:tcBorders>
          <w:top w:val="nil"/>
          <w:left w:val="single" w:color="FFFFFF" w:sz="18" w:space="0"/>
          <w:bottom w:val="nil"/>
          <w:right w:val="nil"/>
          <w:insideH w:val="nil"/>
          <w:insideV w:val="nil"/>
          <w:tl2br w:val="nil"/>
          <w:tr2bl w:val="nil"/>
        </w:tcBorders>
        <w:shd w:val="clear" w:color="auto" w:fill="76923C"/>
      </w:tcPr>
    </w:tblStylePr>
    <w:tblStylePr w:type="band1Vert">
      <w:rPr>
        <w:rFonts w:cs="Times New Roman"/>
      </w:rPr>
      <w:tblPr/>
      <w:tcPr>
        <w:tcBorders>
          <w:top w:val="nil"/>
          <w:left w:val="nil"/>
          <w:bottom w:val="nil"/>
          <w:right w:val="nil"/>
          <w:insideH w:val="nil"/>
          <w:insideV w:val="nil"/>
          <w:tl2br w:val="nil"/>
          <w:tr2bl w:val="nil"/>
        </w:tcBorders>
        <w:shd w:val="clear" w:color="auto" w:fill="76923C"/>
      </w:tcPr>
    </w:tblStylePr>
    <w:tblStylePr w:type="band1Horz">
      <w:rPr>
        <w:rFonts w:cs="Times New Roman"/>
      </w:rPr>
      <w:tblPr/>
      <w:tcPr>
        <w:tcBorders>
          <w:top w:val="nil"/>
          <w:left w:val="nil"/>
          <w:bottom w:val="nil"/>
          <w:right w:val="nil"/>
          <w:insideH w:val="nil"/>
          <w:insideV w:val="nil"/>
          <w:tl2br w:val="nil"/>
          <w:tr2bl w:val="nil"/>
        </w:tcBorders>
        <w:shd w:val="clear" w:color="auto" w:fill="76923C"/>
      </w:tcPr>
    </w:tblStylePr>
  </w:style>
  <w:style w:type="table" w:styleId="46">
    <w:name w:val="Colorful List Accent 6"/>
    <w:basedOn w:val="28"/>
    <w:qFormat/>
    <w:uiPriority w:val="99"/>
    <w:rPr>
      <w:color w:val="000000"/>
    </w:rPr>
    <w:tblPr>
      <w:tblStyleRowBandSize w:val="1"/>
      <w:tblStyleColBandSize w:val="1"/>
    </w:tblPr>
    <w:tcPr>
      <w:shd w:val="clear" w:color="auto" w:fill="FEF4EC"/>
    </w:tcPr>
    <w:tblStylePr w:type="firstRow">
      <w:rPr>
        <w:rFonts w:cs="Times New Roman"/>
        <w:b/>
        <w:bCs/>
        <w:color w:val="FFFFFF"/>
      </w:rPr>
      <w:tblPr/>
      <w:tcPr>
        <w:tcBorders>
          <w:top w:val="nil"/>
          <w:left w:val="nil"/>
          <w:bottom w:val="single" w:color="FFFFFF" w:sz="12" w:space="0"/>
          <w:right w:val="nil"/>
          <w:insideH w:val="nil"/>
          <w:insideV w:val="nil"/>
          <w:tl2br w:val="nil"/>
          <w:tr2bl w:val="nil"/>
        </w:tcBorders>
        <w:shd w:val="clear" w:color="auto" w:fill="348DA5"/>
      </w:tcPr>
    </w:tblStylePr>
    <w:tblStylePr w:type="lastRow">
      <w:rPr>
        <w:rFonts w:cs="Times New Roman"/>
        <w:b/>
        <w:bCs/>
        <w:color w:val="348DA5"/>
      </w:rPr>
      <w:tblPr/>
      <w:tcPr>
        <w:tcBorders>
          <w:top w:val="single" w:color="000000" w:sz="12" w:space="0"/>
          <w:left w:val="nil"/>
          <w:bottom w:val="nil"/>
          <w:right w:val="nil"/>
          <w:insideH w:val="nil"/>
          <w:insideV w:val="nil"/>
          <w:tl2br w:val="nil"/>
          <w:tr2bl w:val="nil"/>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l2br w:val="nil"/>
          <w:tr2bl w:val="nil"/>
        </w:tcBorders>
        <w:shd w:val="clear" w:color="auto" w:fill="FDE4D0"/>
      </w:tcPr>
    </w:tblStylePr>
    <w:tblStylePr w:type="band1Horz">
      <w:rPr>
        <w:rFonts w:cs="Times New Roman"/>
      </w:rPr>
      <w:tblPr/>
      <w:tcPr>
        <w:shd w:val="clear" w:color="auto" w:fill="FDE9D9"/>
      </w:tcPr>
    </w:tblStylePr>
  </w:style>
  <w:style w:type="character" w:styleId="48">
    <w:name w:val="Strong"/>
    <w:basedOn w:val="47"/>
    <w:qFormat/>
    <w:uiPriority w:val="99"/>
    <w:rPr>
      <w:rFonts w:cs="Times New Roman"/>
      <w:b/>
    </w:rPr>
  </w:style>
  <w:style w:type="character" w:styleId="49">
    <w:name w:val="FollowedHyperlink"/>
    <w:basedOn w:val="47"/>
    <w:qFormat/>
    <w:uiPriority w:val="0"/>
    <w:rPr>
      <w:color w:val="800080"/>
      <w:u w:val="single"/>
    </w:rPr>
  </w:style>
  <w:style w:type="character" w:styleId="50">
    <w:name w:val="Emphasis"/>
    <w:basedOn w:val="47"/>
    <w:qFormat/>
    <w:uiPriority w:val="99"/>
    <w:rPr>
      <w:rFonts w:cs="Times New Roman"/>
      <w:i/>
    </w:rPr>
  </w:style>
  <w:style w:type="character" w:styleId="51">
    <w:name w:val="Hyperlink"/>
    <w:basedOn w:val="47"/>
    <w:qFormat/>
    <w:uiPriority w:val="99"/>
    <w:rPr>
      <w:rFonts w:cs="Times New Roman"/>
      <w:color w:val="0000FF"/>
      <w:sz w:val="20"/>
      <w:u w:val="single"/>
      <w:lang w:val="zh-CN"/>
    </w:rPr>
  </w:style>
  <w:style w:type="paragraph" w:customStyle="1" w:styleId="52">
    <w:name w:val="列出段落1"/>
    <w:basedOn w:val="1"/>
    <w:qFormat/>
    <w:uiPriority w:val="99"/>
    <w:pPr>
      <w:ind w:firstLine="420" w:firstLineChars="200"/>
    </w:pPr>
  </w:style>
  <w:style w:type="paragraph" w:customStyle="1" w:styleId="53">
    <w:name w:val="bodytext"/>
    <w:basedOn w:val="1"/>
    <w:qFormat/>
    <w:uiPriority w:val="99"/>
    <w:pPr>
      <w:widowControl/>
      <w:spacing w:before="100" w:beforeAutospacing="1" w:after="100" w:afterAutospacing="1"/>
      <w:jc w:val="left"/>
    </w:pPr>
    <w:rPr>
      <w:rFonts w:ascii="宋体" w:hAnsi="宋体"/>
      <w:kern w:val="0"/>
      <w:sz w:val="24"/>
    </w:rPr>
  </w:style>
  <w:style w:type="paragraph" w:customStyle="1" w:styleId="54">
    <w:name w:val="无间隔1"/>
    <w:qFormat/>
    <w:uiPriority w:val="99"/>
    <w:pPr>
      <w:widowControl w:val="0"/>
      <w:jc w:val="both"/>
    </w:pPr>
    <w:rPr>
      <w:rFonts w:ascii="Vrinda" w:hAnsi="Vrinda" w:eastAsia="宋体" w:cs="Times New Roman"/>
      <w:kern w:val="2"/>
      <w:sz w:val="18"/>
      <w:szCs w:val="24"/>
      <w:lang w:val="en-US" w:eastAsia="zh-CN" w:bidi="ar-SA"/>
    </w:rPr>
  </w:style>
  <w:style w:type="paragraph" w:customStyle="1" w:styleId="55">
    <w:name w:val="列出段落11"/>
    <w:basedOn w:val="1"/>
    <w:qFormat/>
    <w:uiPriority w:val="99"/>
    <w:pPr>
      <w:ind w:firstLine="420" w:firstLineChars="200"/>
    </w:pPr>
    <w:rPr>
      <w:rFonts w:ascii="Calibri" w:hAnsi="Calibri"/>
      <w:sz w:val="21"/>
      <w:szCs w:val="22"/>
    </w:rPr>
  </w:style>
  <w:style w:type="character" w:customStyle="1" w:styleId="56">
    <w:name w:val="标题 1 字符"/>
    <w:basedOn w:val="47"/>
    <w:link w:val="2"/>
    <w:qFormat/>
    <w:uiPriority w:val="99"/>
    <w:rPr>
      <w:rFonts w:ascii="仿宋" w:hAnsi="仿宋" w:eastAsia="仿宋"/>
      <w:b/>
      <w:bCs/>
      <w:kern w:val="44"/>
      <w:sz w:val="36"/>
      <w:szCs w:val="36"/>
    </w:rPr>
  </w:style>
  <w:style w:type="character" w:customStyle="1" w:styleId="57">
    <w:name w:val="标题 2 字符"/>
    <w:basedOn w:val="47"/>
    <w:link w:val="3"/>
    <w:qFormat/>
    <w:uiPriority w:val="99"/>
    <w:rPr>
      <w:rFonts w:ascii="Cambria" w:hAnsi="Cambria"/>
      <w:b/>
      <w:bCs/>
      <w:kern w:val="2"/>
      <w:sz w:val="32"/>
      <w:szCs w:val="32"/>
    </w:rPr>
  </w:style>
  <w:style w:type="character" w:customStyle="1" w:styleId="58">
    <w:name w:val="标题 3 字符"/>
    <w:basedOn w:val="47"/>
    <w:link w:val="4"/>
    <w:qFormat/>
    <w:uiPriority w:val="99"/>
    <w:rPr>
      <w:rFonts w:ascii="Vrinda" w:hAnsi="Vrinda"/>
      <w:b/>
      <w:kern w:val="2"/>
      <w:sz w:val="32"/>
    </w:rPr>
  </w:style>
  <w:style w:type="character" w:customStyle="1" w:styleId="59">
    <w:name w:val="标题 4 字符"/>
    <w:basedOn w:val="47"/>
    <w:link w:val="5"/>
    <w:qFormat/>
    <w:uiPriority w:val="99"/>
    <w:rPr>
      <w:rFonts w:ascii="Cambria" w:hAnsi="Cambria"/>
      <w:b/>
      <w:bCs/>
      <w:kern w:val="2"/>
      <w:sz w:val="28"/>
      <w:szCs w:val="28"/>
    </w:rPr>
  </w:style>
  <w:style w:type="character" w:customStyle="1" w:styleId="60">
    <w:name w:val="标题 5 字符"/>
    <w:basedOn w:val="47"/>
    <w:link w:val="6"/>
    <w:qFormat/>
    <w:uiPriority w:val="99"/>
    <w:rPr>
      <w:rFonts w:ascii="Vrinda" w:hAnsi="Vrinda"/>
      <w:b/>
      <w:bCs/>
      <w:kern w:val="2"/>
      <w:sz w:val="28"/>
      <w:szCs w:val="28"/>
    </w:rPr>
  </w:style>
  <w:style w:type="character" w:customStyle="1" w:styleId="61">
    <w:name w:val="标题 6 字符"/>
    <w:basedOn w:val="47"/>
    <w:link w:val="7"/>
    <w:qFormat/>
    <w:uiPriority w:val="99"/>
    <w:rPr>
      <w:rFonts w:ascii="Cambria" w:hAnsi="Cambria"/>
      <w:b/>
      <w:bCs/>
      <w:kern w:val="2"/>
      <w:sz w:val="24"/>
      <w:szCs w:val="24"/>
    </w:rPr>
  </w:style>
  <w:style w:type="character" w:customStyle="1" w:styleId="62">
    <w:name w:val="标题 7 字符"/>
    <w:basedOn w:val="47"/>
    <w:link w:val="8"/>
    <w:qFormat/>
    <w:uiPriority w:val="99"/>
    <w:rPr>
      <w:rFonts w:ascii="Vrinda" w:hAnsi="Vrinda"/>
      <w:b/>
      <w:bCs/>
      <w:kern w:val="2"/>
      <w:sz w:val="24"/>
      <w:szCs w:val="24"/>
    </w:rPr>
  </w:style>
  <w:style w:type="character" w:customStyle="1" w:styleId="63">
    <w:name w:val="标题 8 字符"/>
    <w:basedOn w:val="47"/>
    <w:link w:val="9"/>
    <w:qFormat/>
    <w:uiPriority w:val="99"/>
    <w:rPr>
      <w:rFonts w:ascii="Cambria" w:hAnsi="Cambria"/>
      <w:kern w:val="2"/>
      <w:sz w:val="24"/>
      <w:szCs w:val="24"/>
    </w:rPr>
  </w:style>
  <w:style w:type="character" w:customStyle="1" w:styleId="64">
    <w:name w:val="标题 9 字符"/>
    <w:basedOn w:val="47"/>
    <w:link w:val="10"/>
    <w:qFormat/>
    <w:uiPriority w:val="99"/>
    <w:rPr>
      <w:rFonts w:ascii="Cambria" w:hAnsi="Cambria"/>
      <w:kern w:val="2"/>
      <w:sz w:val="21"/>
      <w:szCs w:val="21"/>
    </w:rPr>
  </w:style>
  <w:style w:type="character" w:customStyle="1" w:styleId="65">
    <w:name w:val="页眉 字符"/>
    <w:basedOn w:val="47"/>
    <w:link w:val="19"/>
    <w:qFormat/>
    <w:uiPriority w:val="99"/>
    <w:rPr>
      <w:rFonts w:ascii="Vrinda" w:hAnsi="Vrinda"/>
      <w:sz w:val="18"/>
      <w:szCs w:val="18"/>
    </w:rPr>
  </w:style>
  <w:style w:type="character" w:customStyle="1" w:styleId="66">
    <w:name w:val="页脚 字符"/>
    <w:basedOn w:val="47"/>
    <w:link w:val="18"/>
    <w:qFormat/>
    <w:uiPriority w:val="99"/>
    <w:rPr>
      <w:rFonts w:ascii="Vrinda" w:hAnsi="Vrinda"/>
      <w:kern w:val="2"/>
      <w:sz w:val="18"/>
    </w:rPr>
  </w:style>
  <w:style w:type="character" w:customStyle="1" w:styleId="67">
    <w:name w:val="标题 字符"/>
    <w:basedOn w:val="47"/>
    <w:link w:val="27"/>
    <w:qFormat/>
    <w:uiPriority w:val="10"/>
    <w:rPr>
      <w:rFonts w:ascii="Cambria" w:hAnsi="Cambria"/>
      <w:b/>
      <w:kern w:val="2"/>
      <w:sz w:val="32"/>
    </w:rPr>
  </w:style>
  <w:style w:type="character" w:customStyle="1" w:styleId="68">
    <w:name w:val="副标题 字符"/>
    <w:basedOn w:val="47"/>
    <w:link w:val="22"/>
    <w:qFormat/>
    <w:uiPriority w:val="0"/>
    <w:rPr>
      <w:rFonts w:ascii="Cambria" w:hAnsi="Cambria"/>
      <w:b/>
      <w:kern w:val="28"/>
      <w:sz w:val="32"/>
    </w:rPr>
  </w:style>
  <w:style w:type="character" w:customStyle="1" w:styleId="69">
    <w:name w:val="批注框文本 字符"/>
    <w:basedOn w:val="47"/>
    <w:link w:val="17"/>
    <w:qFormat/>
    <w:uiPriority w:val="99"/>
    <w:rPr>
      <w:rFonts w:ascii="Vrinda" w:hAnsi="Vrinda"/>
      <w:kern w:val="2"/>
      <w:sz w:val="18"/>
    </w:rPr>
  </w:style>
  <w:style w:type="character" w:customStyle="1" w:styleId="70">
    <w:name w:val="l_1501"/>
    <w:basedOn w:val="47"/>
    <w:qFormat/>
    <w:uiPriority w:val="0"/>
    <w:rPr>
      <w:rFonts w:cs="Times New Roman"/>
    </w:rPr>
  </w:style>
  <w:style w:type="character" w:customStyle="1" w:styleId="71">
    <w:name w:val="文档结构图 字符"/>
    <w:basedOn w:val="47"/>
    <w:link w:val="13"/>
    <w:qFormat/>
    <w:uiPriority w:val="99"/>
    <w:rPr>
      <w:sz w:val="16"/>
      <w:szCs w:val="16"/>
    </w:rPr>
  </w:style>
  <w:style w:type="table" w:customStyle="1" w:styleId="72">
    <w:name w:val="中等深浅底纹 2 - 强调文字颜色 11"/>
    <w:qFormat/>
    <w:uiPriority w:val="99"/>
    <w:tblPr>
      <w:tblBorders>
        <w:top w:val="single" w:color="auto" w:sz="18" w:space="0"/>
        <w:bottom w:val="single" w:color="auto" w:sz="18" w:space="0"/>
      </w:tblBorders>
      <w:tblCellMar>
        <w:top w:w="0" w:type="dxa"/>
        <w:left w:w="108" w:type="dxa"/>
        <w:bottom w:w="0" w:type="dxa"/>
        <w:right w:w="108" w:type="dxa"/>
      </w:tblCellMar>
    </w:tblPr>
  </w:style>
  <w:style w:type="table" w:customStyle="1" w:styleId="73">
    <w:name w:val="浅色网格 - 强调文字颜色 11"/>
    <w:qFormat/>
    <w:uiPriority w:val="99"/>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style>
  <w:style w:type="table" w:customStyle="1" w:styleId="74">
    <w:name w:val="浅色底纹1"/>
    <w:qFormat/>
    <w:uiPriority w:val="99"/>
    <w:rPr>
      <w:color w:val="000000"/>
      <w:sz w:val="28"/>
      <w:szCs w:val="28"/>
    </w:rPr>
    <w:tblPr>
      <w:tblBorders>
        <w:top w:val="single" w:color="000000" w:sz="8" w:space="0"/>
        <w:bottom w:val="single" w:color="000000" w:sz="8" w:space="0"/>
      </w:tblBorders>
      <w:tblCellMar>
        <w:top w:w="0" w:type="dxa"/>
        <w:left w:w="108" w:type="dxa"/>
        <w:bottom w:w="0" w:type="dxa"/>
        <w:right w:w="108" w:type="dxa"/>
      </w:tblCellMar>
    </w:tblPr>
  </w:style>
  <w:style w:type="character" w:customStyle="1" w:styleId="75">
    <w:name w:val="不明显强调1"/>
    <w:basedOn w:val="47"/>
    <w:qFormat/>
    <w:uiPriority w:val="19"/>
    <w:rPr>
      <w:i/>
      <w:iCs/>
      <w:color w:val="808080"/>
    </w:rPr>
  </w:style>
  <w:style w:type="paragraph" w:customStyle="1" w:styleId="76">
    <w:name w:val="TOC 标题1"/>
    <w:basedOn w:val="2"/>
    <w:next w:val="1"/>
    <w:qFormat/>
    <w:uiPriority w:val="39"/>
    <w:pPr>
      <w:widowControl/>
      <w:numPr>
        <w:numId w:val="0"/>
      </w:numPr>
      <w:spacing w:before="480" w:after="0" w:line="276" w:lineRule="auto"/>
      <w:jc w:val="left"/>
      <w:outlineLvl w:val="9"/>
    </w:pPr>
    <w:rPr>
      <w:rFonts w:ascii="Cambria" w:hAnsi="Cambria" w:eastAsia="宋体" w:cs="宋体"/>
      <w:color w:val="365F91"/>
      <w:kern w:val="0"/>
      <w:sz w:val="28"/>
      <w:szCs w:val="28"/>
    </w:rPr>
  </w:style>
  <w:style w:type="paragraph" w:styleId="77">
    <w:name w:val="List Paragraph"/>
    <w:basedOn w:val="1"/>
    <w:qFormat/>
    <w:uiPriority w:val="99"/>
    <w:pPr>
      <w:ind w:firstLine="420" w:firstLineChars="200"/>
    </w:pPr>
  </w:style>
  <w:style w:type="paragraph" w:customStyle="1" w:styleId="78">
    <w:name w:val="null3"/>
    <w:hidden/>
    <w:qFormat/>
    <w:uiPriority w:val="0"/>
    <w:rPr>
      <w:rFonts w:hint="eastAsia" w:ascii="等线" w:hAnsi="等线" w:eastAsia="等线" w:cs="Times New Roman"/>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053CAB-DC91-4EE3-BE81-20C62776A592}">
  <ds:schemaRefs/>
</ds:datastoreItem>
</file>

<file path=docProps/app.xml><?xml version="1.0" encoding="utf-8"?>
<Properties xmlns="http://schemas.openxmlformats.org/officeDocument/2006/extended-properties" xmlns:vt="http://schemas.openxmlformats.org/officeDocument/2006/docPropsVTypes">
  <Template>Normal.dotm</Template>
  <Company>广州医药有限公司</Company>
  <Pages>5</Pages>
  <Words>6114</Words>
  <Characters>6507</Characters>
  <Lines>66</Lines>
  <Paragraphs>18</Paragraphs>
  <TotalTime>4</TotalTime>
  <ScaleCrop>false</ScaleCrop>
  <LinksUpToDate>false</LinksUpToDate>
  <CharactersWithSpaces>6517</CharactersWithSpaces>
  <Application>WPS Office_12.1.0.26372_F1E327BC-269C-435d-A152-05C5408002CA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2022-07-26T03:49:00Z</dcterms:created>
  <dc:creator>Administrator</dc:creator>
  <cp:lastModifiedBy>17936</cp:lastModifiedBy>
  <cp:lastPrinted>2025-02-17T06:46:00Z</cp:lastPrinted>
  <dcterms:modified xsi:type="dcterms:W3CDTF">2026-06-01T06:54:28Z</dcterms:modified>
  <dc:title>多宝街需求解决方案</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2052-12.1.0.26372</vt:lpwstr>
  </property>
  <property fmtid="{D5CDD505-2E9C-101B-9397-08002B2CF9AE}" pid="3" name="ICV">
    <vt:lpwstr>2D78A602E0614CBE95030E230CB6510C_13</vt:lpwstr>
  </property>
  <property fmtid="{D5CDD505-2E9C-101B-9397-08002B2CF9AE}" pid="4" name="KSOTemplateDocerSaveRecord">
    <vt:lpwstr>eyJoZGlkIjoiOWI4OTFhYjYwMGQ4YzZhNjgxNmU0NDAzNjc3MzdhODkifQ==</vt:lpwstr>
  </property>
</Properties>
</file>