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21C35">
      <w:pPr>
        <w:pStyle w:val="4"/>
        <w:numPr>
          <w:numId w:val="0"/>
        </w:numPr>
        <w:spacing w:line="30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（一）</w:t>
      </w:r>
      <w:r>
        <w:rPr>
          <w:rFonts w:hint="eastAsia" w:ascii="宋体" w:hAnsi="宋体" w:eastAsia="宋体" w:cs="宋体"/>
          <w:b/>
          <w:bCs/>
          <w:sz w:val="24"/>
          <w:szCs w:val="24"/>
        </w:rPr>
        <w:t>系统功能需求</w:t>
      </w:r>
    </w:p>
    <w:p w14:paraId="3A24F77A">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区域合理用药系统</w:t>
      </w:r>
    </w:p>
    <w:p w14:paraId="0EF6577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1.1 规则库</w:t>
      </w:r>
    </w:p>
    <w:p w14:paraId="00EAF174">
      <w:pPr>
        <w:spacing w:line="300" w:lineRule="auto"/>
        <w:ind w:firstLine="684" w:firstLineChars="300"/>
        <w:rPr>
          <w:rFonts w:hint="eastAsia" w:ascii="宋体" w:hAnsi="宋体" w:eastAsia="宋体" w:cs="宋体"/>
          <w:sz w:val="24"/>
          <w:szCs w:val="24"/>
        </w:rPr>
      </w:pPr>
      <w:r>
        <w:rPr>
          <w:rFonts w:hint="eastAsia" w:ascii="宋体" w:hAnsi="宋体" w:eastAsia="宋体" w:cs="宋体"/>
          <w:sz w:val="24"/>
          <w:szCs w:val="24"/>
        </w:rPr>
        <w:t>1. 提供满足国家最新要求的合理用药规则库，以国家版药品说明书、临床指南等为基础，结合临床实际用药情况与经验优化形成，贴近临床、实用性高，兼容采购人各成员单位管控规则</w:t>
      </w:r>
      <w:r>
        <w:rPr>
          <w:rFonts w:hint="eastAsia" w:ascii="宋体" w:hAnsi="宋体" w:eastAsia="宋体" w:cs="宋体"/>
          <w:sz w:val="24"/>
          <w:szCs w:val="24"/>
          <w:lang w:eastAsia="zh-CN"/>
        </w:rPr>
        <w:t>。</w:t>
      </w:r>
    </w:p>
    <w:p w14:paraId="578007D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1.2 处方 (医嘱) 用药审查</w:t>
      </w:r>
    </w:p>
    <w:p w14:paraId="524BF0C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支持按任意科室、医生、患者、疾病、药品等指标设置为重点关注，支持按疾病、药品、问题类型、警示级别等多条件组合设置重点关注，重点关注信息的处方由药师全面审查</w:t>
      </w:r>
      <w:r>
        <w:rPr>
          <w:rFonts w:hint="eastAsia" w:ascii="宋体" w:hAnsi="宋体" w:eastAsia="宋体" w:cs="宋体"/>
          <w:sz w:val="24"/>
          <w:szCs w:val="24"/>
          <w:lang w:eastAsia="zh-CN"/>
        </w:rPr>
        <w:t>。</w:t>
      </w:r>
      <w:r>
        <w:rPr>
          <w:rFonts w:hint="eastAsia" w:ascii="宋体" w:hAnsi="宋体" w:eastAsia="宋体" w:cs="宋体"/>
          <w:sz w:val="24"/>
          <w:szCs w:val="24"/>
        </w:rPr>
        <w:t>（需进行演示）</w:t>
      </w:r>
    </w:p>
    <w:p w14:paraId="5580200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1.3 合理用药专项管控</w:t>
      </w:r>
    </w:p>
    <w:p w14:paraId="4BE19182">
      <w:pPr>
        <w:spacing w:line="300" w:lineRule="auto"/>
        <w:ind w:firstLine="684" w:firstLineChars="3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医生开具质子泵抑制剂药品时，需填写用药评估单，提供评估单专项统计分析；</w:t>
      </w:r>
    </w:p>
    <w:p w14:paraId="56210F3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系统可评估患者病生状态，若存在应激性溃疡风险，提供质子泵抑制剂用药建议</w:t>
      </w:r>
      <w:r>
        <w:rPr>
          <w:rFonts w:hint="eastAsia" w:ascii="宋体" w:hAnsi="宋体" w:eastAsia="宋体" w:cs="宋体"/>
          <w:sz w:val="24"/>
          <w:szCs w:val="24"/>
          <w:lang w:eastAsia="zh-CN"/>
        </w:rPr>
        <w:t>。</w:t>
      </w:r>
    </w:p>
    <w:p w14:paraId="19AF2F3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1.4 药品知识库</w:t>
      </w:r>
    </w:p>
    <w:p w14:paraId="5963333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提供完善的药学知识库，包括国家药品目录字典查询、ICD 编码查询、临床检验查询、药物相互作用查询、注射剂配伍查询、常用医学公式查询、适应症药物查询、药物警戒快讯查询、不良反应信息通报查询、医药法规查询、中药方剂查询、中医诊疗方案查询、中医临床诊疗术语查询、中医病症分类与代码查询、临床路径查询、FDA 妊娠期药物安全分级查询、禁慎用药查询；</w:t>
      </w:r>
    </w:p>
    <w:p w14:paraId="1CA51224">
      <w:pPr>
        <w:spacing w:line="300" w:lineRule="auto"/>
        <w:ind w:firstLine="684" w:firstLineChars="3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医药学常用计算公式智能计算：包括心脏学、肺脏学、肾脏学、血液学、神经学、儿科、妇产科学公式、烧伤补液公式、各种电解质和液体补充公式、给药体重和体表面积换算公式、基础代谢计算公式、胰岛素用量，TPN 计算公式等常用的计算公式。帮助医生进行个体化评估，部分公式可以自动计算患者的个体化能量需求；</w:t>
      </w:r>
    </w:p>
    <w:p w14:paraId="02E70A5B">
      <w:pPr>
        <w:spacing w:line="300" w:lineRule="auto"/>
        <w:ind w:firstLine="456"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提供中药材、中医方剂、中医诊疗方案、中医临床路径、中医标准术语、中医病证分类与代码的中医药信息内容；（需进行演示）</w:t>
      </w:r>
    </w:p>
    <w:p w14:paraId="1F5946D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rPr>
        <w:t>药物信息查询功能支持手机 APP 在线访问</w:t>
      </w:r>
      <w:r>
        <w:rPr>
          <w:rFonts w:hint="eastAsia" w:ascii="宋体" w:hAnsi="宋体" w:eastAsia="宋体" w:cs="宋体"/>
          <w:sz w:val="24"/>
          <w:szCs w:val="24"/>
          <w:lang w:eastAsia="zh-CN"/>
        </w:rPr>
        <w:t>。</w:t>
      </w:r>
    </w:p>
    <w:p w14:paraId="0526AB4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1.5 规则自定义</w:t>
      </w:r>
    </w:p>
    <w:p w14:paraId="7F1140E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1.5.</w:t>
      </w:r>
      <w:r>
        <w:rPr>
          <w:rFonts w:hint="eastAsia" w:ascii="宋体" w:hAnsi="宋体" w:eastAsia="宋体" w:cs="宋体"/>
          <w:sz w:val="24"/>
          <w:szCs w:val="24"/>
        </w:rPr>
        <w:t>1.提供药师或管理人员可自行使用的规则管理工具，支持多种自定义方式：(1)基于系统审查数据自定义，节省药师工作量；(2)完全新建审查要素和审查逻辑，支持多重条件下的复杂逻辑判断，规则保存或启用后在线实时生效(无需重启服务器或服务)</w:t>
      </w:r>
      <w:r>
        <w:rPr>
          <w:rFonts w:hint="eastAsia" w:ascii="宋体" w:hAnsi="宋体" w:eastAsia="宋体" w:cs="宋体"/>
          <w:sz w:val="24"/>
          <w:szCs w:val="24"/>
          <w:lang w:eastAsia="zh-CN"/>
        </w:rPr>
        <w:t>。</w:t>
      </w:r>
    </w:p>
    <w:p w14:paraId="7D200B0A">
      <w:pPr>
        <w:spacing w:line="300" w:lineRule="auto"/>
        <w:ind w:firstLine="468"/>
        <w:rPr>
          <w:rFonts w:hint="eastAsia" w:ascii="宋体" w:hAnsi="宋体" w:eastAsia="宋体" w:cs="宋体"/>
          <w:sz w:val="24"/>
          <w:szCs w:val="24"/>
        </w:rPr>
      </w:pPr>
      <w:r>
        <w:rPr>
          <w:rFonts w:hint="eastAsia" w:ascii="宋体" w:hAnsi="宋体" w:eastAsia="宋体" w:cs="宋体"/>
          <w:sz w:val="24"/>
          <w:szCs w:val="24"/>
          <w:lang w:val="en-US" w:eastAsia="zh-CN"/>
        </w:rPr>
        <w:t>1.5.</w:t>
      </w:r>
      <w:r>
        <w:rPr>
          <w:rFonts w:hint="eastAsia" w:ascii="宋体" w:hAnsi="宋体" w:eastAsia="宋体" w:cs="宋体"/>
          <w:sz w:val="24"/>
          <w:szCs w:val="24"/>
        </w:rPr>
        <w:t>2.具体药品规则自定义范围包括但不限于：</w:t>
      </w:r>
    </w:p>
    <w:p w14:paraId="4312B84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(1)相互作用：结合患者诊断、检验指标等，设置两个药品同时使用的审查规则；</w:t>
      </w:r>
    </w:p>
    <w:p w14:paraId="77695CF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(2)剂量：支持维护一种给药单位的剂量规则，系统自动匹配其余给药单位；可结合患者年龄、体表面积、体重等设置每次剂量、日剂量、累计剂量规则；</w:t>
      </w:r>
    </w:p>
    <w:p w14:paraId="4A210D0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(3)超多日用量：支持对门 (急) 诊处方药品、麻醉药品和精一药品设置超多日用量天数，区分慢病、非慢病处方及特殊患者，按超出天数设置不同警示级别；</w:t>
      </w:r>
    </w:p>
    <w:p w14:paraId="5433EF0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(4)体外注射剂配伍：支持设置小剂量胰岛素不参与体外配伍审查，剂量标准可自定义；</w:t>
      </w:r>
    </w:p>
    <w:p w14:paraId="629216A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(5)禁忌证：根据患者诊断、年龄、性别、特殊时期妊娠、备孕等，设置禁用药物；</w:t>
      </w:r>
    </w:p>
    <w:p w14:paraId="376CA0A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(6)医保规则：支持自定义医保规则，控制 “指定疾病的医保药品” 在未患该疾病患者使用医保结算的管控；</w:t>
      </w:r>
    </w:p>
    <w:p w14:paraId="48B3541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(7)其他：支持设置可预防使用质子泵抑制剂的手术、药品及术后疗程；维护医院协定方及对应证型；设置抗肿瘤药物过敏反应预防药品品种；设置质子泵抑制药、抗菌药物、激素类药物等的用药评估单模板；</w:t>
      </w:r>
    </w:p>
    <w:p w14:paraId="2501799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(8)特定对象审查：支持根据药品、医生、科室等条件设置特定对象不参与某些模块审查，并可按照模块查看各种特定对象情况的统计；</w:t>
      </w:r>
    </w:p>
    <w:p w14:paraId="53F910C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(9)规则复制功能：支持将其它药品已有的自定义规则分模块复制到被选择的药品上；</w:t>
      </w:r>
    </w:p>
    <w:p w14:paraId="413A119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(10)豁免对象：可根据药品、医生、科室等条件设置特定对象不参与某些模块审查，并可按照模块查看对各种豁免情况的统计；</w:t>
      </w:r>
    </w:p>
    <w:p w14:paraId="654619F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(11)药品属性设置：支持基本属性、临床属性、药政属性、物流属性、性状属性设置；</w:t>
      </w:r>
    </w:p>
    <w:p w14:paraId="65BAD35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(12)批量维护规则功能为药学部和管理员提供了一套集中化的审方规则管理工具，对适应症匹配、用法用量、医保限制等规则进行快速新增、修改、启停，从而确保审方引擎能高效、安全地响应临床政策与药品说明书的动态变化</w:t>
      </w:r>
      <w:r>
        <w:rPr>
          <w:rFonts w:hint="eastAsia" w:ascii="宋体" w:hAnsi="宋体" w:eastAsia="宋体" w:cs="宋体"/>
          <w:sz w:val="24"/>
          <w:szCs w:val="24"/>
          <w:lang w:eastAsia="zh-CN"/>
        </w:rPr>
        <w:t>。</w:t>
      </w:r>
    </w:p>
    <w:p w14:paraId="0F7E87A6">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区域前置审方系统</w:t>
      </w:r>
    </w:p>
    <w:p w14:paraId="014E324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2.1规则管理</w:t>
      </w:r>
    </w:p>
    <w:p w14:paraId="23410A5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合理用药系统、前置审方系统支持使用统一的规则库，并能兼容使用</w:t>
      </w:r>
      <w:r>
        <w:rPr>
          <w:rFonts w:hint="eastAsia" w:ascii="宋体" w:hAnsi="宋体" w:eastAsia="宋体" w:cs="宋体"/>
          <w:sz w:val="24"/>
          <w:szCs w:val="24"/>
          <w:lang w:eastAsia="zh-CN"/>
        </w:rPr>
        <w:t>。</w:t>
      </w:r>
    </w:p>
    <w:p w14:paraId="6503736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2.2.支持药师根据不同情况选择处方 / 医嘱直接双签通过或需要药师复核</w:t>
      </w:r>
      <w:r>
        <w:rPr>
          <w:rFonts w:hint="eastAsia" w:ascii="宋体" w:hAnsi="宋体" w:eastAsia="宋体" w:cs="宋体"/>
          <w:sz w:val="24"/>
          <w:szCs w:val="24"/>
          <w:lang w:eastAsia="zh-CN"/>
        </w:rPr>
        <w:t>。</w:t>
      </w:r>
    </w:p>
    <w:p w14:paraId="3010B4B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2.3.支持用户设置自动干预模式，支持设置医生填写用药理由，药师不在岗时，系统能自动干预，医生填写用药理由后方可执行，支持按采购人各医疗机构全院和科室进行个性化设置，包括药师可选择审核意见中的重点文字变色处理后发给医生</w:t>
      </w:r>
      <w:r>
        <w:rPr>
          <w:rFonts w:hint="eastAsia" w:ascii="宋体" w:hAnsi="宋体" w:eastAsia="宋体" w:cs="宋体"/>
          <w:sz w:val="24"/>
          <w:szCs w:val="24"/>
          <w:lang w:eastAsia="zh-CN"/>
        </w:rPr>
        <w:t>。</w:t>
      </w:r>
    </w:p>
    <w:p w14:paraId="4CFC1A3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▲2.4.系统支持根据医生提交至药师处的中药处方智能检索近似经典方剂供药师参考</w:t>
      </w:r>
      <w:r>
        <w:rPr>
          <w:rFonts w:hint="eastAsia" w:ascii="宋体" w:hAnsi="宋体" w:eastAsia="宋体" w:cs="宋体"/>
          <w:sz w:val="24"/>
          <w:szCs w:val="24"/>
          <w:lang w:eastAsia="zh-CN"/>
        </w:rPr>
        <w:t>。</w:t>
      </w:r>
    </w:p>
    <w:p w14:paraId="67119D6A">
      <w:pPr>
        <w:numPr>
          <w:ilvl w:val="255"/>
          <w:numId w:val="0"/>
        </w:numPr>
        <w:spacing w:line="300" w:lineRule="auto"/>
        <w:ind w:firstLine="456"/>
        <w:rPr>
          <w:rFonts w:hint="eastAsia" w:ascii="宋体" w:hAnsi="宋体" w:eastAsia="宋体" w:cs="宋体"/>
          <w:sz w:val="24"/>
          <w:szCs w:val="24"/>
        </w:rPr>
      </w:pPr>
      <w:r>
        <w:rPr>
          <w:rFonts w:hint="eastAsia" w:ascii="宋体" w:hAnsi="宋体" w:eastAsia="宋体" w:cs="宋体"/>
          <w:sz w:val="24"/>
          <w:szCs w:val="24"/>
        </w:rPr>
        <w:t>2.5系统可结合患者在区域内已接入的其他医疗机构的处方、医嘱，实现超多日用量、相互作用、重复用药、药物过敏等用药问题的跨院区审查</w:t>
      </w:r>
      <w:r>
        <w:rPr>
          <w:rFonts w:hint="eastAsia" w:ascii="宋体" w:hAnsi="宋体" w:eastAsia="宋体" w:cs="宋体"/>
          <w:sz w:val="24"/>
          <w:szCs w:val="24"/>
          <w:lang w:eastAsia="zh-CN"/>
        </w:rPr>
        <w:t>。</w:t>
      </w:r>
    </w:p>
    <w:p w14:paraId="3EE4A3B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2.6 审方配置</w:t>
      </w:r>
    </w:p>
    <w:p w14:paraId="10C54ED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可设置双审方、单审方，在需要时隐藏医生、药师信息</w:t>
      </w:r>
      <w:r>
        <w:rPr>
          <w:rFonts w:hint="eastAsia" w:ascii="宋体" w:hAnsi="宋体" w:eastAsia="宋体" w:cs="宋体"/>
          <w:sz w:val="24"/>
          <w:szCs w:val="24"/>
          <w:lang w:eastAsia="zh-CN"/>
        </w:rPr>
        <w:t>。</w:t>
      </w:r>
    </w:p>
    <w:p w14:paraId="181C436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2.7审方操作</w:t>
      </w:r>
    </w:p>
    <w:p w14:paraId="057F12A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支持展示患者基本信息、过敏史、手术信息、检验检查信息、会诊信息、病程记录等，支持显示检验结果异常项，支持查看患者详细电子病历信息；</w:t>
      </w:r>
    </w:p>
    <w:p w14:paraId="443996B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药师在审查界面的同一界面内可查询当前患者的其他处方；</w:t>
      </w:r>
    </w:p>
    <w:p w14:paraId="6172D9A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支持一体化查看当前处方 / 医嘱历史干预记录 (如医生操作、用药理由等) 及历史修改版本信息；</w:t>
      </w:r>
    </w:p>
    <w:p w14:paraId="6DDAB78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支持移动审方：提供审查 APP，支持药师在手机上进行实时审方操作</w:t>
      </w:r>
      <w:r>
        <w:rPr>
          <w:rFonts w:hint="eastAsia" w:ascii="宋体" w:hAnsi="宋体" w:eastAsia="宋体" w:cs="宋体"/>
          <w:sz w:val="24"/>
          <w:szCs w:val="24"/>
          <w:lang w:eastAsia="zh-CN"/>
        </w:rPr>
        <w:t>。</w:t>
      </w:r>
    </w:p>
    <w:p w14:paraId="000EF19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2.8质量评价及数据监控</w:t>
      </w:r>
    </w:p>
    <w:p w14:paraId="313D2E2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高级别药师可对较低级别药师已完成的审核任务进行评价打分。系统可提供多种抽样条件和抽样方式进行任务筛选，评价人可对每个任务输入审核意见并打分，并可自动生成评分表，支持导出</w:t>
      </w:r>
      <w:r>
        <w:rPr>
          <w:rFonts w:hint="eastAsia" w:ascii="宋体" w:hAnsi="宋体" w:eastAsia="宋体" w:cs="宋体"/>
          <w:sz w:val="24"/>
          <w:szCs w:val="24"/>
          <w:lang w:eastAsia="zh-CN"/>
        </w:rPr>
        <w:t>。</w:t>
      </w:r>
      <w:r>
        <w:rPr>
          <w:rFonts w:hint="eastAsia" w:ascii="宋体" w:hAnsi="宋体" w:eastAsia="宋体" w:cs="宋体"/>
          <w:sz w:val="24"/>
          <w:szCs w:val="24"/>
        </w:rPr>
        <w:t>（需进行演示）</w:t>
      </w:r>
    </w:p>
    <w:p w14:paraId="06067048">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区域处方点评系统</w:t>
      </w:r>
    </w:p>
    <w:p w14:paraId="74BC7FF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 区域管理</w:t>
      </w:r>
      <w:r>
        <w:rPr>
          <w:rFonts w:hint="eastAsia" w:ascii="宋体" w:hAnsi="宋体" w:eastAsia="宋体" w:cs="宋体"/>
          <w:sz w:val="24"/>
          <w:szCs w:val="24"/>
        </w:rPr>
        <w:tab/>
      </w:r>
    </w:p>
    <w:p w14:paraId="62B4CB3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应结合《医院处方点评管理规范（试行）》、《处方管理办法》、《处方点评监测网工作手册》、《三级综合医院评审标准实施细则》、《药事管理专业医疗质量控制指标》、《抗菌药物临床指导原则》等处方点评相关政策要求，实现对医院处方（医嘱）的电子化评价功能。应支持全区共用一套规则，系统应可抽取单个医疗机构或多个医疗机构的处方或医嘱点评，也可抽取专项药品进行专项化点评；点评过程中系统应可将点评任务分配给区域中不同医疗机构的药师，系统应支持点评人在遇到点评问题时可向上级医院的药师进行求助；点评完成后，系统应可以按照区域中的医疗机构生成点评结果的统计。</w:t>
      </w:r>
    </w:p>
    <w:p w14:paraId="1C2A41F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3.2系统应能对处方（医嘱）用药进行剂量审查、累积剂量审查、超多日用量审查、给药途径审查、相互作用审查、体外注射剂配伍审查、配伍浓度审查、钾离子监测、TPN处方审查、门诊输液审查、禁忌症审查、不良反应审查、特殊人群（儿童、成人、老人、妊娠、哺乳、性别）用药审查、重复用药审查、适应症审查、药物过敏审查、药物检验值审查、规范性审查、医保审查、越权用药审查、围术期用药审查，并提供审查规则自定义功能，使得点评结果更加符合医院实际用药情况。</w:t>
      </w:r>
    </w:p>
    <w:p w14:paraId="6C9E3F5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3.3系统应能实现从抽样、分配、求助、专家复核、反馈医生、医生申述、药师审结的点评闭环管理，▲并在点评求助、复核完毕、反馈医生、医生申述的环节进行消息提示。（需进行演示）</w:t>
      </w:r>
    </w:p>
    <w:p w14:paraId="105509F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3.4系统应支持点评任务随机分配、按管辖科室、药品分配，点评人只能查看自己相关的任务，无权查看他人的任务信息。</w:t>
      </w:r>
    </w:p>
    <w:p w14:paraId="1CDCA92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3.5系统应提供双盲点评，在需要时隐藏医生、药师的姓名。</w:t>
      </w:r>
    </w:p>
    <w:p w14:paraId="3D5E794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3.6系统应提供逾期设置，规定医生处理点评结果的时间期限。</w:t>
      </w:r>
    </w:p>
    <w:p w14:paraId="02B75CE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3.7系统应能自定义点评模板及点评点，实现个性化点评需求。</w:t>
      </w:r>
    </w:p>
    <w:p w14:paraId="077FBE3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3.8系统应能自动生成住院患者用药联用图，直观查看药品使用（联用）情况，联用图支持自定义。</w:t>
      </w:r>
    </w:p>
    <w:p w14:paraId="1442225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3.9系统应能自动生成住院患者时序图，包括患者体征（体温、脉搏、呼吸、疼痛评分、血糖、出/入量、血压）、用药、手术和检验信息，时序图支持自定义。</w:t>
      </w:r>
    </w:p>
    <w:p w14:paraId="5BBE4E0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3.10系统应能高亮显示被点评药品，当选择某一（类）药品时，将其成组药品一并显示。</w:t>
      </w:r>
    </w:p>
    <w:p w14:paraId="3BA15EB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3.11系统应支持处方（医嘱）批量点评，应能将点评结果反馈医生或科主任，医生（工作站）可直接填写申述理由或确认，无需登录系统查看点评结果。</w:t>
      </w:r>
    </w:p>
    <w:p w14:paraId="24432D8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3.12系统应支持增补处方或病人，将需要的处方或病人批量添加至点评任务中。</w:t>
      </w:r>
    </w:p>
    <w:p w14:paraId="503ACE6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3.13系统应能自动生成点评工作表、点评结果统计表、存在问题统计表、点评结果差异明细表、点评问题明细表。点评相关报表支持自定义显示和导出字段。</w:t>
      </w:r>
    </w:p>
    <w:p w14:paraId="62B5AE7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3.14系统应能自动生成个人任务完成情况表、点评任务完成情况表、医生反馈统计表、点评结果汇总统计表等管理报表。</w:t>
      </w:r>
    </w:p>
    <w:p w14:paraId="7970BF1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3.15系统应包含以下点评模块：</w:t>
      </w:r>
    </w:p>
    <w:p w14:paraId="76553B3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（1）全处方点评,含处方书写规范性、药品用法用量、适应症、给药途径、相互作用等点评点</w:t>
      </w:r>
      <w:r>
        <w:rPr>
          <w:rFonts w:hint="eastAsia" w:ascii="宋体" w:hAnsi="宋体" w:eastAsia="宋体" w:cs="宋体"/>
          <w:sz w:val="24"/>
          <w:szCs w:val="24"/>
          <w:lang w:eastAsia="zh-CN"/>
        </w:rPr>
        <w:t>。</w:t>
      </w:r>
    </w:p>
    <w:p w14:paraId="3DAE2DE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（2）全医嘱点评，含药品用法用量、适应症、给药途径、相互作用等点评点</w:t>
      </w:r>
      <w:r>
        <w:rPr>
          <w:rFonts w:hint="eastAsia" w:ascii="宋体" w:hAnsi="宋体" w:eastAsia="宋体" w:cs="宋体"/>
          <w:sz w:val="24"/>
          <w:szCs w:val="24"/>
          <w:lang w:eastAsia="zh-CN"/>
        </w:rPr>
        <w:t>。</w:t>
      </w:r>
    </w:p>
    <w:p w14:paraId="6853D6C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（3）门急诊/住院抗菌药物专项点评，含药物选择不合适、无适应症、药物选择不符合抗菌药物分级管理、联合用药不适宜、更换药物不适宜、用药效果欠佳等点评点</w:t>
      </w:r>
      <w:r>
        <w:rPr>
          <w:rFonts w:hint="eastAsia" w:ascii="宋体" w:hAnsi="宋体" w:eastAsia="宋体" w:cs="宋体"/>
          <w:sz w:val="24"/>
          <w:szCs w:val="24"/>
          <w:lang w:eastAsia="zh-CN"/>
        </w:rPr>
        <w:t>。</w:t>
      </w:r>
    </w:p>
    <w:p w14:paraId="73D775A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（4）围手术期抗菌药物专项点评，含选药不合理、预防药物更换不合理、术前给药时机不合理、术中用药不合理、手术预防用药疗程不合理等点评点</w:t>
      </w:r>
      <w:r>
        <w:rPr>
          <w:rFonts w:hint="eastAsia" w:ascii="宋体" w:hAnsi="宋体" w:eastAsia="宋体" w:cs="宋体"/>
          <w:sz w:val="24"/>
          <w:szCs w:val="24"/>
          <w:lang w:eastAsia="zh-CN"/>
        </w:rPr>
        <w:t>。</w:t>
      </w:r>
    </w:p>
    <w:p w14:paraId="5329BD5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（5）门急诊/住院专项药品点评，可点评任意（类）药品</w:t>
      </w:r>
      <w:r>
        <w:rPr>
          <w:rFonts w:hint="eastAsia" w:ascii="宋体" w:hAnsi="宋体" w:eastAsia="宋体" w:cs="宋体"/>
          <w:sz w:val="24"/>
          <w:szCs w:val="24"/>
          <w:lang w:eastAsia="zh-CN"/>
        </w:rPr>
        <w:t>。</w:t>
      </w:r>
    </w:p>
    <w:p w14:paraId="14A7893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（6）门急诊/住院抗肿瘤药物专项点评，含医师超权限使用抗肿瘤药、用药顺序错误、化疗方案不合理等点评点</w:t>
      </w:r>
      <w:r>
        <w:rPr>
          <w:rFonts w:hint="eastAsia" w:ascii="宋体" w:hAnsi="宋体" w:eastAsia="宋体" w:cs="宋体"/>
          <w:sz w:val="24"/>
          <w:szCs w:val="24"/>
          <w:lang w:eastAsia="zh-CN"/>
        </w:rPr>
        <w:t>。</w:t>
      </w:r>
    </w:p>
    <w:p w14:paraId="30A099A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（7）住院病人特殊级抗菌药物专项点评，含溶媒适宜性、用法用量适宜性、治疗疗程适宜性、越权用药、送检/药敏情况、用药申请/会诊等点评点</w:t>
      </w:r>
      <w:r>
        <w:rPr>
          <w:rFonts w:hint="eastAsia" w:ascii="宋体" w:hAnsi="宋体" w:eastAsia="宋体" w:cs="宋体"/>
          <w:sz w:val="24"/>
          <w:szCs w:val="24"/>
          <w:lang w:eastAsia="zh-CN"/>
        </w:rPr>
        <w:t>。</w:t>
      </w:r>
    </w:p>
    <w:p w14:paraId="0856481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（8）住院病人碳青霉烯类及替加环素专项点评，应能针对适应证、品种选择、用法用量及配伍、病原学及疗效评估、用药权限与会诊等评价项目进行人工评价及自动扣分</w:t>
      </w:r>
      <w:r>
        <w:rPr>
          <w:rFonts w:hint="eastAsia" w:ascii="宋体" w:hAnsi="宋体" w:eastAsia="宋体" w:cs="宋体"/>
          <w:sz w:val="24"/>
          <w:szCs w:val="24"/>
          <w:lang w:eastAsia="zh-CN"/>
        </w:rPr>
        <w:t>。</w:t>
      </w:r>
    </w:p>
    <w:p w14:paraId="57D4146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（9）住院病人人血白蛋白专项点评，含适应症、遴选药品、剂型、给药途径、用法用量、联合用药等点评点</w:t>
      </w:r>
      <w:r>
        <w:rPr>
          <w:rFonts w:hint="eastAsia" w:ascii="宋体" w:hAnsi="宋体" w:eastAsia="宋体" w:cs="宋体"/>
          <w:sz w:val="24"/>
          <w:szCs w:val="24"/>
          <w:lang w:eastAsia="zh-CN"/>
        </w:rPr>
        <w:t>。</w:t>
      </w:r>
    </w:p>
    <w:p w14:paraId="7498806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10）门（急）诊/住院中药饮片专项点评，含超过规定味数、未按照君臣佐使顺序书写、用药与辩证不符、中药配伍禁忌、联用不适宜或者不良相互作用、未按要求标注药物调剂和煎煮特殊要求、开具毒麻饮片未执行国家有关规定等点评点</w:t>
      </w:r>
      <w:r>
        <w:rPr>
          <w:rFonts w:hint="eastAsia" w:ascii="宋体" w:hAnsi="宋体" w:eastAsia="宋体" w:cs="宋体"/>
          <w:sz w:val="24"/>
          <w:szCs w:val="24"/>
          <w:lang w:eastAsia="zh-CN"/>
        </w:rPr>
        <w:t>。</w:t>
      </w:r>
    </w:p>
    <w:p w14:paraId="09836E7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（11）门（急）诊中成药处方专项点评，含填写规范、用法用量、超说明书用药、联合用药等点评点</w:t>
      </w:r>
      <w:r>
        <w:rPr>
          <w:rFonts w:hint="eastAsia" w:ascii="宋体" w:hAnsi="宋体" w:eastAsia="宋体" w:cs="宋体"/>
          <w:sz w:val="24"/>
          <w:szCs w:val="24"/>
          <w:lang w:eastAsia="zh-CN"/>
        </w:rPr>
        <w:t>。</w:t>
      </w:r>
    </w:p>
    <w:p w14:paraId="17C70A1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（12）用药排名医嘱点评，应能对门急诊/住院使用金额、数量或DDDs排名前N位的科室和医生开具的处方（医嘱）进行点评</w:t>
      </w:r>
      <w:r>
        <w:rPr>
          <w:rFonts w:hint="eastAsia" w:ascii="宋体" w:hAnsi="宋体" w:eastAsia="宋体" w:cs="宋体"/>
          <w:sz w:val="24"/>
          <w:szCs w:val="24"/>
          <w:lang w:eastAsia="zh-CN"/>
        </w:rPr>
        <w:t>。</w:t>
      </w:r>
    </w:p>
    <w:p w14:paraId="108CA1B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（13）住院用药医嘱点评，含适应症、遴选药品、剂型、给药途径、用法用量、联合用药等点评点</w:t>
      </w:r>
      <w:r>
        <w:rPr>
          <w:rFonts w:hint="eastAsia" w:ascii="宋体" w:hAnsi="宋体" w:eastAsia="宋体" w:cs="宋体"/>
          <w:sz w:val="24"/>
          <w:szCs w:val="24"/>
          <w:lang w:eastAsia="zh-CN"/>
        </w:rPr>
        <w:t>。</w:t>
      </w:r>
    </w:p>
    <w:p w14:paraId="4C4C7F9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（14）出院带药医嘱点评，含适应症、遴选药品、剂型、给药途径、用法用量、联合用药等点评点</w:t>
      </w:r>
      <w:r>
        <w:rPr>
          <w:rFonts w:hint="eastAsia" w:ascii="宋体" w:hAnsi="宋体" w:eastAsia="宋体" w:cs="宋体"/>
          <w:sz w:val="24"/>
          <w:szCs w:val="24"/>
          <w:lang w:eastAsia="zh-CN"/>
        </w:rPr>
        <w:t>。</w:t>
      </w:r>
    </w:p>
    <w:p w14:paraId="01C3D93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（15）门（急）诊基本药物专项点评，含用药方案与《国家基本药物临床应用指南》不一致等点评点</w:t>
      </w:r>
      <w:r>
        <w:rPr>
          <w:rFonts w:hint="eastAsia" w:ascii="宋体" w:hAnsi="宋体" w:eastAsia="宋体" w:cs="宋体"/>
          <w:sz w:val="24"/>
          <w:szCs w:val="24"/>
          <w:lang w:eastAsia="zh-CN"/>
        </w:rPr>
        <w:t>。</w:t>
      </w:r>
    </w:p>
    <w:p w14:paraId="2C3EE41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16）住院病人肠外营养专项点评，可自动计算热量、补液量、氮量、糖/脂肪乳/氨基酸总量、氨基酸供给量、糖脂比、热氮比、丙氨酰谷氨酰胺用量占比、钠/钾/钙/镁/磷/电解质一价及二价阳离子浓度、渗透压摩尔浓度等指标</w:t>
      </w:r>
      <w:r>
        <w:rPr>
          <w:rFonts w:hint="eastAsia" w:ascii="宋体" w:hAnsi="宋体" w:eastAsia="宋体" w:cs="宋体"/>
          <w:sz w:val="24"/>
          <w:szCs w:val="24"/>
          <w:lang w:eastAsia="zh-CN"/>
        </w:rPr>
        <w:t>。</w:t>
      </w:r>
    </w:p>
    <w:p w14:paraId="263AB38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（17）住院病人自备药专项点评，应能筛选自备药医嘱进行人工点评</w:t>
      </w:r>
      <w:r>
        <w:rPr>
          <w:rFonts w:hint="eastAsia" w:ascii="宋体" w:hAnsi="宋体" w:eastAsia="宋体" w:cs="宋体"/>
          <w:sz w:val="24"/>
          <w:szCs w:val="24"/>
          <w:lang w:eastAsia="zh-CN"/>
        </w:rPr>
        <w:t>。</w:t>
      </w:r>
    </w:p>
    <w:p w14:paraId="6D5F062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（18）门（急）诊外延处方点评，含处方书写规范性、用法用量、适应症、给药途径、相互作用等点评点</w:t>
      </w:r>
      <w:r>
        <w:rPr>
          <w:rFonts w:hint="eastAsia" w:ascii="宋体" w:hAnsi="宋体" w:eastAsia="宋体" w:cs="宋体"/>
          <w:sz w:val="24"/>
          <w:szCs w:val="24"/>
          <w:lang w:eastAsia="zh-CN"/>
        </w:rPr>
        <w:t>。</w:t>
      </w:r>
    </w:p>
    <w:p w14:paraId="78FD9C95">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药品指标分析功能要求</w:t>
      </w:r>
    </w:p>
    <w:p w14:paraId="3FB08B6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系统根据《三级综合医院评审标准实施细则》、《药事管理专业医疗质量控制指标》、《抗菌药物临床应用管理评价指标及要求》等相关规定的要求，提供对医院合理用药指标及药品使用情况的信息化统计分析。</w:t>
      </w:r>
    </w:p>
    <w:p w14:paraId="201763D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系统利用图文并茂的形式，通过趋势分析、构成分析、主从分析、排名分析等分析手段，提供大量统计分析报表。</w:t>
      </w:r>
    </w:p>
    <w:p w14:paraId="433F133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系统提供常用报表收藏报表人工填写功能。</w:t>
      </w:r>
    </w:p>
    <w:p w14:paraId="7804305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系统提供报表示例模板，在生成报表前了解统计内容。</w:t>
      </w:r>
    </w:p>
    <w:p w14:paraId="47B76DB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系统提供自定义显示和导出报表功能。</w:t>
      </w:r>
    </w:p>
    <w:p w14:paraId="40B135C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系统提供关键字检索功能，便于快速查询指标。</w:t>
      </w:r>
    </w:p>
    <w:p w14:paraId="344EBF3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4.1合理用药指标</w:t>
      </w:r>
    </w:p>
    <w:p w14:paraId="388077A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(1)指标统计</w:t>
      </w:r>
    </w:p>
    <w:p w14:paraId="065FF4D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 xml:space="preserve"> 1)系统提供合理用药相关指标的统计，包括：平均用药品种数、注射剂使用率、特殊级抗菌药物使用率、预防使用抗菌药物病人的百分率、治疗使用抗菌药物病人的百分率、抗菌药物患者使用前病原送检率、X类切口手术预防用抗菌药物百分率、X类切口手术术前0.5-1.0小时预防给药百分率、X类切口手术患者预防用抗菌药物时间＜24h、＞24h且≤48h、＞48h且≤72h、＞72h百分率等。</w:t>
      </w:r>
    </w:p>
    <w:p w14:paraId="2D1C854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 xml:space="preserve"> 2)系统能将上述合理用药指标重新组合并生成新的报表。</w:t>
      </w:r>
    </w:p>
    <w:p w14:paraId="4DCCFC4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 xml:space="preserve"> 3)系统能按全院、大科室、科室、医疗组、医生分别进行统计。</w:t>
      </w:r>
    </w:p>
    <w:p w14:paraId="00D9372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(2)趋势分析</w:t>
      </w:r>
    </w:p>
    <w:p w14:paraId="6DA2D4A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系统能实现抗菌药物使用强度、抗菌药物使用率、抗菌药物使用量、I类切口手术预防用抗菌药物百分率、国家基本药物药占比同比、环比分析。</w:t>
      </w:r>
    </w:p>
    <w:p w14:paraId="6EB9A03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4.2自定义合理用药指标</w:t>
      </w:r>
    </w:p>
    <w:p w14:paraId="73F9F80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▲系统提供自定义合理用药指标功能，可自行设置指标分子、分母进行统计。自定义要素包含药品、治疗金额、药品金额、处方数、病人数、药品品种数、使用量DDDs、人天数、用药医嘱条目数。</w:t>
      </w:r>
    </w:p>
    <w:p w14:paraId="77E0646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4.3门急诊/住院病人药品使用情况自定义统计</w:t>
      </w:r>
    </w:p>
    <w:p w14:paraId="0B0966B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系统提供门急诊/住院病人药品使用情况自定义统计</w:t>
      </w:r>
      <w:r>
        <w:rPr>
          <w:rFonts w:hint="eastAsia" w:ascii="宋体" w:hAnsi="宋体" w:eastAsia="宋体" w:cs="宋体"/>
          <w:sz w:val="24"/>
          <w:szCs w:val="24"/>
          <w:lang w:eastAsia="zh-CN"/>
        </w:rPr>
        <w:t>。</w:t>
      </w:r>
    </w:p>
    <w:p w14:paraId="62BDB31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4.4药品使用强度统计</w:t>
      </w:r>
    </w:p>
    <w:p w14:paraId="7E8AA65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(1)药品使用强度统计</w:t>
      </w:r>
    </w:p>
    <w:p w14:paraId="16630B0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系统能分别按出院时间（费用使用量）、收费时间（费用使用量）和出院时间（医嘱使用量）统计使用强度。可选择排除结核用药、特殊病人。</w:t>
      </w:r>
    </w:p>
    <w:p w14:paraId="3BF0193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(2)药品使用强度趋势变化分析</w:t>
      </w:r>
    </w:p>
    <w:p w14:paraId="0E2F651A">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系统能分别按月度（自然月或非自然月）、季度、半年和年度统计药品使用强度及浮动率。</w:t>
      </w:r>
    </w:p>
    <w:p w14:paraId="689A433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4.5药品消耗情况及DDDs统计</w:t>
      </w:r>
    </w:p>
    <w:p w14:paraId="38BF1E0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(1)药品金额、数量及DDDs使用量统计</w:t>
      </w:r>
      <w:r>
        <w:rPr>
          <w:rFonts w:hint="eastAsia" w:ascii="宋体" w:hAnsi="宋体" w:eastAsia="宋体" w:cs="宋体"/>
          <w:sz w:val="24"/>
          <w:szCs w:val="24"/>
          <w:lang w:eastAsia="zh-CN"/>
        </w:rPr>
        <w:t>。</w:t>
      </w:r>
    </w:p>
    <w:p w14:paraId="4D80BCE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(2)药品金额、数量及DDDs趋势变化分析，系统应能分别按月度、季度、半年和年度统计药品金额、数量、DDDs及浮动率，应能分别提供药品金额、数量、DDDs同比环比分析</w:t>
      </w:r>
      <w:r>
        <w:rPr>
          <w:rFonts w:hint="eastAsia" w:ascii="宋体" w:hAnsi="宋体" w:eastAsia="宋体" w:cs="宋体"/>
          <w:sz w:val="24"/>
          <w:szCs w:val="24"/>
          <w:lang w:eastAsia="zh-CN"/>
        </w:rPr>
        <w:t>。</w:t>
      </w:r>
    </w:p>
    <w:p w14:paraId="75E78B9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(3)药品金额、数量统计并排名</w:t>
      </w:r>
      <w:r>
        <w:rPr>
          <w:rFonts w:hint="eastAsia" w:ascii="宋体" w:hAnsi="宋体" w:eastAsia="宋体" w:cs="宋体"/>
          <w:sz w:val="24"/>
          <w:szCs w:val="24"/>
          <w:lang w:eastAsia="zh-CN"/>
        </w:rPr>
        <w:t>。</w:t>
      </w:r>
    </w:p>
    <w:p w14:paraId="470C373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4.6药品使用人次统计</w:t>
      </w:r>
    </w:p>
    <w:p w14:paraId="1434BA7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系统可分别按医院、科室、医疗组、医生提供药品使用人次统计表。</w:t>
      </w:r>
    </w:p>
    <w:p w14:paraId="2F7CD8F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4.7药品品种/费用构成统计</w:t>
      </w:r>
    </w:p>
    <w:p w14:paraId="5A07E3C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系统提供药品品种/费用构成相关统计</w:t>
      </w:r>
      <w:r>
        <w:rPr>
          <w:rFonts w:hint="eastAsia" w:ascii="宋体" w:hAnsi="宋体" w:eastAsia="宋体" w:cs="宋体"/>
          <w:sz w:val="24"/>
          <w:szCs w:val="24"/>
          <w:lang w:eastAsia="zh-CN"/>
        </w:rPr>
        <w:t>。</w:t>
      </w:r>
    </w:p>
    <w:p w14:paraId="4DB67E2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4.8门（急）诊大处方分析</w:t>
      </w:r>
    </w:p>
    <w:p w14:paraId="779C6FE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系统提供门（急）诊大处方情况统计，可实现超N种处方、超N元处方、超N天处方、超N次就诊患者统计</w:t>
      </w:r>
      <w:r>
        <w:rPr>
          <w:rFonts w:hint="eastAsia" w:ascii="宋体" w:hAnsi="宋体" w:eastAsia="宋体" w:cs="宋体"/>
          <w:sz w:val="24"/>
          <w:szCs w:val="24"/>
          <w:lang w:eastAsia="zh-CN"/>
        </w:rPr>
        <w:t>。</w:t>
      </w:r>
    </w:p>
    <w:p w14:paraId="4C1DB78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4.9注射药物使用情况统计</w:t>
      </w:r>
    </w:p>
    <w:p w14:paraId="75A247E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系统提供注射剂/大容量注射液/静脉输液使用情况相关统计</w:t>
      </w:r>
      <w:r>
        <w:rPr>
          <w:rFonts w:hint="eastAsia" w:ascii="宋体" w:hAnsi="宋体" w:eastAsia="宋体" w:cs="宋体"/>
          <w:sz w:val="24"/>
          <w:szCs w:val="24"/>
          <w:lang w:eastAsia="zh-CN"/>
        </w:rPr>
        <w:t>。</w:t>
      </w:r>
    </w:p>
    <w:p w14:paraId="6592A9F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4.10抗菌药物使用清单及统计</w:t>
      </w:r>
    </w:p>
    <w:p w14:paraId="6997B75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系统提供抗菌药物使用清单及统计，可实现门（急）诊/出院病人及围术期抗菌药物使用情况、送检率（可自定义送检项目）、越权用药情况、抗菌药物使用情况分析等统计</w:t>
      </w:r>
      <w:r>
        <w:rPr>
          <w:rFonts w:hint="eastAsia" w:ascii="宋体" w:hAnsi="宋体" w:eastAsia="宋体" w:cs="宋体"/>
          <w:sz w:val="24"/>
          <w:szCs w:val="24"/>
          <w:lang w:eastAsia="zh-CN"/>
        </w:rPr>
        <w:t>。</w:t>
      </w:r>
    </w:p>
    <w:p w14:paraId="3605933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4.11基本药物使用清单及统计</w:t>
      </w:r>
    </w:p>
    <w:p w14:paraId="135A494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系统提供基本药物使用清单及统计，可实现基药品种数、基物品种总数所占比例等统计</w:t>
      </w:r>
      <w:r>
        <w:rPr>
          <w:rFonts w:hint="eastAsia" w:ascii="宋体" w:hAnsi="宋体" w:eastAsia="宋体" w:cs="宋体"/>
          <w:sz w:val="24"/>
          <w:szCs w:val="24"/>
          <w:lang w:eastAsia="zh-CN"/>
        </w:rPr>
        <w:t>。</w:t>
      </w:r>
    </w:p>
    <w:p w14:paraId="6E4E5209">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4.12重点监控药物使用情况统计</w:t>
      </w:r>
    </w:p>
    <w:p w14:paraId="670337C8">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系统可提供重点监控合理用药药品监测指标统计</w:t>
      </w:r>
      <w:r>
        <w:rPr>
          <w:rFonts w:hint="eastAsia" w:ascii="宋体" w:hAnsi="宋体" w:eastAsia="宋体" w:cs="宋体"/>
          <w:sz w:val="24"/>
          <w:szCs w:val="24"/>
          <w:lang w:eastAsia="zh-CN"/>
        </w:rPr>
        <w:t>。</w:t>
      </w:r>
    </w:p>
    <w:p w14:paraId="425CE17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4.13麻精药品管理处方登记表</w:t>
      </w:r>
    </w:p>
    <w:p w14:paraId="1EE61D9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系统提供麻精药品管理处方登记表</w:t>
      </w:r>
      <w:r>
        <w:rPr>
          <w:rFonts w:hint="eastAsia" w:ascii="宋体" w:hAnsi="宋体" w:eastAsia="宋体" w:cs="宋体"/>
          <w:sz w:val="24"/>
          <w:szCs w:val="24"/>
          <w:lang w:eastAsia="zh-CN"/>
        </w:rPr>
        <w:t>。</w:t>
      </w:r>
    </w:p>
    <w:p w14:paraId="50DCC67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4.14▲国家三级公立医院绩效考核</w:t>
      </w:r>
    </w:p>
    <w:p w14:paraId="2C9412E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系统提供国家三级公立医院绩效考核指标统计，包括：</w:t>
      </w:r>
    </w:p>
    <w:p w14:paraId="3D5BAB8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(1)国家三级公立医院绩效考核评价指标</w:t>
      </w:r>
      <w:r>
        <w:rPr>
          <w:rFonts w:hint="eastAsia" w:ascii="宋体" w:hAnsi="宋体" w:eastAsia="宋体" w:cs="宋体"/>
          <w:sz w:val="24"/>
          <w:szCs w:val="24"/>
          <w:lang w:eastAsia="zh-CN"/>
        </w:rPr>
        <w:t>；</w:t>
      </w:r>
    </w:p>
    <w:p w14:paraId="74E9AC7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(2)国家三级公立医院绩效评价指标科室统计表</w:t>
      </w:r>
      <w:r>
        <w:rPr>
          <w:rFonts w:hint="eastAsia" w:ascii="宋体" w:hAnsi="宋体" w:eastAsia="宋体" w:cs="宋体"/>
          <w:sz w:val="24"/>
          <w:szCs w:val="24"/>
          <w:lang w:eastAsia="zh-CN"/>
        </w:rPr>
        <w:t>；</w:t>
      </w:r>
    </w:p>
    <w:p w14:paraId="39030F5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(3)国家三级公立中医医院绩效考核评价指标</w:t>
      </w:r>
      <w:r>
        <w:rPr>
          <w:rFonts w:hint="eastAsia" w:ascii="宋体" w:hAnsi="宋体" w:eastAsia="宋体" w:cs="宋体"/>
          <w:sz w:val="24"/>
          <w:szCs w:val="24"/>
          <w:lang w:eastAsia="zh-CN"/>
        </w:rPr>
        <w:t>；</w:t>
      </w:r>
    </w:p>
    <w:p w14:paraId="7B14709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(4)剔除药品使用情况统计表</w:t>
      </w:r>
      <w:r>
        <w:rPr>
          <w:rFonts w:hint="eastAsia" w:ascii="宋体" w:hAnsi="宋体" w:eastAsia="宋体" w:cs="宋体"/>
          <w:sz w:val="24"/>
          <w:szCs w:val="24"/>
          <w:lang w:eastAsia="zh-CN"/>
        </w:rPr>
        <w:t>；</w:t>
      </w:r>
    </w:p>
    <w:p w14:paraId="24F7DF5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(5)罕见病用药情况统计表</w:t>
      </w:r>
      <w:r>
        <w:rPr>
          <w:rFonts w:hint="eastAsia" w:ascii="宋体" w:hAnsi="宋体" w:eastAsia="宋体" w:cs="宋体"/>
          <w:sz w:val="24"/>
          <w:szCs w:val="24"/>
          <w:lang w:eastAsia="zh-CN"/>
        </w:rPr>
        <w:t>。</w:t>
      </w:r>
    </w:p>
    <w:p w14:paraId="46CF18B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4.15药事管理专业医疗质量控制指标</w:t>
      </w:r>
    </w:p>
    <w:p w14:paraId="07C9AD8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系统可提供药事管理专业医疗质量控制指标统计</w:t>
      </w:r>
    </w:p>
    <w:p w14:paraId="688EB7B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4.16▲抗肿瘤药物临床应用情况调查表</w:t>
      </w:r>
    </w:p>
    <w:p w14:paraId="6F2ED2B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系统提供抗肿瘤药物临床应用情况调查表</w:t>
      </w:r>
    </w:p>
    <w:p w14:paraId="1743B83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4.17全国合理用药监测系统数据统计</w:t>
      </w:r>
    </w:p>
    <w:p w14:paraId="41DAC41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系统提供全国合理用药监测系统数据统计，包括药物临床用药监测信息、处方/医嘱监测信息。</w:t>
      </w:r>
    </w:p>
    <w:p w14:paraId="53DF52D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4.18▲全国抗菌药物临床应用管理数据统计</w:t>
      </w:r>
    </w:p>
    <w:p w14:paraId="5B81725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系统提供全国抗菌药物临床应用管理数据统计：</w:t>
      </w:r>
    </w:p>
    <w:p w14:paraId="64F7288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(1)医疗机构碳青霉烯类抗菌药物及替加环素使用情况统计</w:t>
      </w:r>
    </w:p>
    <w:p w14:paraId="65D619F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(2)医疗机构含酶抑制剂复合制剂抗菌药物使用情况统计</w:t>
      </w:r>
    </w:p>
    <w:p w14:paraId="0DDDC8D2">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(3)抗菌药物临床应用管理评价指标及要求统计</w:t>
      </w:r>
    </w:p>
    <w:p w14:paraId="6A52362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4.19▲国家卫生健康委抗菌药物临床应用管理</w:t>
      </w:r>
    </w:p>
    <w:p w14:paraId="7A18A1D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系统提供国家卫生健康委抗菌药物临床应用管理数据统计：</w:t>
      </w:r>
    </w:p>
    <w:p w14:paraId="77066DD3">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(1)医疗机构一般情况调查</w:t>
      </w:r>
      <w:r>
        <w:rPr>
          <w:rFonts w:hint="eastAsia" w:ascii="宋体" w:hAnsi="宋体" w:eastAsia="宋体" w:cs="宋体"/>
          <w:sz w:val="24"/>
          <w:szCs w:val="24"/>
          <w:lang w:eastAsia="zh-CN"/>
        </w:rPr>
        <w:t>；</w:t>
      </w:r>
    </w:p>
    <w:p w14:paraId="140F5FA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(2)临床科室指标持续改进情况统计表</w:t>
      </w:r>
      <w:r>
        <w:rPr>
          <w:rFonts w:hint="eastAsia" w:ascii="宋体" w:hAnsi="宋体" w:eastAsia="宋体" w:cs="宋体"/>
          <w:sz w:val="24"/>
          <w:szCs w:val="24"/>
          <w:lang w:eastAsia="zh-CN"/>
        </w:rPr>
        <w:t>；</w:t>
      </w:r>
    </w:p>
    <w:p w14:paraId="41BCE14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(3)全院使用量排名前十位抗菌药物</w:t>
      </w:r>
      <w:r>
        <w:rPr>
          <w:rFonts w:hint="eastAsia" w:ascii="宋体" w:hAnsi="宋体" w:eastAsia="宋体" w:cs="宋体"/>
          <w:sz w:val="24"/>
          <w:szCs w:val="24"/>
          <w:lang w:eastAsia="zh-CN"/>
        </w:rPr>
        <w:t>；</w:t>
      </w:r>
    </w:p>
    <w:p w14:paraId="7BC76021">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(4)抗菌药物分级管理目录</w:t>
      </w:r>
      <w:r>
        <w:rPr>
          <w:rFonts w:hint="eastAsia" w:ascii="宋体" w:hAnsi="宋体" w:eastAsia="宋体" w:cs="宋体"/>
          <w:sz w:val="24"/>
          <w:szCs w:val="24"/>
          <w:lang w:eastAsia="zh-CN"/>
        </w:rPr>
        <w:t>；</w:t>
      </w:r>
    </w:p>
    <w:p w14:paraId="024D7B75">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(5)临床微生物标本送检率</w:t>
      </w:r>
      <w:r>
        <w:rPr>
          <w:rFonts w:hint="eastAsia" w:ascii="宋体" w:hAnsi="宋体" w:eastAsia="宋体" w:cs="宋体"/>
          <w:sz w:val="24"/>
          <w:szCs w:val="24"/>
          <w:lang w:eastAsia="zh-CN"/>
        </w:rPr>
        <w:t>；</w:t>
      </w:r>
    </w:p>
    <w:p w14:paraId="03C0901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(6)医疗机构药品经费使用情况调查表</w:t>
      </w:r>
    </w:p>
    <w:p w14:paraId="70B9809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(7)医疗机构抗菌药物品种、规格和使用量统计调查表</w:t>
      </w:r>
      <w:r>
        <w:rPr>
          <w:rFonts w:hint="eastAsia" w:ascii="宋体" w:hAnsi="宋体" w:eastAsia="宋体" w:cs="宋体"/>
          <w:sz w:val="24"/>
          <w:szCs w:val="24"/>
          <w:lang w:eastAsia="zh-CN"/>
        </w:rPr>
        <w:t>；</w:t>
      </w:r>
    </w:p>
    <w:p w14:paraId="1257E140">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(8)医疗机构抗菌药物临床应用指标数据上报表</w:t>
      </w:r>
      <w:r>
        <w:rPr>
          <w:rFonts w:hint="eastAsia" w:ascii="宋体" w:hAnsi="宋体" w:eastAsia="宋体" w:cs="宋体"/>
          <w:sz w:val="24"/>
          <w:szCs w:val="24"/>
          <w:lang w:eastAsia="zh-CN"/>
        </w:rPr>
        <w:t>；</w:t>
      </w:r>
    </w:p>
    <w:p w14:paraId="137E4EA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(9)医疗机构I类切口手术用药情况清单表</w:t>
      </w:r>
      <w:r>
        <w:rPr>
          <w:rFonts w:hint="eastAsia" w:ascii="宋体" w:hAnsi="宋体" w:eastAsia="宋体" w:cs="宋体"/>
          <w:sz w:val="24"/>
          <w:szCs w:val="24"/>
          <w:lang w:eastAsia="zh-CN"/>
        </w:rPr>
        <w:t>；</w:t>
      </w:r>
    </w:p>
    <w:p w14:paraId="119E9A5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(10)医疗机构I类切口手术用药情况调查表</w:t>
      </w:r>
      <w:r>
        <w:rPr>
          <w:rFonts w:hint="eastAsia" w:ascii="宋体" w:hAnsi="宋体" w:eastAsia="宋体" w:cs="宋体"/>
          <w:sz w:val="24"/>
          <w:szCs w:val="24"/>
          <w:lang w:eastAsia="zh-CN"/>
        </w:rPr>
        <w:t>。</w:t>
      </w:r>
    </w:p>
    <w:p w14:paraId="1E79965B">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4.20医疗机构药品使用监测</w:t>
      </w:r>
    </w:p>
    <w:p w14:paraId="68E5152F">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系统提供公立医疗机构药品使用监测，包括药品目录、药品出库、入库情况及使用情况</w:t>
      </w:r>
    </w:p>
    <w:p w14:paraId="714BB57D">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区域用药监控系统</w:t>
      </w:r>
    </w:p>
    <w:p w14:paraId="538B5C8E">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5.1监控大屏</w:t>
      </w:r>
    </w:p>
    <w:p w14:paraId="463F9A4D">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▲1. 支持区域可视化大屏展示，每天自动统计前一日相关指标</w:t>
      </w:r>
      <w:r>
        <w:rPr>
          <w:rFonts w:hint="eastAsia" w:ascii="宋体" w:hAnsi="宋体" w:eastAsia="宋体" w:cs="宋体"/>
          <w:sz w:val="24"/>
          <w:szCs w:val="24"/>
          <w:lang w:eastAsia="zh-CN"/>
        </w:rPr>
        <w:t>。</w:t>
      </w:r>
    </w:p>
    <w:p w14:paraId="4B51F57A">
      <w:pPr>
        <w:spacing w:line="300" w:lineRule="auto"/>
        <w:ind w:firstLine="468"/>
        <w:outlineLvl w:val="2"/>
        <w:rPr>
          <w:rFonts w:hint="eastAsia" w:ascii="宋体" w:hAnsi="宋体" w:eastAsia="宋体" w:cs="宋体"/>
          <w:b/>
          <w:bCs/>
          <w:sz w:val="24"/>
          <w:szCs w:val="24"/>
        </w:rPr>
      </w:pPr>
      <w:r>
        <w:rPr>
          <w:rFonts w:hint="eastAsia" w:ascii="宋体" w:hAnsi="宋体" w:eastAsia="宋体" w:cs="宋体"/>
          <w:b/>
          <w:bCs/>
          <w:sz w:val="24"/>
          <w:szCs w:val="24"/>
        </w:rPr>
        <w:t>6</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疾病诊疗</w:t>
      </w:r>
    </w:p>
    <w:p w14:paraId="030A308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6.1、“数据库”应以循证医学为原则，为医务人员提供对疾病的理论、诊断、治疗、预防与随访、前沿研究等各方面进行阐述的专题，内容覆盖至少30个临床专科，包括：内分泌代谢科、神经内科、心血管内科、消化内科、风湿免疫科、血液科、肾内科、呼吸内科、变态(过敏)反应科、神经外科、心脏外科、胸外科、胃肠外科、肛肠外科、肝胆胰外科、泌尿外科、血管外科、乳腺外科、甲状腺外科、妇科、产科、儿科、骨科、感染科、皮肤性病科、眼科、耳鼻咽喉头颈科、口腔科、精神科、急诊科、疼痛科、肿瘤科、放射科</w:t>
      </w:r>
      <w:r>
        <w:rPr>
          <w:rFonts w:hint="eastAsia" w:ascii="宋体" w:hAnsi="宋体" w:eastAsia="宋体" w:cs="宋体"/>
          <w:sz w:val="24"/>
          <w:szCs w:val="24"/>
          <w:lang w:eastAsia="zh-CN"/>
        </w:rPr>
        <w:t>。</w:t>
      </w:r>
      <w:r>
        <w:rPr>
          <w:rFonts w:hint="eastAsia" w:ascii="宋体" w:hAnsi="宋体" w:eastAsia="宋体" w:cs="宋体"/>
          <w:sz w:val="24"/>
          <w:szCs w:val="24"/>
        </w:rPr>
        <w:t>（需进行演示）</w:t>
      </w:r>
    </w:p>
    <w:p w14:paraId="4868BEE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6.2、“数据库”专题内应提供诊疗流程图，以图示化方式展示患者从就诊到治疗结束的各个关键环节。为医务人员提供清晰的路径，辅助医务人员做出合理决策。支持按照科室进行检索，至少覆盖30个临床科室，包括：内分泌代谢科、神经内科、心血管内科、消化内科、风湿免疫科、血液科、肾内科、呼吸内科、变态(过敏)反应科、神经外科、心脏外科、胸外科、胃肠外科、肛肠外科、肝胆胰外科、泌尿外科、血管外科、乳腺外科、甲状腺外科、妇科、产科、儿科、骨科、感染科、皮肤性病科、眼科、耳鼻咽喉头颈科、口腔科、精神科、急诊科、疼痛科、肿瘤科、放射科</w:t>
      </w:r>
      <w:r>
        <w:rPr>
          <w:rFonts w:hint="eastAsia" w:ascii="宋体" w:hAnsi="宋体" w:eastAsia="宋体" w:cs="宋体"/>
          <w:sz w:val="24"/>
          <w:szCs w:val="24"/>
          <w:lang w:eastAsia="zh-CN"/>
        </w:rPr>
        <w:t>。</w:t>
      </w:r>
    </w:p>
    <w:p w14:paraId="1B069FB7">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6.3、“数据库”应提供核心推荐意见，提炼临床决策关键点的PICO问题，形成简明扼要的推荐意见，便于临床快速查阅</w:t>
      </w:r>
      <w:r>
        <w:rPr>
          <w:rFonts w:hint="eastAsia" w:ascii="宋体" w:hAnsi="宋体" w:eastAsia="宋体" w:cs="宋体"/>
          <w:sz w:val="24"/>
          <w:szCs w:val="24"/>
          <w:lang w:eastAsia="zh-CN"/>
        </w:rPr>
        <w:t>。</w:t>
      </w:r>
    </w:p>
    <w:p w14:paraId="3D9BEDE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6.4、“数据库”应提供前沿研究内容，提供专题中诊断和治疗部分未提及的有潜力的疾病诊断与治疗新兴方法，尤其是已有随机对照试验和系统评价结果但尚未在国际主流指南中应用的方法</w:t>
      </w:r>
      <w:r>
        <w:rPr>
          <w:rFonts w:hint="eastAsia" w:ascii="宋体" w:hAnsi="宋体" w:eastAsia="宋体" w:cs="宋体"/>
          <w:sz w:val="24"/>
          <w:szCs w:val="24"/>
          <w:lang w:eastAsia="zh-CN"/>
        </w:rPr>
        <w:t>。</w:t>
      </w:r>
    </w:p>
    <w:p w14:paraId="550E470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6.5、“数据库”应提供专题内容的参考文献，可通过链接查看摘要或原文，参考文献应纳入国内的指南、研究结果、学会共识等</w:t>
      </w:r>
      <w:r>
        <w:rPr>
          <w:rFonts w:hint="eastAsia" w:ascii="宋体" w:hAnsi="宋体" w:eastAsia="宋体" w:cs="宋体"/>
          <w:sz w:val="24"/>
          <w:szCs w:val="24"/>
          <w:lang w:eastAsia="zh-CN"/>
        </w:rPr>
        <w:t>。</w:t>
      </w:r>
    </w:p>
    <w:p w14:paraId="52A1C0E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6.6、“数据库”应在用户提供支持DeepSeek大语言模型及模型应用平台（向量模型、重排序模型、意图分类和实体识别模型等）的软硬件环境前提下，提供AI导读，该功能可基于专题内容生成文章总结，可更快速获取专题要点信息</w:t>
      </w:r>
      <w:r>
        <w:rPr>
          <w:rFonts w:hint="eastAsia" w:ascii="宋体" w:hAnsi="宋体" w:eastAsia="宋体" w:cs="宋体"/>
          <w:sz w:val="24"/>
          <w:szCs w:val="24"/>
          <w:lang w:eastAsia="zh-CN"/>
        </w:rPr>
        <w:t>。</w:t>
      </w:r>
    </w:p>
    <w:p w14:paraId="11DD8B74">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6.7、“数据库”应在用户提供支持DeepSeek大语言模型及模型应用平台（向量模型、重排序模型、意图分类和实体识别模型等）的软硬件环境前提下，提供AI脑图，该功能可根据专题内容生成思维导图</w:t>
      </w:r>
      <w:r>
        <w:rPr>
          <w:rFonts w:hint="eastAsia" w:ascii="宋体" w:hAnsi="宋体" w:eastAsia="宋体" w:cs="宋体"/>
          <w:sz w:val="24"/>
          <w:szCs w:val="24"/>
          <w:lang w:eastAsia="zh-CN"/>
        </w:rPr>
        <w:t>。</w:t>
      </w:r>
    </w:p>
    <w:p w14:paraId="069A4D1C">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6.8、“数据库”应在用户提供支持DeepSeek大语言模型及模型应用平台（向量模型、重排序模型、意图分类和实体识别模型等）的软硬件环境前提下，提供AI赋能的问答支持，以医学人工智能、医学知识图谱、深度学习、自然语言识别等技术为基础，基于“数据库”的疾病专题，输出针对医学问题的专业解答</w:t>
      </w:r>
      <w:r>
        <w:rPr>
          <w:rFonts w:hint="eastAsia" w:ascii="宋体" w:hAnsi="宋体" w:eastAsia="宋体" w:cs="宋体"/>
          <w:sz w:val="24"/>
          <w:szCs w:val="24"/>
          <w:lang w:eastAsia="zh-CN"/>
        </w:rPr>
        <w:t>。</w:t>
      </w:r>
    </w:p>
    <w:p w14:paraId="7F3F48D6">
      <w:pPr>
        <w:spacing w:line="300" w:lineRule="auto"/>
        <w:ind w:firstLine="468"/>
        <w:rPr>
          <w:rFonts w:hint="eastAsia" w:ascii="宋体" w:hAnsi="宋体" w:eastAsia="宋体" w:cs="宋体"/>
          <w:sz w:val="24"/>
          <w:szCs w:val="24"/>
        </w:rPr>
      </w:pPr>
      <w:r>
        <w:rPr>
          <w:rFonts w:hint="eastAsia" w:ascii="宋体" w:hAnsi="宋体" w:eastAsia="宋体" w:cs="宋体"/>
          <w:sz w:val="24"/>
          <w:szCs w:val="24"/>
        </w:rPr>
        <w:t>6.9、“数据库”应纳入依据国家医疗保障疾病诊断相关分组（CHS-DRG）数据开发的分组工具，协助临床快速分组</w:t>
      </w:r>
      <w:r>
        <w:rPr>
          <w:rFonts w:hint="eastAsia" w:ascii="宋体" w:hAnsi="宋体" w:eastAsia="宋体" w:cs="宋体"/>
          <w:sz w:val="24"/>
          <w:szCs w:val="24"/>
          <w:lang w:eastAsia="zh-CN"/>
        </w:rPr>
        <w:t>。</w:t>
      </w:r>
    </w:p>
    <w:p w14:paraId="6AE99D73">
      <w:pPr>
        <w:spacing w:line="300" w:lineRule="auto"/>
        <w:ind w:firstLine="468"/>
        <w:rPr>
          <w:rFonts w:hint="eastAsia" w:ascii="宋体" w:hAnsi="宋体" w:eastAsia="宋体" w:cs="宋体"/>
          <w:sz w:val="24"/>
          <w:szCs w:val="24"/>
        </w:rPr>
      </w:pPr>
    </w:p>
    <w:p w14:paraId="5A302B02">
      <w:pPr>
        <w:spacing w:line="300" w:lineRule="auto"/>
        <w:rPr>
          <w:rFonts w:hint="eastAsia" w:ascii="宋体" w:hAnsi="宋体" w:eastAsia="宋体" w:cs="宋体"/>
          <w:b/>
          <w:bCs/>
          <w:sz w:val="24"/>
          <w:szCs w:val="24"/>
        </w:rPr>
      </w:pPr>
      <w:r>
        <w:rPr>
          <w:rFonts w:hint="eastAsia" w:ascii="宋体" w:hAnsi="宋体" w:eastAsia="宋体" w:cs="宋体"/>
          <w:b/>
          <w:bCs/>
          <w:sz w:val="24"/>
          <w:szCs w:val="24"/>
        </w:rPr>
        <w:br w:type="page"/>
      </w:r>
    </w:p>
    <w:p w14:paraId="426C568F">
      <w:pPr>
        <w:pStyle w:val="4"/>
        <w:numPr>
          <w:numId w:val="0"/>
        </w:numPr>
        <w:spacing w:line="30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（二）</w:t>
      </w:r>
      <w:r>
        <w:rPr>
          <w:rFonts w:hint="eastAsia" w:ascii="宋体" w:hAnsi="宋体" w:eastAsia="宋体" w:cs="宋体"/>
          <w:b/>
          <w:bCs/>
          <w:sz w:val="24"/>
          <w:szCs w:val="24"/>
        </w:rPr>
        <w:t>技术架构要求</w:t>
      </w:r>
    </w:p>
    <w:p w14:paraId="6DBDE2DB">
      <w:pPr>
        <w:pStyle w:val="6"/>
        <w:numPr>
          <w:numId w:val="0"/>
        </w:numPr>
        <w:spacing w:line="300" w:lineRule="auto"/>
        <w:ind w:firstLine="400"/>
        <w:rPr>
          <w:rFonts w:hint="eastAsia" w:ascii="宋体" w:hAnsi="宋体" w:eastAsia="宋体" w:cs="宋体"/>
          <w:b/>
          <w:bCs/>
          <w:sz w:val="24"/>
          <w:szCs w:val="24"/>
        </w:rPr>
      </w:pPr>
      <w:r>
        <w:rPr>
          <w:rFonts w:hint="default" w:ascii="宋体" w:hAnsi="宋体" w:eastAsia="宋体" w:cs="宋体"/>
          <w:b/>
          <w:bCs/>
          <w:sz w:val="24"/>
          <w:szCs w:val="24"/>
          <w:lang w:val="en-US" w:eastAsia="zh-CN" w:bidi="ar-SA"/>
        </w:rPr>
        <w:t>1．</w:t>
      </w:r>
      <w:r>
        <w:rPr>
          <w:rFonts w:hint="eastAsia" w:ascii="宋体" w:hAnsi="宋体" w:eastAsia="宋体" w:cs="宋体"/>
          <w:b/>
          <w:bCs/>
          <w:sz w:val="24"/>
          <w:szCs w:val="24"/>
        </w:rPr>
        <w:t>系统性能要求</w:t>
      </w:r>
    </w:p>
    <w:p w14:paraId="611EDFD1">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单张处方（医嘱）系统自动审查响应时间应不超过0.1秒。</w:t>
      </w:r>
    </w:p>
    <w:p w14:paraId="578D4E3B">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系统应支持日门诊量20000人次以上规模的数据处理能力。</w:t>
      </w:r>
    </w:p>
    <w:p w14:paraId="51874C40">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系统应支持不少于100个并发用户的实时审方操作，响应时间不超过2秒。</w:t>
      </w:r>
    </w:p>
    <w:p w14:paraId="3EBF7DB1">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系统应支持数据存储周期不少于3年的在线数据及不少于10年的归档数据。</w:t>
      </w:r>
    </w:p>
    <w:p w14:paraId="221119A7">
      <w:pPr>
        <w:spacing w:line="300" w:lineRule="auto"/>
        <w:ind w:firstLine="628"/>
        <w:rPr>
          <w:rFonts w:hint="eastAsia" w:ascii="宋体" w:hAnsi="宋体" w:eastAsia="宋体" w:cs="宋体"/>
          <w:sz w:val="24"/>
          <w:szCs w:val="24"/>
          <w:highlight w:val="green"/>
        </w:rPr>
      </w:pPr>
      <w:r>
        <w:rPr>
          <w:rFonts w:hint="eastAsia" w:ascii="宋体" w:hAnsi="宋体" w:eastAsia="宋体" w:cs="宋体"/>
          <w:sz w:val="24"/>
          <w:szCs w:val="24"/>
        </w:rPr>
        <w:t>系统年可用率应达到99.9%以上（不含计划内停机）。</w:t>
      </w:r>
    </w:p>
    <w:p w14:paraId="02DDCE2F">
      <w:pPr>
        <w:pStyle w:val="6"/>
        <w:numPr>
          <w:numId w:val="0"/>
        </w:numPr>
        <w:spacing w:line="300" w:lineRule="auto"/>
        <w:ind w:firstLine="400"/>
        <w:rPr>
          <w:rFonts w:hint="eastAsia" w:ascii="宋体" w:hAnsi="宋体" w:eastAsia="宋体" w:cs="宋体"/>
          <w:b/>
          <w:bCs/>
          <w:color w:val="000000" w:themeColor="text1"/>
          <w:sz w:val="24"/>
          <w:szCs w:val="24"/>
          <w14:textFill>
            <w14:solidFill>
              <w14:schemeClr w14:val="tx1"/>
            </w14:solidFill>
          </w14:textFill>
        </w:rPr>
      </w:pPr>
      <w:r>
        <w:rPr>
          <w:rFonts w:hint="default"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bCs/>
          <w:color w:val="000000" w:themeColor="text1"/>
          <w:sz w:val="24"/>
          <w:szCs w:val="24"/>
          <w14:textFill>
            <w14:solidFill>
              <w14:schemeClr w14:val="tx1"/>
            </w14:solidFill>
          </w14:textFill>
        </w:rPr>
        <w:t>扩展性要求</w:t>
      </w:r>
    </w:p>
    <w:p w14:paraId="39CBCDE1">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区域审方中心平台应具备良好架构扩展性，支持后期接入区域内各类不同等级的其他医疗机构，接入医疗机构信息系统需满足平台标准化数据接口要求，实现多机构处方集中统一审核管理。</w:t>
      </w:r>
    </w:p>
    <w:p w14:paraId="56C8DE3D">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br w:type="page"/>
      </w:r>
    </w:p>
    <w:p w14:paraId="01DB51A4">
      <w:pPr>
        <w:pStyle w:val="4"/>
        <w:numPr>
          <w:numId w:val="0"/>
        </w:numPr>
        <w:spacing w:line="30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（三）</w:t>
      </w:r>
      <w:r>
        <w:rPr>
          <w:rFonts w:hint="eastAsia" w:ascii="宋体" w:hAnsi="宋体" w:eastAsia="宋体" w:cs="宋体"/>
          <w:b/>
          <w:bCs/>
          <w:sz w:val="24"/>
          <w:szCs w:val="24"/>
        </w:rPr>
        <w:t>数据对接与互联互通标准</w:t>
      </w:r>
    </w:p>
    <w:p w14:paraId="4B138DCD">
      <w:pPr>
        <w:pStyle w:val="6"/>
        <w:numPr>
          <w:numId w:val="0"/>
        </w:numPr>
        <w:spacing w:line="300" w:lineRule="auto"/>
        <w:ind w:firstLine="400"/>
        <w:rPr>
          <w:rFonts w:hint="eastAsia" w:ascii="宋体" w:hAnsi="宋体" w:eastAsia="宋体" w:cs="宋体"/>
          <w:b/>
          <w:bCs/>
          <w:sz w:val="24"/>
          <w:szCs w:val="24"/>
        </w:rPr>
      </w:pPr>
      <w:r>
        <w:rPr>
          <w:rFonts w:hint="default" w:ascii="宋体" w:hAnsi="宋体" w:eastAsia="宋体" w:cs="宋体"/>
          <w:b/>
          <w:bCs/>
          <w:sz w:val="24"/>
          <w:szCs w:val="24"/>
          <w:lang w:val="en-US" w:eastAsia="zh-CN" w:bidi="ar-SA"/>
        </w:rPr>
        <w:t>1．</w:t>
      </w:r>
      <w:r>
        <w:rPr>
          <w:rFonts w:hint="eastAsia" w:ascii="宋体" w:hAnsi="宋体" w:eastAsia="宋体" w:cs="宋体"/>
          <w:b/>
          <w:bCs/>
          <w:sz w:val="24"/>
          <w:szCs w:val="24"/>
        </w:rPr>
        <w:t>数据对接总体要求</w:t>
      </w:r>
    </w:p>
    <w:p w14:paraId="65EA5054">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系统应提供标准化数据接口，支持与各医疗机构现有HIS、LIS、PACS、EMR、移动护理、手麻等信息系统进行数据对接。</w:t>
      </w:r>
    </w:p>
    <w:p w14:paraId="51CEF6EA">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系统应支持视图（View）、存储过程（Stored Procedure）、WebService、HTTP/RESTful API、数据库表同步等多种数据接口方式进行数据采集。</w:t>
      </w:r>
    </w:p>
    <w:p w14:paraId="26F1E5B5">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系统应同时支持实时数据采集（适用于审方所需的即时诊疗数据）和非实时数据采集（T+1模式，适用于基础字典类数据）。</w:t>
      </w:r>
    </w:p>
    <w:p w14:paraId="759E53D2">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系统应提供三种审方接口嵌入方式：DLL方式（适用于C/S架构客户端）、JavaScript/AJAX方式（适用于B/S架构客户端）、DLL+SOAP方式（适用于跨网段区域医疗场景）。</w:t>
      </w:r>
    </w:p>
    <w:p w14:paraId="12F8C505">
      <w:pPr>
        <w:pStyle w:val="6"/>
        <w:numPr>
          <w:numId w:val="0"/>
        </w:numPr>
        <w:spacing w:line="300" w:lineRule="auto"/>
        <w:ind w:firstLine="400"/>
        <w:rPr>
          <w:rFonts w:hint="eastAsia" w:ascii="宋体" w:hAnsi="宋体" w:eastAsia="宋体" w:cs="宋体"/>
          <w:b/>
          <w:bCs/>
          <w:sz w:val="24"/>
          <w:szCs w:val="24"/>
        </w:rPr>
      </w:pPr>
      <w:r>
        <w:rPr>
          <w:rFonts w:hint="default" w:ascii="宋体" w:hAnsi="宋体" w:eastAsia="宋体" w:cs="宋体"/>
          <w:b/>
          <w:bCs/>
          <w:sz w:val="24"/>
          <w:szCs w:val="24"/>
          <w:lang w:val="en-US" w:eastAsia="zh-CN" w:bidi="ar-SA"/>
        </w:rPr>
        <w:t>2．</w:t>
      </w:r>
      <w:r>
        <w:rPr>
          <w:rFonts w:hint="eastAsia" w:ascii="宋体" w:hAnsi="宋体" w:eastAsia="宋体" w:cs="宋体"/>
          <w:b/>
          <w:bCs/>
          <w:sz w:val="24"/>
          <w:szCs w:val="24"/>
        </w:rPr>
        <w:t>数据资源需求清单</w:t>
      </w:r>
    </w:p>
    <w:p w14:paraId="5981475C">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投标人须承诺按照以下数据资源需求清单完成与各医疗机构信息系统的接口对接工作：</w:t>
      </w:r>
    </w:p>
    <w:tbl>
      <w:tblPr>
        <w:tblStyle w:val="48"/>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2221"/>
        <w:gridCol w:w="1264"/>
        <w:gridCol w:w="2984"/>
        <w:gridCol w:w="1264"/>
      </w:tblGrid>
      <w:tr w14:paraId="48C5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3E81518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0" w:type="auto"/>
            <w:tcBorders>
              <w:top w:val="single" w:color="000000" w:sz="12" w:space="0"/>
              <w:left w:val="single" w:color="000000" w:sz="4" w:space="0"/>
              <w:bottom w:val="single" w:color="000000" w:sz="4" w:space="0"/>
              <w:right w:val="single" w:color="000000" w:sz="4" w:space="0"/>
            </w:tcBorders>
            <w:shd w:val="clear" w:color="auto" w:fill="FFFFFF"/>
            <w:vAlign w:val="center"/>
          </w:tcPr>
          <w:p w14:paraId="3664359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需求数据</w:t>
            </w:r>
          </w:p>
        </w:tc>
        <w:tc>
          <w:tcPr>
            <w:tcW w:w="0" w:type="auto"/>
            <w:tcBorders>
              <w:top w:val="single" w:color="000000" w:sz="12" w:space="0"/>
              <w:left w:val="single" w:color="000000" w:sz="4" w:space="0"/>
              <w:bottom w:val="single" w:color="000000" w:sz="4" w:space="0"/>
              <w:right w:val="single" w:color="000000" w:sz="4" w:space="0"/>
            </w:tcBorders>
            <w:shd w:val="clear" w:color="auto" w:fill="FFFFFF"/>
            <w:vAlign w:val="center"/>
          </w:tcPr>
          <w:p w14:paraId="2A2D6DC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来源系统</w:t>
            </w:r>
          </w:p>
        </w:tc>
        <w:tc>
          <w:tcPr>
            <w:tcW w:w="0" w:type="auto"/>
            <w:tcBorders>
              <w:top w:val="single" w:color="000000" w:sz="12" w:space="0"/>
              <w:left w:val="single" w:color="000000" w:sz="4" w:space="0"/>
              <w:bottom w:val="single" w:color="000000" w:sz="4" w:space="0"/>
              <w:right w:val="single" w:color="000000" w:sz="4" w:space="0"/>
            </w:tcBorders>
            <w:shd w:val="clear" w:color="auto" w:fill="FFFFFF"/>
            <w:vAlign w:val="center"/>
          </w:tcPr>
          <w:p w14:paraId="5F90F85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获取方式</w:t>
            </w:r>
          </w:p>
        </w:tc>
        <w:tc>
          <w:tcPr>
            <w:tcW w:w="1264"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587AE4A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采集频率</w:t>
            </w:r>
          </w:p>
        </w:tc>
      </w:tr>
      <w:tr w14:paraId="299E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F3C050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F85D5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科室字典信息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9D101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C1689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BD977B3">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BFE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419F745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6AF86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医生字典信息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D992D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6BD6D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813228D">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1C68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190F7A0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DA0DA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药品字典信息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B0F2E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418BF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0AFCA86">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62C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D5E7F3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1FC01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疾病字典信息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57483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B1A97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D12A458">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645C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3B67999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98C8F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给药途径字典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BAA6E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BADAE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B800557">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E9A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1FCDB9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F21AC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给药频次字典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27CCD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27F63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9AD73C8">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5B7F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5ACCE4F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5801C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过敏字典信息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8F8A1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2D3F9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BC48993">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50B7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253E1C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BE358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手术字典信息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AF13F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91FED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946F879">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07B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76F64C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A2036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6ECAA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3FCE1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C39703D">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BC2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D737DB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94AF8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住院病人医嘱信息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785C5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521AF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9F2272C">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实时</w:t>
            </w:r>
          </w:p>
        </w:tc>
      </w:tr>
      <w:tr w14:paraId="5A50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1BF5CD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757C3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住院病人过敏信息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E9320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F20DF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2C5DE2A">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616D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1A45A40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5CD0D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住院病人诊断信息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024B1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E3B6F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901247F">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0A2C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484967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63527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住院病人会诊记录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2C29A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06602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A67A7E2">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17BB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58503D5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8DE0E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住院病人处方信息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55E5A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230E8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CDCF7F4">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实时</w:t>
            </w:r>
          </w:p>
        </w:tc>
      </w:tr>
      <w:tr w14:paraId="5646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7D5736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F40AF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住院病人风险评估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FAEB8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5B048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DF8CE4C">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3CA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842528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322C4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5FA2A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3ACA3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E7D632D">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7ED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E9D1C6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BD9D9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门诊病人处方信息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BFD82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265AE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E35B0F0">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实时</w:t>
            </w:r>
          </w:p>
        </w:tc>
      </w:tr>
      <w:tr w14:paraId="1EF8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1F77B3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6F24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门诊病人医嘱信息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CD71F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A3921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ACD9ED2">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实时</w:t>
            </w:r>
          </w:p>
        </w:tc>
      </w:tr>
      <w:tr w14:paraId="0103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4182868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B811C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门诊病人过敏信息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FD910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32E8D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6E95836">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696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EAEBF6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5BA9C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门诊病人疾病信息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2DE83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29DCD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819242B">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954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39C7843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6A1C0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住院病程记录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A80CC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D016F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7C74C13">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5D5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1604383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D6C34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住院病人手术信息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C3607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2A1D7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E7BA651">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BA5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0DC729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B0CFE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门诊挂号记录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CAF1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D84A9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347A052">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5322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609D764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DE244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检验申请项目字典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D84C1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19E4A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0E71E63">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53F2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6FEB5C8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D55A6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检验结果项目字典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7A9A9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A705D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0027DCA">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18E7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322C8D9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5A06E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住院病人检验信息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3FD30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48B7E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F13C818">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4259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39351E5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560F3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门诊基因检测信息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A69AC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9D910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80B3056">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1A61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DFD9EF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5776FB">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门诊病人检验信息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4F51A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77935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47702130">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51EB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16C4E7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8E056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住院基因检测信息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F6D55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LIS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A9A2A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F22AE0A">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0D6B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452409C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CE7342">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检查申请项目字典</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3CFDE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PACS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DABB6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D2E28E1">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7D3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A30193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DC578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门诊病人检查信息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D42A7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PACS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81DE2C">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CCB074F">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CD7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1E5A181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0109F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住院病人检查信息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C0BFF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PACS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831CB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C7B69CD">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67D6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65A1C23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CAA30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住院病人体温信息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3369C6">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移动护理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1C761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48F3C16">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2C7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2CADC36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BB3FC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住院病人体征信息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44721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移动护理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287DE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A4926C4">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0B17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6D6ABA2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6440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病案首页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3D6CA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B399D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9416CA9">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5F8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0771ECA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24984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入院记录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5CF724">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57FD0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B2B7EE6">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1430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9DF528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844DD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住院病程记录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D6A0F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58A51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468F773">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EAB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56060AC7">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0A39AD">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出院记录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E2D4F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22D7A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3654239">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2282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72806A1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3701C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手术记录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CC000F">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EMR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F16C0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F9C14DF">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7E31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12" w:space="0"/>
              <w:bottom w:val="single" w:color="000000" w:sz="4" w:space="0"/>
              <w:right w:val="single" w:color="000000" w:sz="4" w:space="0"/>
            </w:tcBorders>
            <w:shd w:val="clear" w:color="auto" w:fill="FFFFFF"/>
            <w:vAlign w:val="center"/>
          </w:tcPr>
          <w:p w14:paraId="5319A775">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A65170">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出院诊断记录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66D221">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CF34B3">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1BCD93F0">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r w14:paraId="3738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tcBorders>
              <w:top w:val="single" w:color="000000" w:sz="4" w:space="0"/>
              <w:left w:val="single" w:color="000000" w:sz="12" w:space="0"/>
              <w:bottom w:val="single" w:color="000000" w:sz="12" w:space="0"/>
              <w:right w:val="single" w:color="000000" w:sz="4" w:space="0"/>
            </w:tcBorders>
            <w:shd w:val="clear" w:color="auto" w:fill="FFFFFF"/>
            <w:vAlign w:val="center"/>
          </w:tcPr>
          <w:p w14:paraId="5A4179A9">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41</w:t>
            </w:r>
          </w:p>
        </w:tc>
        <w:tc>
          <w:tcPr>
            <w:tcW w:w="2221"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0E8609DA">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药品入库信息</w:t>
            </w:r>
          </w:p>
        </w:tc>
        <w:tc>
          <w:tcPr>
            <w:tcW w:w="126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21CB5BBE">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HIS</w:t>
            </w:r>
          </w:p>
        </w:tc>
        <w:tc>
          <w:tcPr>
            <w:tcW w:w="2984"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7712DBF8">
            <w:pPr>
              <w:spacing w:line="30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视图/WebService/RESTful</w:t>
            </w:r>
          </w:p>
        </w:tc>
        <w:tc>
          <w:tcPr>
            <w:tcW w:w="1264"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7400FB39">
            <w:pPr>
              <w:spacing w:line="300" w:lineRule="auto"/>
              <w:ind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每日定时</w:t>
            </w:r>
          </w:p>
        </w:tc>
      </w:tr>
    </w:tbl>
    <w:p w14:paraId="5917C91A">
      <w:pPr>
        <w:pStyle w:val="6"/>
        <w:numPr>
          <w:numId w:val="0"/>
        </w:numPr>
        <w:spacing w:line="300" w:lineRule="auto"/>
        <w:ind w:firstLine="400"/>
        <w:rPr>
          <w:rFonts w:hint="eastAsia" w:ascii="宋体" w:hAnsi="宋体" w:eastAsia="宋体" w:cs="宋体"/>
          <w:b/>
          <w:bCs/>
          <w:sz w:val="24"/>
          <w:szCs w:val="24"/>
        </w:rPr>
      </w:pPr>
      <w:r>
        <w:rPr>
          <w:rFonts w:hint="default" w:ascii="宋体" w:hAnsi="宋体" w:eastAsia="宋体" w:cs="宋体"/>
          <w:b/>
          <w:bCs/>
          <w:sz w:val="24"/>
          <w:szCs w:val="24"/>
          <w:lang w:val="en-US" w:eastAsia="zh-CN" w:bidi="ar-SA"/>
        </w:rPr>
        <w:t>3．</w:t>
      </w:r>
      <w:r>
        <w:rPr>
          <w:rFonts w:hint="eastAsia" w:ascii="宋体" w:hAnsi="宋体" w:eastAsia="宋体" w:cs="宋体"/>
          <w:b/>
          <w:bCs/>
          <w:sz w:val="24"/>
          <w:szCs w:val="24"/>
        </w:rPr>
        <w:t>互联互通标准要求</w:t>
      </w:r>
    </w:p>
    <w:p w14:paraId="6A453506">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系统数据接口应符合国家卫健委《医院信息互联互通标准化成熟度测评方案》相关要求。</w:t>
      </w:r>
    </w:p>
    <w:p w14:paraId="084C0D21">
      <w:pPr>
        <w:spacing w:line="300" w:lineRule="auto"/>
        <w:ind w:firstLine="628"/>
        <w:rPr>
          <w:rFonts w:hint="eastAsia" w:ascii="宋体" w:hAnsi="宋体" w:eastAsia="宋体" w:cs="宋体"/>
          <w:sz w:val="24"/>
          <w:szCs w:val="24"/>
        </w:rPr>
      </w:pPr>
    </w:p>
    <w:p w14:paraId="1DBDD48B">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br w:type="page"/>
      </w:r>
    </w:p>
    <w:p w14:paraId="74F173EC">
      <w:pPr>
        <w:pStyle w:val="4"/>
        <w:numPr>
          <w:numId w:val="0"/>
        </w:numPr>
        <w:spacing w:line="30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（四）</w:t>
      </w:r>
      <w:r>
        <w:rPr>
          <w:rFonts w:hint="eastAsia" w:ascii="宋体" w:hAnsi="宋体" w:eastAsia="宋体" w:cs="宋体"/>
          <w:b/>
          <w:bCs/>
          <w:sz w:val="24"/>
          <w:szCs w:val="24"/>
        </w:rPr>
        <w:t>系统安全与等保要求</w:t>
      </w:r>
    </w:p>
    <w:p w14:paraId="529DF8C8">
      <w:pPr>
        <w:pStyle w:val="7"/>
        <w:numPr>
          <w:ilvl w:val="-1"/>
          <w:numId w:val="0"/>
        </w:numPr>
        <w:spacing w:line="264" w:lineRule="auto"/>
        <w:ind w:left="0" w:firstLine="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等保合规要求</w:t>
      </w:r>
    </w:p>
    <w:p w14:paraId="7255E8C0">
      <w:pPr>
        <w:spacing w:line="264" w:lineRule="auto"/>
        <w:ind w:firstLine="628"/>
        <w:rPr>
          <w:rFonts w:hint="eastAsia" w:ascii="宋体" w:hAnsi="宋体" w:eastAsia="宋体" w:cs="宋体"/>
          <w:sz w:val="24"/>
          <w:szCs w:val="24"/>
        </w:rPr>
      </w:pPr>
      <w:r>
        <w:rPr>
          <w:rFonts w:hint="eastAsia" w:ascii="宋体" w:hAnsi="宋体" w:eastAsia="宋体" w:cs="宋体"/>
          <w:sz w:val="24"/>
          <w:szCs w:val="24"/>
        </w:rPr>
        <w:t>系统应按照《GB/T 22239-2019 信息安全技术 网络安全等级保护基本要求》第三级（等保三级）标准进行设计和建设，在身份鉴别、访问控制、安全审计、入侵防范、恶意代码防范、可信验证、数据完整性、数据保密性、数据备份恢复、剩余信息保护、个人信息保护等方面具备全面的安全防护能力。投标人须提供等保三级合规性自评报告或在投标文件中逐项说明满足情况。</w:t>
      </w:r>
    </w:p>
    <w:p w14:paraId="24BC245C">
      <w:pPr>
        <w:pStyle w:val="7"/>
        <w:numPr>
          <w:ilvl w:val="-1"/>
          <w:numId w:val="0"/>
        </w:numPr>
        <w:spacing w:line="240" w:lineRule="auto"/>
        <w:ind w:left="0" w:firstLine="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身份鉴别与访问控制</w:t>
      </w:r>
    </w:p>
    <w:p w14:paraId="7A4C2CA6">
      <w:pPr>
        <w:spacing w:line="240" w:lineRule="auto"/>
        <w:ind w:firstLine="628"/>
        <w:rPr>
          <w:rFonts w:hint="eastAsia" w:ascii="宋体" w:hAnsi="宋体" w:eastAsia="宋体" w:cs="宋体"/>
          <w:sz w:val="24"/>
          <w:szCs w:val="24"/>
        </w:rPr>
      </w:pPr>
      <w:r>
        <w:rPr>
          <w:rFonts w:hint="eastAsia" w:ascii="宋体" w:hAnsi="宋体" w:eastAsia="宋体" w:cs="宋体"/>
          <w:sz w:val="24"/>
          <w:szCs w:val="24"/>
        </w:rPr>
        <w:t>系统应提供专用的登录控制模块，支持用户名/密码认证，口令长度不少于8位，须同时包含字母、数字和特殊字符。</w:t>
      </w:r>
    </w:p>
    <w:p w14:paraId="1BFCCFE5">
      <w:pPr>
        <w:spacing w:line="240" w:lineRule="auto"/>
        <w:ind w:firstLine="628"/>
        <w:rPr>
          <w:rFonts w:hint="eastAsia" w:ascii="宋体" w:hAnsi="宋体" w:eastAsia="宋体" w:cs="宋体"/>
          <w:sz w:val="24"/>
          <w:szCs w:val="24"/>
        </w:rPr>
      </w:pPr>
      <w:r>
        <w:rPr>
          <w:rFonts w:hint="eastAsia" w:ascii="宋体" w:hAnsi="宋体" w:eastAsia="宋体" w:cs="宋体"/>
          <w:sz w:val="24"/>
          <w:szCs w:val="24"/>
        </w:rPr>
        <w:t>系统应支持登录失败处理功能，包括限定连续登录尝试次数（不超过5次）、账号锁定、审计登录事件、设置连续两次登录时间间隔等。</w:t>
      </w:r>
    </w:p>
    <w:p w14:paraId="521E28C0">
      <w:pPr>
        <w:spacing w:line="240" w:lineRule="auto"/>
        <w:ind w:firstLine="628"/>
        <w:rPr>
          <w:rFonts w:hint="eastAsia" w:ascii="宋体" w:hAnsi="宋体" w:eastAsia="宋体" w:cs="宋体"/>
          <w:sz w:val="24"/>
          <w:szCs w:val="24"/>
        </w:rPr>
      </w:pPr>
      <w:r>
        <w:rPr>
          <w:rFonts w:hint="eastAsia" w:ascii="宋体" w:hAnsi="宋体" w:eastAsia="宋体" w:cs="宋体"/>
          <w:sz w:val="24"/>
          <w:szCs w:val="24"/>
        </w:rPr>
        <w:t>系统应支持基于角色的访问控制（RBAC），实现功能级权限和数据级权限的精细化管理。支持用户分级管理，由系统管理员为不同用户配置模块权限、资源权限、数据权限等。</w:t>
      </w:r>
    </w:p>
    <w:p w14:paraId="478821F5">
      <w:pPr>
        <w:spacing w:line="240" w:lineRule="auto"/>
        <w:ind w:firstLine="628"/>
        <w:rPr>
          <w:rFonts w:hint="eastAsia" w:ascii="宋体" w:hAnsi="宋体" w:eastAsia="宋体" w:cs="宋体"/>
          <w:sz w:val="24"/>
          <w:szCs w:val="24"/>
        </w:rPr>
      </w:pPr>
      <w:r>
        <w:rPr>
          <w:rFonts w:hint="eastAsia" w:ascii="宋体" w:hAnsi="宋体" w:eastAsia="宋体" w:cs="宋体"/>
          <w:sz w:val="24"/>
          <w:szCs w:val="24"/>
        </w:rPr>
        <w:t>系统应严格限制默认账户的访问权限，禁用或重命名系统默认账户，及时删除多余或过期账户。</w:t>
      </w:r>
    </w:p>
    <w:p w14:paraId="0D9718BD">
      <w:pPr>
        <w:pStyle w:val="7"/>
        <w:numPr>
          <w:ilvl w:val="-1"/>
          <w:numId w:val="0"/>
        </w:numPr>
        <w:spacing w:line="264" w:lineRule="auto"/>
        <w:ind w:left="0" w:firstLine="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安全审计</w:t>
      </w:r>
    </w:p>
    <w:p w14:paraId="7F58E1BE">
      <w:pPr>
        <w:spacing w:line="264" w:lineRule="auto"/>
        <w:ind w:firstLine="628"/>
        <w:rPr>
          <w:rFonts w:hint="eastAsia" w:ascii="宋体" w:hAnsi="宋体" w:eastAsia="宋体" w:cs="宋体"/>
          <w:sz w:val="24"/>
          <w:szCs w:val="24"/>
        </w:rPr>
      </w:pPr>
      <w:r>
        <w:rPr>
          <w:rFonts w:hint="eastAsia" w:ascii="宋体" w:hAnsi="宋体" w:eastAsia="宋体" w:cs="宋体"/>
          <w:sz w:val="24"/>
          <w:szCs w:val="24"/>
        </w:rPr>
        <w:t>系统应提供完整的用户操作日志记录功能，审计内容包括重要用户行为、系统资源异常使用、重要系统命令使用等。日志至少应包含事件日期、时间、发起者信息、类型、描述和结果。</w:t>
      </w:r>
    </w:p>
    <w:p w14:paraId="73A3CD03">
      <w:pPr>
        <w:spacing w:line="264" w:lineRule="auto"/>
        <w:ind w:firstLine="628"/>
        <w:rPr>
          <w:rFonts w:hint="eastAsia" w:ascii="宋体" w:hAnsi="宋体" w:eastAsia="宋体" w:cs="宋体"/>
          <w:sz w:val="24"/>
          <w:szCs w:val="24"/>
        </w:rPr>
      </w:pPr>
      <w:r>
        <w:rPr>
          <w:rFonts w:hint="eastAsia" w:ascii="宋体" w:hAnsi="宋体" w:eastAsia="宋体" w:cs="宋体"/>
          <w:sz w:val="24"/>
          <w:szCs w:val="24"/>
        </w:rPr>
        <w:t>审计记录应不能被删除、修改或覆盖，支持根据记录数据进行分析并生成审计报表。</w:t>
      </w:r>
    </w:p>
    <w:p w14:paraId="224D327E">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系统应保护审计进程，避免受到未预期的中断。</w:t>
      </w:r>
    </w:p>
    <w:p w14:paraId="6635E5FC">
      <w:pPr>
        <w:pStyle w:val="7"/>
        <w:numPr>
          <w:ilvl w:val="-1"/>
          <w:numId w:val="0"/>
        </w:numPr>
        <w:spacing w:line="264" w:lineRule="auto"/>
        <w:ind w:left="0"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数据安全</w:t>
      </w:r>
    </w:p>
    <w:p w14:paraId="3DA8E2CC">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系统应对数据库中存储的敏感数据（如患者个人信息、诊断信息、用药信息等）进行加密存储，数据库以密文方式存储敏感字段。</w:t>
      </w:r>
    </w:p>
    <w:p w14:paraId="03FAACED">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系统在数据传输过程中应采用HTTPS/TLS加密协议，对通信过程中的整个报文或会话过程进行加密，防止数据在传输过程中被窃取或篡改。</w:t>
      </w:r>
    </w:p>
    <w:p w14:paraId="36208CE1">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系统应具备数据备份与恢复机制，支持定期自动备份（至少每日增量备份、每周全量备份），确保关键业务数据可恢复。</w:t>
      </w:r>
    </w:p>
    <w:p w14:paraId="01F14796">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系统应提供数据有效性检验功能，保证通过人机接口输入或通信接口输入的数据格式和长度符合系统设定要求。</w:t>
      </w:r>
    </w:p>
    <w:p w14:paraId="50FA6F0B">
      <w:pPr>
        <w:pStyle w:val="7"/>
        <w:numPr>
          <w:ilvl w:val="-1"/>
          <w:numId w:val="0"/>
        </w:numPr>
        <w:spacing w:line="264" w:lineRule="auto"/>
        <w:ind w:left="0"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防渗透攻击</w:t>
      </w:r>
    </w:p>
    <w:p w14:paraId="47EDF4A0">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系统应具备防护SQL注入、跨站脚本攻击（XSS）、跨站请求伪造（CSRF）、缓冲区溢出、未经验证的重定向等常见Web安全攻击的能力。</w:t>
      </w:r>
    </w:p>
    <w:p w14:paraId="76CB32D6">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系统应对所有数据库操作进行特殊字符转义处理，对Cookie等敏感信息进行加密处理。</w:t>
      </w:r>
    </w:p>
    <w:p w14:paraId="0F5ECF3F">
      <w:pPr>
        <w:pStyle w:val="7"/>
        <w:numPr>
          <w:ilvl w:val="-1"/>
          <w:numId w:val="0"/>
        </w:numPr>
        <w:spacing w:line="264" w:lineRule="auto"/>
        <w:ind w:left="0"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资源控制</w:t>
      </w:r>
    </w:p>
    <w:p w14:paraId="447272D5">
      <w:pPr>
        <w:spacing w:line="264"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系统应支持对最大并发会话连接数进行限制，支持对单个账号的多重并发会话进行限制。</w:t>
      </w:r>
    </w:p>
    <w:p w14:paraId="66ED7153">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br w:type="page"/>
      </w:r>
    </w:p>
    <w:p w14:paraId="52611F8C">
      <w:pPr>
        <w:pStyle w:val="4"/>
        <w:numPr>
          <w:numId w:val="0"/>
        </w:numPr>
        <w:spacing w:line="300" w:lineRule="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（五）</w:t>
      </w:r>
      <w:r>
        <w:rPr>
          <w:rFonts w:hint="eastAsia" w:ascii="宋体" w:hAnsi="宋体" w:eastAsia="宋体" w:cs="宋体"/>
          <w:b/>
          <w:bCs/>
          <w:color w:val="000000" w:themeColor="text1"/>
          <w:sz w:val="24"/>
          <w:szCs w:val="24"/>
          <w14:textFill>
            <w14:solidFill>
              <w14:schemeClr w14:val="tx1"/>
            </w14:solidFill>
          </w14:textFill>
        </w:rPr>
        <w:t>部署实施要求</w:t>
      </w:r>
    </w:p>
    <w:p w14:paraId="4E4AD771">
      <w:pPr>
        <w:pStyle w:val="6"/>
        <w:spacing w:line="300" w:lineRule="auto"/>
        <w:ind w:firstLine="400" w:firstLineChars="0"/>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服务器部署方案（必须在此配置以上）</w:t>
      </w:r>
    </w:p>
    <w:p w14:paraId="236CEFCA">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服务器一台</w:t>
      </w:r>
    </w:p>
    <w:tbl>
      <w:tblPr>
        <w:tblStyle w:val="47"/>
        <w:tblW w:w="822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50" w:type="dxa"/>
          <w:left w:w="100" w:type="dxa"/>
          <w:bottom w:w="50" w:type="dxa"/>
          <w:right w:w="100" w:type="dxa"/>
        </w:tblCellMar>
      </w:tblPr>
      <w:tblGrid>
        <w:gridCol w:w="724"/>
        <w:gridCol w:w="949"/>
        <w:gridCol w:w="5557"/>
        <w:gridCol w:w="496"/>
        <w:gridCol w:w="496"/>
      </w:tblGrid>
      <w:tr w14:paraId="71E2C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1673" w:type="dxa"/>
            <w:gridSpan w:val="2"/>
            <w:vAlign w:val="center"/>
          </w:tcPr>
          <w:p w14:paraId="266E0CC1">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名称</w:t>
            </w:r>
          </w:p>
        </w:tc>
        <w:tc>
          <w:tcPr>
            <w:tcW w:w="5557" w:type="dxa"/>
            <w:vAlign w:val="center"/>
          </w:tcPr>
          <w:p w14:paraId="18420F18">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服务器</w:t>
            </w:r>
          </w:p>
        </w:tc>
        <w:tc>
          <w:tcPr>
            <w:tcW w:w="496" w:type="dxa"/>
          </w:tcPr>
          <w:p w14:paraId="1C4C3E56">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数量</w:t>
            </w:r>
          </w:p>
        </w:tc>
        <w:tc>
          <w:tcPr>
            <w:tcW w:w="496" w:type="dxa"/>
          </w:tcPr>
          <w:p w14:paraId="205BC34D">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单位</w:t>
            </w:r>
          </w:p>
        </w:tc>
      </w:tr>
      <w:tr w14:paraId="1B931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0264A5C7">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序号</w:t>
            </w:r>
          </w:p>
        </w:tc>
        <w:tc>
          <w:tcPr>
            <w:tcW w:w="949" w:type="dxa"/>
            <w:vAlign w:val="center"/>
          </w:tcPr>
          <w:p w14:paraId="5FB308F0">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指标项</w:t>
            </w:r>
          </w:p>
        </w:tc>
        <w:tc>
          <w:tcPr>
            <w:tcW w:w="5557" w:type="dxa"/>
            <w:vAlign w:val="center"/>
          </w:tcPr>
          <w:p w14:paraId="79ACEF89">
            <w:pPr>
              <w:adjustRightInd/>
              <w:snapToGrid/>
              <w:spacing w:line="300" w:lineRule="auto"/>
              <w:ind w:firstLine="0" w:firstLineChars="0"/>
              <w:jc w:val="center"/>
              <w:rPr>
                <w:rFonts w:hint="eastAsia" w:ascii="宋体" w:hAnsi="宋体" w:eastAsia="宋体" w:cs="宋体"/>
                <w:b/>
                <w:bCs/>
                <w:spacing w:val="0"/>
                <w:sz w:val="24"/>
                <w:szCs w:val="24"/>
              </w:rPr>
            </w:pPr>
            <w:r>
              <w:rPr>
                <w:rFonts w:hint="eastAsia" w:ascii="宋体" w:hAnsi="宋体" w:eastAsia="宋体" w:cs="宋体"/>
                <w:b/>
                <w:bCs/>
                <w:spacing w:val="0"/>
                <w:sz w:val="24"/>
                <w:szCs w:val="24"/>
              </w:rPr>
              <w:t>技术要求</w:t>
            </w:r>
          </w:p>
        </w:tc>
        <w:tc>
          <w:tcPr>
            <w:tcW w:w="496" w:type="dxa"/>
            <w:vMerge w:val="restart"/>
            <w:vAlign w:val="center"/>
          </w:tcPr>
          <w:p w14:paraId="07C7E42F">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ascii="宋体" w:hAnsi="宋体" w:eastAsia="宋体" w:cs="宋体"/>
                <w:spacing w:val="0"/>
                <w:sz w:val="24"/>
                <w:szCs w:val="24"/>
              </w:rPr>
              <w:t xml:space="preserve"> </w:t>
            </w:r>
          </w:p>
        </w:tc>
        <w:tc>
          <w:tcPr>
            <w:tcW w:w="496" w:type="dxa"/>
            <w:vMerge w:val="restart"/>
            <w:vAlign w:val="center"/>
          </w:tcPr>
          <w:p w14:paraId="469D481A">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台</w:t>
            </w:r>
          </w:p>
        </w:tc>
      </w:tr>
      <w:tr w14:paraId="50529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trHeight w:val="390" w:hRule="atLeast"/>
          <w:jc w:val="center"/>
        </w:trPr>
        <w:tc>
          <w:tcPr>
            <w:tcW w:w="724" w:type="dxa"/>
            <w:vAlign w:val="center"/>
          </w:tcPr>
          <w:p w14:paraId="50C44EBC">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6B376069">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品牌</w:t>
            </w:r>
          </w:p>
        </w:tc>
        <w:tc>
          <w:tcPr>
            <w:tcW w:w="5557" w:type="dxa"/>
          </w:tcPr>
          <w:p w14:paraId="2D4B3239">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国产品牌</w:t>
            </w:r>
          </w:p>
        </w:tc>
        <w:tc>
          <w:tcPr>
            <w:tcW w:w="496" w:type="dxa"/>
            <w:vMerge w:val="continue"/>
          </w:tcPr>
          <w:p w14:paraId="58439320">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54346863">
            <w:pPr>
              <w:adjustRightInd/>
              <w:snapToGrid/>
              <w:spacing w:line="300" w:lineRule="auto"/>
              <w:ind w:firstLine="0" w:firstLineChars="0"/>
              <w:rPr>
                <w:rFonts w:hint="eastAsia" w:ascii="宋体" w:hAnsi="宋体" w:eastAsia="宋体" w:cs="宋体"/>
                <w:spacing w:val="0"/>
                <w:sz w:val="24"/>
                <w:szCs w:val="24"/>
              </w:rPr>
            </w:pPr>
          </w:p>
        </w:tc>
      </w:tr>
      <w:tr w14:paraId="6891C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trHeight w:val="54" w:hRule="atLeast"/>
          <w:jc w:val="center"/>
        </w:trPr>
        <w:tc>
          <w:tcPr>
            <w:tcW w:w="724" w:type="dxa"/>
            <w:vAlign w:val="center"/>
          </w:tcPr>
          <w:p w14:paraId="4645FE54">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0ACBBD76">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规格</w:t>
            </w:r>
          </w:p>
        </w:tc>
        <w:tc>
          <w:tcPr>
            <w:tcW w:w="5557" w:type="dxa"/>
          </w:tcPr>
          <w:p w14:paraId="71771DF5">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4U标准机架式服务器</w:t>
            </w:r>
          </w:p>
        </w:tc>
        <w:tc>
          <w:tcPr>
            <w:tcW w:w="496" w:type="dxa"/>
            <w:vMerge w:val="continue"/>
          </w:tcPr>
          <w:p w14:paraId="6FC10FC6">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6B1F761D">
            <w:pPr>
              <w:adjustRightInd/>
              <w:snapToGrid/>
              <w:spacing w:line="300" w:lineRule="auto"/>
              <w:ind w:firstLine="0" w:firstLineChars="0"/>
              <w:rPr>
                <w:rFonts w:hint="eastAsia" w:ascii="宋体" w:hAnsi="宋体" w:eastAsia="宋体" w:cs="宋体"/>
                <w:spacing w:val="0"/>
                <w:sz w:val="24"/>
                <w:szCs w:val="24"/>
              </w:rPr>
            </w:pPr>
          </w:p>
        </w:tc>
      </w:tr>
      <w:tr w14:paraId="024A5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trHeight w:val="51" w:hRule="atLeast"/>
          <w:jc w:val="center"/>
        </w:trPr>
        <w:tc>
          <w:tcPr>
            <w:tcW w:w="724" w:type="dxa"/>
            <w:vAlign w:val="center"/>
          </w:tcPr>
          <w:p w14:paraId="4CD56546">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37C7130E">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处理器</w:t>
            </w:r>
          </w:p>
        </w:tc>
        <w:tc>
          <w:tcPr>
            <w:tcW w:w="5557" w:type="dxa"/>
          </w:tcPr>
          <w:p w14:paraId="15820084">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配置2颗英特尔第三代至强可扩展处理器，主频2.1G，24核，L3缓存36MB；</w:t>
            </w:r>
          </w:p>
        </w:tc>
        <w:tc>
          <w:tcPr>
            <w:tcW w:w="496" w:type="dxa"/>
            <w:vMerge w:val="continue"/>
          </w:tcPr>
          <w:p w14:paraId="11BD9464">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696CAF13">
            <w:pPr>
              <w:adjustRightInd/>
              <w:snapToGrid/>
              <w:spacing w:line="300" w:lineRule="auto"/>
              <w:ind w:firstLine="0" w:firstLineChars="0"/>
              <w:rPr>
                <w:rFonts w:hint="eastAsia" w:ascii="宋体" w:hAnsi="宋体" w:eastAsia="宋体" w:cs="宋体"/>
                <w:spacing w:val="0"/>
                <w:sz w:val="24"/>
                <w:szCs w:val="24"/>
              </w:rPr>
            </w:pPr>
          </w:p>
        </w:tc>
      </w:tr>
      <w:tr w14:paraId="6345F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33728A1E">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35974798">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内存</w:t>
            </w:r>
          </w:p>
        </w:tc>
        <w:tc>
          <w:tcPr>
            <w:tcW w:w="5557" w:type="dxa"/>
          </w:tcPr>
          <w:p w14:paraId="6E16177E">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配置64GB DDR4；频率:3200MHz；内存容量 1024G；最大支持内存插槽数 32个 DIMM 插槽；</w:t>
            </w:r>
          </w:p>
        </w:tc>
        <w:tc>
          <w:tcPr>
            <w:tcW w:w="496" w:type="dxa"/>
            <w:vMerge w:val="continue"/>
          </w:tcPr>
          <w:p w14:paraId="30F6B644">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6749E433">
            <w:pPr>
              <w:adjustRightInd/>
              <w:snapToGrid/>
              <w:spacing w:line="300" w:lineRule="auto"/>
              <w:ind w:firstLine="0" w:firstLineChars="0"/>
              <w:rPr>
                <w:rFonts w:hint="eastAsia" w:ascii="宋体" w:hAnsi="宋体" w:eastAsia="宋体" w:cs="宋体"/>
                <w:spacing w:val="0"/>
                <w:sz w:val="24"/>
                <w:szCs w:val="24"/>
              </w:rPr>
            </w:pPr>
          </w:p>
        </w:tc>
      </w:tr>
      <w:tr w14:paraId="42E87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1F685421">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3F7C7BFE">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存储</w:t>
            </w:r>
          </w:p>
        </w:tc>
        <w:tc>
          <w:tcPr>
            <w:tcW w:w="5557" w:type="dxa"/>
          </w:tcPr>
          <w:p w14:paraId="7B6CAFFF">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配置2块480GB SATA SSD 3.5英寸热插拔硬盘；16块3840GB SATA SSD 3.5寸硬盘；最大支持40个3.5寸SATA/SAS硬盘和4个2.5寸SATA/SAS/NVME硬盘；</w:t>
            </w:r>
          </w:p>
        </w:tc>
        <w:tc>
          <w:tcPr>
            <w:tcW w:w="496" w:type="dxa"/>
            <w:vMerge w:val="continue"/>
          </w:tcPr>
          <w:p w14:paraId="01F32041">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44997047">
            <w:pPr>
              <w:adjustRightInd/>
              <w:snapToGrid/>
              <w:spacing w:line="300" w:lineRule="auto"/>
              <w:ind w:firstLine="0" w:firstLineChars="0"/>
              <w:rPr>
                <w:rFonts w:hint="eastAsia" w:ascii="宋体" w:hAnsi="宋体" w:eastAsia="宋体" w:cs="宋体"/>
                <w:spacing w:val="0"/>
                <w:sz w:val="24"/>
                <w:szCs w:val="24"/>
              </w:rPr>
            </w:pPr>
          </w:p>
        </w:tc>
      </w:tr>
      <w:tr w14:paraId="07283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44A0A850">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1BDB146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内置存储</w:t>
            </w:r>
          </w:p>
        </w:tc>
        <w:tc>
          <w:tcPr>
            <w:tcW w:w="5557" w:type="dxa"/>
          </w:tcPr>
          <w:p w14:paraId="762E3147">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支持 2*M.2 SATA SSD，支持硬RAID1，支持免开箱热插拔；</w:t>
            </w:r>
          </w:p>
        </w:tc>
        <w:tc>
          <w:tcPr>
            <w:tcW w:w="496" w:type="dxa"/>
            <w:vMerge w:val="continue"/>
          </w:tcPr>
          <w:p w14:paraId="272DE735">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7A340DBD">
            <w:pPr>
              <w:adjustRightInd/>
              <w:snapToGrid/>
              <w:spacing w:line="300" w:lineRule="auto"/>
              <w:ind w:firstLine="0" w:firstLineChars="0"/>
              <w:rPr>
                <w:rFonts w:hint="eastAsia" w:ascii="宋体" w:hAnsi="宋体" w:eastAsia="宋体" w:cs="宋体"/>
                <w:spacing w:val="0"/>
                <w:sz w:val="24"/>
                <w:szCs w:val="24"/>
              </w:rPr>
            </w:pPr>
          </w:p>
        </w:tc>
      </w:tr>
      <w:tr w14:paraId="0CD09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354E2718">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51EE6D85">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阵列卡</w:t>
            </w:r>
          </w:p>
        </w:tc>
        <w:tc>
          <w:tcPr>
            <w:tcW w:w="5557" w:type="dxa"/>
          </w:tcPr>
          <w:p w14:paraId="0F740007">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独立缓存4GB缓存，独立阵列控制器；支持RAID 0/1/10/5/50/6/60/10；</w:t>
            </w:r>
          </w:p>
        </w:tc>
        <w:tc>
          <w:tcPr>
            <w:tcW w:w="496" w:type="dxa"/>
            <w:vMerge w:val="continue"/>
          </w:tcPr>
          <w:p w14:paraId="6096BDDB">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3A93E6DD">
            <w:pPr>
              <w:adjustRightInd/>
              <w:snapToGrid/>
              <w:spacing w:line="300" w:lineRule="auto"/>
              <w:ind w:firstLine="0" w:firstLineChars="0"/>
              <w:rPr>
                <w:rFonts w:hint="eastAsia" w:ascii="宋体" w:hAnsi="宋体" w:eastAsia="宋体" w:cs="宋体"/>
                <w:spacing w:val="0"/>
                <w:sz w:val="24"/>
                <w:szCs w:val="24"/>
              </w:rPr>
            </w:pPr>
          </w:p>
        </w:tc>
      </w:tr>
      <w:tr w14:paraId="13CE1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579C3CDF">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09BD312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I/O扩展槽</w:t>
            </w:r>
          </w:p>
        </w:tc>
        <w:tc>
          <w:tcPr>
            <w:tcW w:w="5557" w:type="dxa"/>
          </w:tcPr>
          <w:p w14:paraId="1E7CA364">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最多11个PCIe 4.0扩展槽位，包括1个RAID卡专用的PCIe扩展槽位，2个OCP3.0专用FLEX IO扩展槽位，8个标准PCIe4.0扩展槽位；</w:t>
            </w:r>
            <w:r>
              <w:rPr>
                <w:rFonts w:ascii="宋体" w:hAnsi="宋体" w:eastAsia="宋体" w:cs="宋体"/>
                <w:color w:val="FF0000"/>
                <w:spacing w:val="0"/>
                <w:sz w:val="24"/>
                <w:szCs w:val="24"/>
              </w:rPr>
              <w:t xml:space="preserve"> </w:t>
            </w:r>
          </w:p>
        </w:tc>
        <w:tc>
          <w:tcPr>
            <w:tcW w:w="496" w:type="dxa"/>
            <w:vMerge w:val="continue"/>
          </w:tcPr>
          <w:p w14:paraId="40C7E49E">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0DEE39B6">
            <w:pPr>
              <w:adjustRightInd/>
              <w:snapToGrid/>
              <w:spacing w:line="300" w:lineRule="auto"/>
              <w:ind w:firstLine="0" w:firstLineChars="0"/>
              <w:rPr>
                <w:rFonts w:hint="eastAsia" w:ascii="宋体" w:hAnsi="宋体" w:eastAsia="宋体" w:cs="宋体"/>
                <w:spacing w:val="0"/>
                <w:sz w:val="24"/>
                <w:szCs w:val="24"/>
              </w:rPr>
            </w:pPr>
          </w:p>
        </w:tc>
      </w:tr>
      <w:tr w14:paraId="2D7F9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59FBFAC3">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7DCBCD98">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网络</w:t>
            </w:r>
          </w:p>
        </w:tc>
        <w:tc>
          <w:tcPr>
            <w:tcW w:w="5557" w:type="dxa"/>
          </w:tcPr>
          <w:p w14:paraId="514C7493">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配置2*GE+6*10GE光口（含光模块）</w:t>
            </w:r>
          </w:p>
        </w:tc>
        <w:tc>
          <w:tcPr>
            <w:tcW w:w="496" w:type="dxa"/>
            <w:vMerge w:val="continue"/>
          </w:tcPr>
          <w:p w14:paraId="61A51AB8">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4D7981B6">
            <w:pPr>
              <w:adjustRightInd/>
              <w:snapToGrid/>
              <w:spacing w:line="300" w:lineRule="auto"/>
              <w:ind w:firstLine="0" w:firstLineChars="0"/>
              <w:rPr>
                <w:rFonts w:hint="eastAsia" w:ascii="宋体" w:hAnsi="宋体" w:eastAsia="宋体" w:cs="宋体"/>
                <w:spacing w:val="0"/>
                <w:sz w:val="24"/>
                <w:szCs w:val="24"/>
              </w:rPr>
            </w:pPr>
          </w:p>
        </w:tc>
      </w:tr>
      <w:tr w14:paraId="31F72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508F168E">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2FB5129C">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配置</w:t>
            </w:r>
          </w:p>
        </w:tc>
        <w:tc>
          <w:tcPr>
            <w:tcW w:w="5557" w:type="dxa"/>
          </w:tcPr>
          <w:p w14:paraId="5A3670E6">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集成显卡,显存≥32 MB；</w:t>
            </w:r>
          </w:p>
        </w:tc>
        <w:tc>
          <w:tcPr>
            <w:tcW w:w="496" w:type="dxa"/>
            <w:vMerge w:val="continue"/>
          </w:tcPr>
          <w:p w14:paraId="07D68872">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10B51F7F">
            <w:pPr>
              <w:adjustRightInd/>
              <w:snapToGrid/>
              <w:spacing w:line="300" w:lineRule="auto"/>
              <w:ind w:firstLine="0" w:firstLineChars="0"/>
              <w:rPr>
                <w:rFonts w:hint="eastAsia" w:ascii="宋体" w:hAnsi="宋体" w:eastAsia="宋体" w:cs="宋体"/>
                <w:spacing w:val="0"/>
                <w:sz w:val="24"/>
                <w:szCs w:val="24"/>
              </w:rPr>
            </w:pPr>
          </w:p>
        </w:tc>
      </w:tr>
      <w:tr w14:paraId="3EA29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trHeight w:val="350" w:hRule="atLeast"/>
          <w:jc w:val="center"/>
        </w:trPr>
        <w:tc>
          <w:tcPr>
            <w:tcW w:w="724" w:type="dxa"/>
            <w:tcBorders>
              <w:bottom w:val="single" w:color="auto" w:sz="4" w:space="0"/>
            </w:tcBorders>
            <w:vAlign w:val="center"/>
          </w:tcPr>
          <w:p w14:paraId="6A694DC8">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tcBorders>
              <w:bottom w:val="single" w:color="auto" w:sz="4" w:space="0"/>
            </w:tcBorders>
            <w:vAlign w:val="center"/>
          </w:tcPr>
          <w:p w14:paraId="43B76FC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电源</w:t>
            </w:r>
          </w:p>
        </w:tc>
        <w:tc>
          <w:tcPr>
            <w:tcW w:w="5557" w:type="dxa"/>
            <w:tcBorders>
              <w:bottom w:val="single" w:color="auto" w:sz="4" w:space="0"/>
            </w:tcBorders>
          </w:tcPr>
          <w:p w14:paraId="5F5F6EC0">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1500W 白金电源 ，1+1冗余配置；</w:t>
            </w:r>
          </w:p>
        </w:tc>
        <w:tc>
          <w:tcPr>
            <w:tcW w:w="496" w:type="dxa"/>
            <w:vMerge w:val="continue"/>
          </w:tcPr>
          <w:p w14:paraId="4D66CECD">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110752DF">
            <w:pPr>
              <w:adjustRightInd/>
              <w:snapToGrid/>
              <w:spacing w:line="300" w:lineRule="auto"/>
              <w:ind w:firstLine="0" w:firstLineChars="0"/>
              <w:rPr>
                <w:rFonts w:hint="eastAsia" w:ascii="宋体" w:hAnsi="宋体" w:eastAsia="宋体" w:cs="宋体"/>
                <w:spacing w:val="0"/>
                <w:sz w:val="24"/>
                <w:szCs w:val="24"/>
              </w:rPr>
            </w:pPr>
          </w:p>
        </w:tc>
      </w:tr>
      <w:tr w14:paraId="62413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trHeight w:val="150" w:hRule="atLeast"/>
          <w:jc w:val="center"/>
        </w:trPr>
        <w:tc>
          <w:tcPr>
            <w:tcW w:w="724" w:type="dxa"/>
            <w:tcBorders>
              <w:top w:val="single" w:color="auto" w:sz="4" w:space="0"/>
            </w:tcBorders>
            <w:vAlign w:val="center"/>
          </w:tcPr>
          <w:p w14:paraId="7D9995CB">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tcBorders>
              <w:top w:val="single" w:color="auto" w:sz="4" w:space="0"/>
            </w:tcBorders>
            <w:vAlign w:val="center"/>
          </w:tcPr>
          <w:p w14:paraId="508F64A7">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风扇</w:t>
            </w:r>
          </w:p>
        </w:tc>
        <w:tc>
          <w:tcPr>
            <w:tcW w:w="5557" w:type="dxa"/>
            <w:tcBorders>
              <w:top w:val="single" w:color="auto" w:sz="4" w:space="0"/>
            </w:tcBorders>
          </w:tcPr>
          <w:p w14:paraId="442D1F81">
            <w:pPr>
              <w:widowControl w:val="0"/>
              <w:spacing w:after="0" w:line="300" w:lineRule="auto"/>
              <w:ind w:left="0" w:leftChars="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最大支持4个，支持N+1冗余；</w:t>
            </w:r>
          </w:p>
        </w:tc>
        <w:tc>
          <w:tcPr>
            <w:tcW w:w="496" w:type="dxa"/>
            <w:vMerge w:val="continue"/>
          </w:tcPr>
          <w:p w14:paraId="4803A102">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53F065AE">
            <w:pPr>
              <w:adjustRightInd/>
              <w:snapToGrid/>
              <w:spacing w:line="300" w:lineRule="auto"/>
              <w:ind w:firstLine="0" w:firstLineChars="0"/>
              <w:rPr>
                <w:rFonts w:hint="eastAsia" w:ascii="宋体" w:hAnsi="宋体" w:eastAsia="宋体" w:cs="宋体"/>
                <w:spacing w:val="0"/>
                <w:sz w:val="24"/>
                <w:szCs w:val="24"/>
              </w:rPr>
            </w:pPr>
          </w:p>
        </w:tc>
      </w:tr>
      <w:tr w14:paraId="2E984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41E2DCE0">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4011487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环境温度</w:t>
            </w:r>
          </w:p>
        </w:tc>
        <w:tc>
          <w:tcPr>
            <w:tcW w:w="5557" w:type="dxa"/>
          </w:tcPr>
          <w:p w14:paraId="0468F2D1">
            <w:pPr>
              <w:adjustRightInd/>
              <w:snapToGrid/>
              <w:spacing w:line="300" w:lineRule="auto"/>
              <w:ind w:firstLine="0" w:firstLineChars="0"/>
              <w:rPr>
                <w:rFonts w:hint="eastAsia" w:ascii="宋体" w:hAnsi="宋体" w:eastAsia="宋体" w:cs="宋体"/>
                <w:spacing w:val="0"/>
                <w:sz w:val="24"/>
                <w:szCs w:val="24"/>
              </w:rPr>
            </w:pPr>
            <w:bookmarkStart w:id="0" w:name="OLE_LINK2"/>
            <w:r>
              <w:rPr>
                <w:rFonts w:hint="eastAsia" w:ascii="宋体" w:hAnsi="宋体" w:eastAsia="宋体" w:cs="宋体"/>
                <w:spacing w:val="0"/>
                <w:sz w:val="24"/>
                <w:szCs w:val="24"/>
              </w:rPr>
              <w:t>▲</w:t>
            </w:r>
            <w:bookmarkEnd w:id="0"/>
            <w:r>
              <w:rPr>
                <w:rFonts w:hint="eastAsia" w:ascii="宋体" w:hAnsi="宋体" w:eastAsia="宋体" w:cs="宋体"/>
                <w:spacing w:val="0"/>
                <w:sz w:val="24"/>
                <w:szCs w:val="24"/>
              </w:rPr>
              <w:t>长期工作环境温度支持5-45度；</w:t>
            </w:r>
            <w:r>
              <w:rPr>
                <w:rFonts w:hint="eastAsia" w:ascii="宋体" w:hAnsi="宋体" w:eastAsia="宋体" w:cs="宋体"/>
                <w:color w:val="000000"/>
                <w:spacing w:val="0"/>
                <w:sz w:val="24"/>
                <w:szCs w:val="24"/>
              </w:rPr>
              <w:t>（提供产品彩页或官网截图与链接加供应商盖章）</w:t>
            </w:r>
          </w:p>
        </w:tc>
        <w:tc>
          <w:tcPr>
            <w:tcW w:w="496" w:type="dxa"/>
            <w:vMerge w:val="continue"/>
          </w:tcPr>
          <w:p w14:paraId="23B0BF0A">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66F37F9D">
            <w:pPr>
              <w:adjustRightInd/>
              <w:snapToGrid/>
              <w:spacing w:line="300" w:lineRule="auto"/>
              <w:ind w:firstLine="0" w:firstLineChars="0"/>
              <w:rPr>
                <w:rFonts w:hint="eastAsia" w:ascii="宋体" w:hAnsi="宋体" w:eastAsia="宋体" w:cs="宋体"/>
                <w:spacing w:val="0"/>
                <w:sz w:val="24"/>
                <w:szCs w:val="24"/>
              </w:rPr>
            </w:pPr>
          </w:p>
        </w:tc>
      </w:tr>
      <w:tr w14:paraId="0D8FB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1A0255DF">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77D70986">
            <w:pPr>
              <w:adjustRightInd/>
              <w:snapToGrid/>
              <w:spacing w:line="300" w:lineRule="auto"/>
              <w:ind w:firstLine="0" w:firstLineChars="0"/>
              <w:jc w:val="center"/>
              <w:rPr>
                <w:rFonts w:hint="eastAsia" w:ascii="宋体" w:hAnsi="宋体" w:eastAsia="宋体" w:cs="宋体"/>
                <w:spacing w:val="0"/>
                <w:sz w:val="24"/>
                <w:szCs w:val="24"/>
              </w:rPr>
            </w:pPr>
            <w:r>
              <w:rPr>
                <w:rFonts w:ascii="宋体" w:hAnsi="宋体" w:eastAsia="宋体" w:cs="宋体"/>
                <w:spacing w:val="0"/>
                <w:sz w:val="24"/>
                <w:szCs w:val="24"/>
              </w:rPr>
              <w:t>BIOS</w:t>
            </w:r>
          </w:p>
        </w:tc>
        <w:tc>
          <w:tcPr>
            <w:tcW w:w="5557" w:type="dxa"/>
          </w:tcPr>
          <w:p w14:paraId="491D8AB0">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投标产品BIOS支持图形化界面，支持鼠标操作，支持中文BIOS。</w:t>
            </w:r>
          </w:p>
        </w:tc>
        <w:tc>
          <w:tcPr>
            <w:tcW w:w="496" w:type="dxa"/>
            <w:vMerge w:val="continue"/>
          </w:tcPr>
          <w:p w14:paraId="760EBBF2">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4EFBCB2A">
            <w:pPr>
              <w:adjustRightInd/>
              <w:snapToGrid/>
              <w:spacing w:line="300" w:lineRule="auto"/>
              <w:ind w:firstLine="0" w:firstLineChars="0"/>
              <w:rPr>
                <w:rFonts w:hint="eastAsia" w:ascii="宋体" w:hAnsi="宋体" w:eastAsia="宋体" w:cs="宋体"/>
                <w:spacing w:val="0"/>
                <w:sz w:val="24"/>
                <w:szCs w:val="24"/>
              </w:rPr>
            </w:pPr>
          </w:p>
        </w:tc>
      </w:tr>
      <w:tr w14:paraId="74FB1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21F48480">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2E7739C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管理功能</w:t>
            </w:r>
          </w:p>
        </w:tc>
        <w:tc>
          <w:tcPr>
            <w:tcW w:w="5557" w:type="dxa"/>
          </w:tcPr>
          <w:p w14:paraId="52BE4FBD">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▲服务器管理系统支持国产自研管理芯片， 服务器管理软件支持在中华人民共和国境内工商局登记注册的芯片</w:t>
            </w:r>
            <w:r>
              <w:rPr>
                <w:rFonts w:hint="eastAsia" w:ascii="宋体" w:hAnsi="宋体" w:eastAsia="宋体" w:cs="宋体"/>
                <w:color w:val="000000"/>
                <w:spacing w:val="0"/>
                <w:sz w:val="24"/>
                <w:szCs w:val="24"/>
              </w:rPr>
              <w:t>（提供芯片厂家发布的产品简介与链接加供应商盖章），支持内存UCE Non-Fatal精准告警及内存故障隔离功能，支持PCIe标卡UCE故障精准告警功能，基于Redfish规范的SSDP自动发现协议支持网管通过SSDP报文识别新接入服务器设备；（需提供官网资料证明并加供应商盖章）</w:t>
            </w:r>
          </w:p>
        </w:tc>
        <w:tc>
          <w:tcPr>
            <w:tcW w:w="496" w:type="dxa"/>
            <w:vMerge w:val="continue"/>
          </w:tcPr>
          <w:p w14:paraId="7BB7BD89">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0BD3536D">
            <w:pPr>
              <w:adjustRightInd/>
              <w:snapToGrid/>
              <w:spacing w:line="300" w:lineRule="auto"/>
              <w:ind w:firstLine="0" w:firstLineChars="0"/>
              <w:rPr>
                <w:rFonts w:hint="eastAsia" w:ascii="宋体" w:hAnsi="宋体" w:eastAsia="宋体" w:cs="宋体"/>
                <w:spacing w:val="0"/>
                <w:sz w:val="24"/>
                <w:szCs w:val="24"/>
              </w:rPr>
            </w:pPr>
          </w:p>
        </w:tc>
      </w:tr>
      <w:tr w14:paraId="2FC87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318B28A6">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213A179D">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安全</w:t>
            </w:r>
          </w:p>
        </w:tc>
        <w:tc>
          <w:tcPr>
            <w:tcW w:w="5557" w:type="dxa"/>
          </w:tcPr>
          <w:p w14:paraId="494F5B1E">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▲支持基于芯片可信根实现固件启动前的完整性校验，支持基于Kerberos协议的用户认证管理机制，支持BMC系统锁定模式有助于在系统配置完成后防止意外更改，可以帮助保护系统免受无意或恶意的更改；</w:t>
            </w:r>
            <w:r>
              <w:rPr>
                <w:rFonts w:hint="eastAsia" w:ascii="宋体" w:hAnsi="宋体" w:eastAsia="宋体" w:cs="宋体"/>
                <w:color w:val="000000"/>
                <w:spacing w:val="0"/>
                <w:sz w:val="24"/>
                <w:szCs w:val="24"/>
              </w:rPr>
              <w:t>（需提供官网证明材料加供应商盖章）</w:t>
            </w:r>
          </w:p>
        </w:tc>
        <w:tc>
          <w:tcPr>
            <w:tcW w:w="496" w:type="dxa"/>
            <w:vMerge w:val="continue"/>
          </w:tcPr>
          <w:p w14:paraId="11E3436A">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0C6936AE">
            <w:pPr>
              <w:adjustRightInd/>
              <w:snapToGrid/>
              <w:spacing w:line="300" w:lineRule="auto"/>
              <w:ind w:firstLine="0" w:firstLineChars="0"/>
              <w:rPr>
                <w:rFonts w:hint="eastAsia" w:ascii="宋体" w:hAnsi="宋体" w:eastAsia="宋体" w:cs="宋体"/>
                <w:spacing w:val="0"/>
                <w:sz w:val="24"/>
                <w:szCs w:val="24"/>
              </w:rPr>
            </w:pPr>
          </w:p>
        </w:tc>
      </w:tr>
      <w:tr w14:paraId="767D8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1F0B2E82">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5878B13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认证</w:t>
            </w:r>
          </w:p>
        </w:tc>
        <w:tc>
          <w:tcPr>
            <w:tcW w:w="5557" w:type="dxa"/>
          </w:tcPr>
          <w:p w14:paraId="0C7D23C2">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▲产品通过CCC认证，并提供相关证书；</w:t>
            </w:r>
          </w:p>
        </w:tc>
        <w:tc>
          <w:tcPr>
            <w:tcW w:w="496" w:type="dxa"/>
            <w:vMerge w:val="continue"/>
          </w:tcPr>
          <w:p w14:paraId="3F2D5138">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2C96C3B6">
            <w:pPr>
              <w:adjustRightInd/>
              <w:snapToGrid/>
              <w:spacing w:line="300" w:lineRule="auto"/>
              <w:ind w:firstLine="0" w:firstLineChars="0"/>
              <w:rPr>
                <w:rFonts w:hint="eastAsia" w:ascii="宋体" w:hAnsi="宋体" w:eastAsia="宋体" w:cs="宋体"/>
                <w:spacing w:val="0"/>
                <w:sz w:val="24"/>
                <w:szCs w:val="24"/>
              </w:rPr>
            </w:pPr>
          </w:p>
        </w:tc>
      </w:tr>
      <w:tr w14:paraId="2B74F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50" w:type="dxa"/>
            <w:left w:w="100" w:type="dxa"/>
            <w:bottom w:w="50" w:type="dxa"/>
            <w:right w:w="100" w:type="dxa"/>
          </w:tblCellMar>
        </w:tblPrEx>
        <w:trPr>
          <w:jc w:val="center"/>
        </w:trPr>
        <w:tc>
          <w:tcPr>
            <w:tcW w:w="724" w:type="dxa"/>
            <w:vAlign w:val="center"/>
          </w:tcPr>
          <w:p w14:paraId="568D784A">
            <w:pPr>
              <w:numPr>
                <w:ilvl w:val="0"/>
                <w:numId w:val="8"/>
              </w:numPr>
              <w:tabs>
                <w:tab w:val="left" w:pos="0"/>
                <w:tab w:val="clear" w:pos="420"/>
              </w:tabs>
              <w:adjustRightInd/>
              <w:snapToGrid/>
              <w:spacing w:line="300" w:lineRule="auto"/>
              <w:ind w:left="828" w:leftChars="0" w:hanging="828" w:hangingChars="345"/>
              <w:jc w:val="center"/>
              <w:rPr>
                <w:rFonts w:hint="eastAsia" w:ascii="宋体" w:hAnsi="宋体" w:eastAsia="宋体" w:cs="宋体"/>
                <w:spacing w:val="0"/>
                <w:sz w:val="24"/>
                <w:szCs w:val="24"/>
              </w:rPr>
            </w:pPr>
          </w:p>
        </w:tc>
        <w:tc>
          <w:tcPr>
            <w:tcW w:w="949" w:type="dxa"/>
            <w:vAlign w:val="center"/>
          </w:tcPr>
          <w:p w14:paraId="756A05F4">
            <w:pPr>
              <w:adjustRightInd/>
              <w:snapToGrid/>
              <w:spacing w:line="300" w:lineRule="auto"/>
              <w:ind w:firstLine="0" w:firstLineChars="0"/>
              <w:jc w:val="center"/>
              <w:rPr>
                <w:rFonts w:hint="eastAsia" w:ascii="宋体" w:hAnsi="宋体" w:eastAsia="宋体" w:cs="宋体"/>
                <w:spacing w:val="0"/>
                <w:sz w:val="24"/>
                <w:szCs w:val="24"/>
              </w:rPr>
            </w:pPr>
            <w:r>
              <w:rPr>
                <w:rFonts w:hint="eastAsia" w:ascii="宋体" w:hAnsi="宋体" w:eastAsia="宋体" w:cs="宋体"/>
                <w:spacing w:val="0"/>
                <w:sz w:val="24"/>
                <w:szCs w:val="24"/>
              </w:rPr>
              <w:t>服务</w:t>
            </w:r>
          </w:p>
        </w:tc>
        <w:tc>
          <w:tcPr>
            <w:tcW w:w="5557" w:type="dxa"/>
          </w:tcPr>
          <w:p w14:paraId="1C7541BA">
            <w:pPr>
              <w:adjustRightInd/>
              <w:snapToGrid/>
              <w:spacing w:line="300" w:lineRule="auto"/>
              <w:ind w:firstLine="0" w:firstLineChars="0"/>
              <w:rPr>
                <w:rFonts w:hint="eastAsia" w:ascii="宋体" w:hAnsi="宋体" w:eastAsia="宋体" w:cs="宋体"/>
                <w:spacing w:val="0"/>
                <w:sz w:val="24"/>
                <w:szCs w:val="24"/>
              </w:rPr>
            </w:pPr>
            <w:r>
              <w:rPr>
                <w:rFonts w:hint="eastAsia" w:ascii="宋体" w:hAnsi="宋体" w:eastAsia="宋体" w:cs="宋体"/>
                <w:spacing w:val="0"/>
                <w:sz w:val="24"/>
                <w:szCs w:val="24"/>
              </w:rPr>
              <w:t>提供三年维保，</w:t>
            </w:r>
            <w:r>
              <w:rPr>
                <w:rFonts w:hint="eastAsia" w:ascii="宋体" w:hAnsi="宋体" w:eastAsia="宋体" w:cs="宋体"/>
                <w:spacing w:val="0"/>
                <w:sz w:val="24"/>
                <w:szCs w:val="24"/>
                <w:lang w:val="en-US" w:eastAsia="zh-CN"/>
              </w:rPr>
              <w:t>合同签订前</w:t>
            </w:r>
            <w:r>
              <w:rPr>
                <w:rFonts w:hint="eastAsia" w:ascii="宋体" w:hAnsi="宋体" w:eastAsia="宋体" w:cs="宋体"/>
                <w:spacing w:val="0"/>
                <w:sz w:val="24"/>
                <w:szCs w:val="24"/>
              </w:rPr>
              <w:t>提供原厂</w:t>
            </w:r>
            <w:r>
              <w:rPr>
                <w:rFonts w:hint="eastAsia" w:ascii="宋体" w:hAnsi="宋体" w:eastAsia="宋体" w:cs="宋体"/>
                <w:spacing w:val="0"/>
                <w:sz w:val="24"/>
                <w:szCs w:val="24"/>
                <w:lang w:val="en-US" w:eastAsia="zh-CN"/>
              </w:rPr>
              <w:t>供货证明</w:t>
            </w:r>
            <w:r>
              <w:rPr>
                <w:rFonts w:hint="eastAsia" w:ascii="宋体" w:hAnsi="宋体" w:eastAsia="宋体" w:cs="宋体"/>
                <w:spacing w:val="0"/>
                <w:sz w:val="24"/>
                <w:szCs w:val="24"/>
              </w:rPr>
              <w:t>；</w:t>
            </w:r>
          </w:p>
        </w:tc>
        <w:tc>
          <w:tcPr>
            <w:tcW w:w="496" w:type="dxa"/>
            <w:vMerge w:val="continue"/>
          </w:tcPr>
          <w:p w14:paraId="6B16E572">
            <w:pPr>
              <w:adjustRightInd/>
              <w:snapToGrid/>
              <w:spacing w:line="300" w:lineRule="auto"/>
              <w:ind w:firstLine="0" w:firstLineChars="0"/>
              <w:rPr>
                <w:rFonts w:hint="eastAsia" w:ascii="宋体" w:hAnsi="宋体" w:eastAsia="宋体" w:cs="宋体"/>
                <w:spacing w:val="0"/>
                <w:sz w:val="24"/>
                <w:szCs w:val="24"/>
              </w:rPr>
            </w:pPr>
          </w:p>
        </w:tc>
        <w:tc>
          <w:tcPr>
            <w:tcW w:w="496" w:type="dxa"/>
            <w:vMerge w:val="continue"/>
          </w:tcPr>
          <w:p w14:paraId="2357FAA6">
            <w:pPr>
              <w:adjustRightInd/>
              <w:snapToGrid/>
              <w:spacing w:line="300" w:lineRule="auto"/>
              <w:ind w:firstLine="0" w:firstLineChars="0"/>
              <w:rPr>
                <w:rFonts w:hint="eastAsia" w:ascii="宋体" w:hAnsi="宋体" w:eastAsia="宋体" w:cs="宋体"/>
                <w:spacing w:val="0"/>
                <w:sz w:val="24"/>
                <w:szCs w:val="24"/>
              </w:rPr>
            </w:pPr>
          </w:p>
        </w:tc>
      </w:tr>
    </w:tbl>
    <w:p w14:paraId="0F3E5014">
      <w:pPr>
        <w:pStyle w:val="6"/>
        <w:numPr>
          <w:ilvl w:val="2"/>
          <w:numId w:val="0"/>
        </w:numPr>
        <w:spacing w:line="300" w:lineRule="auto"/>
        <w:ind w:left="0" w:firstLine="4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w:t>
      </w:r>
      <w:r>
        <w:rPr>
          <w:rFonts w:hint="default" w:ascii="宋体" w:hAnsi="宋体" w:eastAsia="宋体" w:cs="宋体"/>
          <w:b/>
          <w:bCs/>
          <w:color w:val="000000" w:themeColor="text1"/>
          <w:sz w:val="24"/>
          <w:szCs w:val="24"/>
          <w:lang w:val="en-US" w:eastAsia="zh-CN" w:bidi="ar-SA"/>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部署模式</w:t>
      </w:r>
    </w:p>
    <w:p w14:paraId="500C802D">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本项目采用单中心集中部署模式：全区域建立一个审方中心，审方平台集中部署于区域数据中心，通过卫生专网连接区域内所有医疗机构（等级医院及社区卫生服务中心），实现全域处方集中审核、质控管理。</w:t>
      </w:r>
    </w:p>
    <w:p w14:paraId="145B3574">
      <w:pPr>
        <w:pStyle w:val="6"/>
        <w:numPr>
          <w:numId w:val="0"/>
        </w:numPr>
        <w:spacing w:line="300" w:lineRule="auto"/>
        <w:ind w:firstLine="4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3</w:t>
      </w:r>
      <w:r>
        <w:rPr>
          <w:rFonts w:hint="default" w:ascii="宋体" w:hAnsi="宋体" w:eastAsia="宋体" w:cs="宋体"/>
          <w:b/>
          <w:bCs/>
          <w:color w:val="000000" w:themeColor="text1"/>
          <w:sz w:val="24"/>
          <w:szCs w:val="24"/>
          <w:lang w:val="en-US" w:eastAsia="zh-CN" w:bidi="ar-SA"/>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网络需求</w:t>
      </w:r>
    </w:p>
    <w:p w14:paraId="661DEA56">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核心审方业务建议采用卫生专网部署模式，利用已建成的卫健委-医院专网互联条件，保障核心数据绝对安全。</w:t>
      </w:r>
    </w:p>
    <w:p w14:paraId="6EA7FE5A">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各接入医疗机构带宽要求不少于50Mbps，保障审方、点评等业务的流畅运行。</w:t>
      </w:r>
    </w:p>
    <w:p w14:paraId="473CB6C6">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所有网络通信支持HTTPS加密、数据传输加密及访问审计。</w:t>
      </w:r>
    </w:p>
    <w:p w14:paraId="6EBC9023">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若部分机构尚无专网条件，可考虑云端部署模式作为过渡方案，通过专线/VPN分级保障安全。</w:t>
      </w:r>
    </w:p>
    <w:p w14:paraId="7EBCE4C9">
      <w:pPr>
        <w:pStyle w:val="6"/>
        <w:numPr>
          <w:numId w:val="0"/>
        </w:numPr>
        <w:spacing w:line="300" w:lineRule="auto"/>
        <w:ind w:firstLine="4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4</w:t>
      </w:r>
      <w:r>
        <w:rPr>
          <w:rFonts w:hint="default" w:ascii="宋体" w:hAnsi="宋体" w:eastAsia="宋体" w:cs="宋体"/>
          <w:b/>
          <w:bCs/>
          <w:color w:val="000000" w:themeColor="text1"/>
          <w:sz w:val="24"/>
          <w:szCs w:val="24"/>
          <w:lang w:val="en-US" w:eastAsia="zh-CN" w:bidi="ar-SA"/>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实施计划要求</w:t>
      </w:r>
    </w:p>
    <w:p w14:paraId="49D9332D">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本项目总工期为合同签订后6个月内完成全部建设内容并验收。各阶段要求如下：</w:t>
      </w:r>
    </w:p>
    <w:tbl>
      <w:tblPr>
        <w:tblStyle w:val="48"/>
        <w:tblW w:w="8513"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624"/>
        <w:gridCol w:w="1405"/>
        <w:gridCol w:w="3367"/>
        <w:gridCol w:w="2117"/>
      </w:tblGrid>
      <w:tr w14:paraId="404D655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90" w:hRule="atLeast"/>
          <w:tblHeader/>
          <w:jc w:val="center"/>
        </w:trPr>
        <w:tc>
          <w:tcPr>
            <w:tcW w:w="1624" w:type="dxa"/>
            <w:tcBorders>
              <w:top w:val="single" w:color="000000" w:sz="12" w:space="0"/>
              <w:left w:val="single" w:color="000000" w:sz="12"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33F0B14C">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阶段</w:t>
            </w:r>
          </w:p>
        </w:tc>
        <w:tc>
          <w:tcPr>
            <w:tcW w:w="1405" w:type="dxa"/>
            <w:tcBorders>
              <w:top w:val="single" w:color="000000" w:sz="12"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F3B534">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时间节点</w:t>
            </w:r>
          </w:p>
        </w:tc>
        <w:tc>
          <w:tcPr>
            <w:tcW w:w="3367" w:type="dxa"/>
            <w:tcBorders>
              <w:top w:val="single" w:color="000000" w:sz="12"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710314">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主要工作内容</w:t>
            </w:r>
          </w:p>
        </w:tc>
        <w:tc>
          <w:tcPr>
            <w:tcW w:w="2117" w:type="dxa"/>
            <w:tcBorders>
              <w:top w:val="single" w:color="000000" w:sz="12"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0FAC0200">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交付物</w:t>
            </w:r>
          </w:p>
        </w:tc>
      </w:tr>
      <w:bookmarkEnd w:id="1"/>
      <w:tr w14:paraId="36005F9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04842DA1">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实施前准备</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9EA109">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第1个月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C8D639">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项目人员组织、数据采集配对、部署方式确认、服务器环境准备、接口需求确认</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1FB06E55">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项目实施计划书</w:t>
            </w:r>
          </w:p>
        </w:tc>
      </w:tr>
      <w:tr w14:paraId="4D1CAD7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915" w:hRule="atLeast"/>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1DC08AE7">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系统安装部署</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F48D21">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第1-2个月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2AFDB4">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服务器软硬件环境检查、系统安装部署调试、数据库初始化与数据导入</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6EC122F3">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服务部署说明、软件安装操作手册</w:t>
            </w:r>
          </w:p>
        </w:tc>
      </w:tr>
      <w:tr w14:paraId="5FCA10F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29B7A23A">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接口联调测试</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306B45">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第2-3个月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F203B8">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各医疗机构HIS/EMR等系统接口对接、联调测试、问题整改</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73734E48">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接口测试报告</w:t>
            </w:r>
          </w:p>
        </w:tc>
      </w:tr>
      <w:tr w14:paraId="66B0400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6A3AFF24">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人员培训</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B8828C">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第3-4个月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8C3A23">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系统管理员培训、审方药师操作培训、基层医师操作培训</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166ADC79">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培训签到表、培训考核记录</w:t>
            </w:r>
          </w:p>
        </w:tc>
      </w:tr>
      <w:tr w14:paraId="54FFDD0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286BB4DD">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试点上线</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868236">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第4-5个月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108CE7">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选定2家基层医疗机构进行试点运行，发现并处理问题</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1468E8CA">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试运行报告</w:t>
            </w:r>
          </w:p>
        </w:tc>
      </w:tr>
      <w:tr w14:paraId="31F547B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4" w:space="0"/>
              <w:right w:val="single" w:color="000000" w:sz="4" w:space="0"/>
            </w:tcBorders>
            <w:shd w:val="clear" w:color="auto" w:fill="FFFFFF"/>
            <w:tcMar>
              <w:top w:w="-1" w:type="dxa"/>
              <w:left w:w="-1" w:type="dxa"/>
              <w:bottom w:w="-1" w:type="dxa"/>
              <w:right w:w="-1" w:type="dxa"/>
            </w:tcMar>
            <w:vAlign w:val="center"/>
          </w:tcPr>
          <w:p w14:paraId="67635933">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全区上线</w:t>
            </w:r>
          </w:p>
        </w:tc>
        <w:tc>
          <w:tcPr>
            <w:tcW w:w="1405"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7279F6">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第5-6个月</w:t>
            </w:r>
          </w:p>
        </w:tc>
        <w:tc>
          <w:tcPr>
            <w:tcW w:w="336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4002A7">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全区医疗机构分批上线、规则库持续优化、质量控制</w:t>
            </w:r>
          </w:p>
        </w:tc>
        <w:tc>
          <w:tcPr>
            <w:tcW w:w="2117" w:type="dxa"/>
            <w:tcBorders>
              <w:top w:val="single" w:color="000000" w:sz="4" w:space="0"/>
              <w:left w:val="single" w:color="000000" w:sz="4" w:space="0"/>
              <w:bottom w:val="single" w:color="000000" w:sz="4" w:space="0"/>
              <w:right w:val="single" w:color="000000" w:sz="12" w:space="0"/>
            </w:tcBorders>
            <w:shd w:val="clear" w:color="auto" w:fill="FFFFFF"/>
            <w:tcMar>
              <w:top w:w="-1" w:type="dxa"/>
              <w:left w:w="-1" w:type="dxa"/>
              <w:bottom w:w="-1" w:type="dxa"/>
              <w:right w:w="-1" w:type="dxa"/>
            </w:tcMar>
            <w:vAlign w:val="center"/>
          </w:tcPr>
          <w:p w14:paraId="3B483C3C">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上线确认单</w:t>
            </w:r>
          </w:p>
        </w:tc>
      </w:tr>
      <w:tr w14:paraId="24E17BC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12" w:space="0"/>
              <w:bottom w:val="single" w:color="000000" w:sz="12" w:space="0"/>
              <w:right w:val="single" w:color="000000" w:sz="4" w:space="0"/>
            </w:tcBorders>
            <w:shd w:val="clear" w:color="auto" w:fill="FFFFFF"/>
            <w:tcMar>
              <w:top w:w="-1" w:type="dxa"/>
              <w:left w:w="-1" w:type="dxa"/>
              <w:bottom w:w="-1" w:type="dxa"/>
              <w:right w:w="-1" w:type="dxa"/>
            </w:tcMar>
            <w:vAlign w:val="center"/>
          </w:tcPr>
          <w:p w14:paraId="67F10A84">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bookmarkStart w:id="2" w:name="_GoBack" w:colFirst="3" w:colLast="3"/>
            <w:r>
              <w:rPr>
                <w:rFonts w:hint="eastAsia" w:ascii="宋体" w:hAnsi="宋体" w:eastAsia="宋体" w:cs="宋体"/>
                <w:color w:val="000000" w:themeColor="text1"/>
                <w:sz w:val="24"/>
                <w:szCs w:val="24"/>
                <w14:textFill>
                  <w14:solidFill>
                    <w14:schemeClr w14:val="tx1"/>
                  </w14:solidFill>
                </w14:textFill>
              </w:rPr>
              <w:t>项目验收</w:t>
            </w:r>
          </w:p>
        </w:tc>
        <w:tc>
          <w:tcPr>
            <w:tcW w:w="1405" w:type="dxa"/>
            <w:tcBorders>
              <w:top w:val="single" w:color="000000" w:sz="4" w:space="0"/>
              <w:left w:val="single" w:color="000000" w:sz="4" w:space="0"/>
              <w:bottom w:val="single" w:color="000000" w:sz="12" w:space="0"/>
              <w:right w:val="single" w:color="000000" w:sz="4" w:space="0"/>
            </w:tcBorders>
            <w:shd w:val="clear" w:color="auto" w:fill="FFFFFF"/>
            <w:tcMar>
              <w:top w:w="-1" w:type="dxa"/>
              <w:left w:w="-1" w:type="dxa"/>
              <w:bottom w:w="-1" w:type="dxa"/>
              <w:right w:w="-1" w:type="dxa"/>
            </w:tcMar>
            <w:vAlign w:val="center"/>
          </w:tcPr>
          <w:p w14:paraId="78372795">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第6个月</w:t>
            </w:r>
          </w:p>
        </w:tc>
        <w:tc>
          <w:tcPr>
            <w:tcW w:w="3367" w:type="dxa"/>
            <w:tcBorders>
              <w:top w:val="single" w:color="000000" w:sz="4" w:space="0"/>
              <w:left w:val="single" w:color="000000" w:sz="4" w:space="0"/>
              <w:bottom w:val="single" w:color="000000" w:sz="12" w:space="0"/>
              <w:right w:val="single" w:color="000000" w:sz="4" w:space="0"/>
            </w:tcBorders>
            <w:shd w:val="clear" w:color="auto" w:fill="FFFFFF"/>
            <w:tcMar>
              <w:top w:w="-1" w:type="dxa"/>
              <w:left w:w="-1" w:type="dxa"/>
              <w:bottom w:w="-1" w:type="dxa"/>
              <w:right w:w="-1" w:type="dxa"/>
            </w:tcMar>
            <w:vAlign w:val="center"/>
          </w:tcPr>
          <w:p w14:paraId="6916D812">
            <w:pPr>
              <w:spacing w:line="300" w:lineRule="auto"/>
              <w:ind w:firstLine="0" w:firstLineChars="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系统功能验收、文档交付、签署验收报告</w:t>
            </w:r>
          </w:p>
        </w:tc>
        <w:tc>
          <w:tcPr>
            <w:tcW w:w="2117" w:type="dxa"/>
            <w:tcBorders>
              <w:top w:val="single" w:color="000000" w:sz="4" w:space="0"/>
              <w:left w:val="single" w:color="000000" w:sz="4" w:space="0"/>
              <w:bottom w:val="single" w:color="000000" w:sz="12" w:space="0"/>
              <w:right w:val="single" w:color="000000" w:sz="12" w:space="0"/>
            </w:tcBorders>
            <w:shd w:val="clear" w:color="auto" w:fill="FFFFFF"/>
            <w:tcMar>
              <w:top w:w="-1" w:type="dxa"/>
              <w:left w:w="-1" w:type="dxa"/>
              <w:bottom w:w="-1" w:type="dxa"/>
              <w:right w:w="-1" w:type="dxa"/>
            </w:tcMar>
            <w:vAlign w:val="center"/>
          </w:tcPr>
          <w:p w14:paraId="30CE94D3">
            <w:pPr>
              <w:spacing w:line="300" w:lineRule="auto"/>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验收报告、全部项目文档</w:t>
            </w:r>
          </w:p>
        </w:tc>
      </w:tr>
    </w:tbl>
    <w:p w14:paraId="71AA84CE">
      <w:pPr>
        <w:spacing w:line="300" w:lineRule="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甲方按照实施计划以分阶段比例进行支付，本项目签订合同后15日内，甲方支付30%款项给乙方；</w:t>
      </w:r>
    </w:p>
    <w:p w14:paraId="06FD4697">
      <w:pPr>
        <w:spacing w:line="300" w:lineRule="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本项目实施上线后15日内，甲方支付30%款项给乙方；</w:t>
      </w:r>
    </w:p>
    <w:p w14:paraId="640CE5EB">
      <w:pPr>
        <w:spacing w:line="300" w:lineRule="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本项目验收合格后15日内，甲方支付30%款项给乙方；</w:t>
      </w:r>
    </w:p>
    <w:p w14:paraId="307EA689">
      <w:pPr>
        <w:spacing w:line="300" w:lineRule="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本项目建设内容质保期满1年后15日内，甲方支付10%款项给乙方；</w:t>
      </w:r>
    </w:p>
    <w:p w14:paraId="6E0FFC62">
      <w:pPr>
        <w:pStyle w:val="6"/>
        <w:numPr>
          <w:numId w:val="0"/>
        </w:numPr>
        <w:spacing w:line="300" w:lineRule="auto"/>
        <w:ind w:firstLine="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bidi="ar-SA"/>
          <w14:textFill>
            <w14:solidFill>
              <w14:schemeClr w14:val="tx1"/>
            </w14:solidFill>
          </w14:textFill>
        </w:rPr>
        <w:t>5</w:t>
      </w:r>
      <w:r>
        <w:rPr>
          <w:rFonts w:hint="default" w:ascii="宋体" w:hAnsi="宋体" w:eastAsia="宋体" w:cs="宋体"/>
          <w:color w:val="000000" w:themeColor="text1"/>
          <w:sz w:val="24"/>
          <w:szCs w:val="24"/>
          <w:lang w:val="en-US" w:eastAsia="zh-CN" w:bidi="ar-SA"/>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验收要求</w:t>
      </w:r>
    </w:p>
    <w:p w14:paraId="5EEEA072">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供应商须在系统连续稳定运行1个月无软件故障后，方可申请验收。</w:t>
      </w:r>
    </w:p>
    <w:p w14:paraId="33FE5C93">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验收时须提交完整的项目文档，包括但不限于：用户操作说明书、系统管理员手册、软件功能清单、接口文档、测试报告、试运行报告、培训记录等。</w:t>
      </w:r>
    </w:p>
    <w:p w14:paraId="4143AB32">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所有技术文件须使用中文编写。</w:t>
      </w:r>
    </w:p>
    <w:p w14:paraId="5CCAE685">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验收以招标文件及合同附件中的功能清单为实现标准。如验收发现未达标，供应商须在7个工作日内完成整改。</w:t>
      </w:r>
    </w:p>
    <w:p w14:paraId="505F9206">
      <w:pPr>
        <w:spacing w:line="300" w:lineRule="auto"/>
        <w:ind w:firstLine="6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验收合格后，双方签署验收报告。验收后采购人拥有平台所有软件的使用权，平台所产生的业务数据全部归采购人所有。</w:t>
      </w:r>
    </w:p>
    <w:p w14:paraId="003F6046">
      <w:pPr>
        <w:spacing w:line="30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br w:type="page"/>
      </w:r>
    </w:p>
    <w:p w14:paraId="2F938F0F">
      <w:pPr>
        <w:pStyle w:val="4"/>
        <w:numPr>
          <w:numId w:val="0"/>
        </w:numPr>
        <w:spacing w:line="300" w:lineRule="auto"/>
        <w:rPr>
          <w:rFonts w:hint="eastAsia" w:ascii="宋体" w:hAnsi="宋体" w:eastAsia="宋体" w:cs="宋体"/>
          <w:sz w:val="24"/>
          <w:szCs w:val="24"/>
        </w:rPr>
      </w:pPr>
      <w:r>
        <w:rPr>
          <w:rFonts w:hint="eastAsia" w:ascii="宋体" w:hAnsi="宋体" w:eastAsia="宋体" w:cs="宋体"/>
          <w:sz w:val="24"/>
          <w:szCs w:val="24"/>
          <w:lang w:val="en-US" w:eastAsia="zh-CN" w:bidi="ar-SA"/>
        </w:rPr>
        <w:t>（六）</w:t>
      </w:r>
      <w:r>
        <w:rPr>
          <w:rFonts w:hint="eastAsia" w:ascii="宋体" w:hAnsi="宋体" w:eastAsia="宋体" w:cs="宋体"/>
          <w:sz w:val="24"/>
          <w:szCs w:val="24"/>
        </w:rPr>
        <w:t>服务与运维保障条款</w:t>
      </w:r>
    </w:p>
    <w:p w14:paraId="57F87B1D">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1．</w:t>
      </w:r>
      <w:r>
        <w:rPr>
          <w:rFonts w:hint="eastAsia" w:ascii="宋体" w:hAnsi="宋体" w:eastAsia="宋体" w:cs="宋体"/>
          <w:sz w:val="24"/>
          <w:szCs w:val="24"/>
        </w:rPr>
        <w:t>维保服务期</w:t>
      </w:r>
    </w:p>
    <w:p w14:paraId="09F360AC">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验收合格后，供应商须提供不少于1年的数据升级维护服务。维保期内，供应商应提供免费的软件维护服务，包括：系统漏洞修复、功能优化升级、知识库更新、规则库更新等。后续年度维保费用由供应商在投标文件中明确报价。</w:t>
      </w:r>
    </w:p>
    <w:p w14:paraId="31775884">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2．</w:t>
      </w:r>
      <w:r>
        <w:rPr>
          <w:rFonts w:hint="eastAsia" w:ascii="宋体" w:hAnsi="宋体" w:eastAsia="宋体" w:cs="宋体"/>
          <w:sz w:val="24"/>
          <w:szCs w:val="24"/>
        </w:rPr>
        <w:t>服务响应时效</w:t>
      </w:r>
    </w:p>
    <w:p w14:paraId="5318B690">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系统发生故障时，供应商须在24小时内响应，提供远程技术支持。</w:t>
      </w:r>
    </w:p>
    <w:p w14:paraId="37013AEE">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常规问题须在48小时内解决。</w:t>
      </w:r>
    </w:p>
    <w:p w14:paraId="7CD5507D">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若远程无法解决，供应商须指派熟悉系统的工程师到达现场处理，直至系统恢复正常运行。</w:t>
      </w:r>
    </w:p>
    <w:p w14:paraId="627D31C8">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3．</w:t>
      </w:r>
      <w:r>
        <w:rPr>
          <w:rFonts w:hint="eastAsia" w:ascii="宋体" w:hAnsi="宋体" w:eastAsia="宋体" w:cs="宋体"/>
          <w:sz w:val="24"/>
          <w:szCs w:val="24"/>
        </w:rPr>
        <w:t>知识库与规则库维护</w:t>
      </w:r>
    </w:p>
    <w:p w14:paraId="4579E93C">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供应商须保证医药知识库数据的权威性、科学性和及时性，知识库更新频率不低于10次/年。</w:t>
      </w:r>
    </w:p>
    <w:p w14:paraId="3B549E26">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供应商须提供审查规则的优化服务，</w:t>
      </w:r>
      <w:r>
        <w:rPr>
          <w:rFonts w:hint="eastAsia" w:ascii="宋体" w:hAnsi="宋体" w:eastAsia="宋体" w:cs="宋体"/>
          <w:color w:val="000000" w:themeColor="text1"/>
          <w:sz w:val="24"/>
          <w:szCs w:val="24"/>
          <w14:textFill>
            <w14:solidFill>
              <w14:schemeClr w14:val="tx1"/>
            </w14:solidFill>
          </w14:textFill>
        </w:rPr>
        <w:t>不低于2次/年</w:t>
      </w:r>
      <w:r>
        <w:rPr>
          <w:rFonts w:hint="eastAsia" w:ascii="宋体" w:hAnsi="宋体" w:eastAsia="宋体" w:cs="宋体"/>
          <w:sz w:val="24"/>
          <w:szCs w:val="24"/>
        </w:rPr>
        <w:t>。</w:t>
      </w:r>
    </w:p>
    <w:p w14:paraId="1CF7288D">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4．</w:t>
      </w:r>
      <w:r>
        <w:rPr>
          <w:rFonts w:hint="eastAsia" w:ascii="宋体" w:hAnsi="宋体" w:eastAsia="宋体" w:cs="宋体"/>
          <w:sz w:val="24"/>
          <w:szCs w:val="24"/>
        </w:rPr>
        <w:t>培训服务</w:t>
      </w:r>
    </w:p>
    <w:p w14:paraId="041CA9EE">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须提供全面的培训服务，包括但不限于：系统管理员培训（含系统部署、配置、维护、安全管理）、审方药师操作培训（含系统操作、规则维护技巧）、基层医师操作培训（含处方审核流程、返修操作等）、信息科技术支持培训。</w:t>
      </w:r>
    </w:p>
    <w:p w14:paraId="5DD15782">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培训采取集中培训与现场培训相结合的方式。上线前须完成全体使用人员的集中培训，运行稳定后按需提供阶段性个性化培训。</w:t>
      </w:r>
    </w:p>
    <w:p w14:paraId="3F784EE3">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供应商须提供详细的用户操作手册和视频教程。</w:t>
      </w:r>
    </w:p>
    <w:p w14:paraId="1A7F87E3">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5．</w:t>
      </w:r>
      <w:r>
        <w:rPr>
          <w:rFonts w:hint="eastAsia" w:ascii="宋体" w:hAnsi="宋体" w:eastAsia="宋体" w:cs="宋体"/>
          <w:sz w:val="24"/>
          <w:szCs w:val="24"/>
        </w:rPr>
        <w:t>客服体系</w:t>
      </w:r>
    </w:p>
    <w:p w14:paraId="2973A886">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供应商须建立客户呼叫服务体系，提供服务热线，随时接受技术咨询。建立完整的用户档案，包括基础信息、合同信息、实施情况、历史维护记录、用户未来需求等，确保服务的连续性和可追溯性。</w:t>
      </w:r>
    </w:p>
    <w:p w14:paraId="06E6CDAB">
      <w:pPr>
        <w:pStyle w:val="6"/>
        <w:numPr>
          <w:numId w:val="0"/>
        </w:numPr>
        <w:spacing w:line="300" w:lineRule="auto"/>
        <w:ind w:firstLine="400"/>
        <w:rPr>
          <w:rFonts w:hint="eastAsia" w:ascii="宋体" w:hAnsi="宋体" w:eastAsia="宋体" w:cs="宋体"/>
          <w:sz w:val="24"/>
          <w:szCs w:val="24"/>
        </w:rPr>
      </w:pPr>
      <w:r>
        <w:rPr>
          <w:rFonts w:hint="default" w:ascii="宋体" w:hAnsi="宋体" w:eastAsia="宋体" w:cs="宋体"/>
          <w:sz w:val="24"/>
          <w:szCs w:val="24"/>
          <w:lang w:val="en-US" w:eastAsia="zh-CN" w:bidi="ar-SA"/>
        </w:rPr>
        <w:t>6．</w:t>
      </w:r>
      <w:r>
        <w:rPr>
          <w:rFonts w:hint="eastAsia" w:ascii="宋体" w:hAnsi="宋体" w:eastAsia="宋体" w:cs="宋体"/>
          <w:sz w:val="24"/>
          <w:szCs w:val="24"/>
        </w:rPr>
        <w:t>保密义务</w:t>
      </w:r>
    </w:p>
    <w:p w14:paraId="343D3963">
      <w:pPr>
        <w:spacing w:line="300" w:lineRule="auto"/>
        <w:ind w:firstLine="628"/>
        <w:rPr>
          <w:rFonts w:hint="eastAsia" w:ascii="宋体" w:hAnsi="宋体" w:eastAsia="宋体" w:cs="宋体"/>
          <w:sz w:val="24"/>
          <w:szCs w:val="24"/>
        </w:rPr>
      </w:pPr>
      <w:r>
        <w:rPr>
          <w:rFonts w:hint="eastAsia" w:ascii="宋体" w:hAnsi="宋体" w:eastAsia="宋体" w:cs="宋体"/>
          <w:sz w:val="24"/>
          <w:szCs w:val="24"/>
        </w:rPr>
        <w:t>供应商对项目实施过程中接触到的所有资料、数据负有保密义务，未经采购人书面同意不得泄露，且保密责任不因合同的终止或解除而失效。供应商须签署保密协议。</w:t>
      </w:r>
    </w:p>
    <w:p w14:paraId="49003F14">
      <w:pPr>
        <w:spacing w:line="300" w:lineRule="auto"/>
        <w:ind w:firstLine="0" w:firstLineChars="0"/>
        <w:jc w:val="left"/>
        <w:rPr>
          <w:rFonts w:hint="eastAsia" w:ascii="宋体" w:hAnsi="宋体" w:eastAsia="宋体" w:cs="宋体"/>
          <w:sz w:val="24"/>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方正舒体"/>
    <w:panose1 w:val="02000000000000000000"/>
    <w:charset w:val="86"/>
    <w:family w:val="script"/>
    <w:pitch w:val="default"/>
    <w:sig w:usb0="00000000" w:usb1="00000000" w:usb2="00000012" w:usb3="00000000" w:csb0="00040001" w:csb1="00000000"/>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8CB48">
    <w:pPr>
      <w:pStyle w:val="3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D3DA1">
    <w:pPr>
      <w:pStyle w:val="3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8FDED">
    <w:pPr>
      <w:pStyle w:val="3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6"/>
      </w:pPr>
      <w:r>
        <w:separator/>
      </w:r>
    </w:p>
  </w:footnote>
  <w:footnote w:type="continuationSeparator" w:id="1">
    <w:p>
      <w:pPr>
        <w:spacing w:line="240" w:lineRule="auto"/>
        <w:ind w:firstLine="61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1ACBA">
    <w:pPr>
      <w:pStyle w:val="3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135B1">
    <w:pPr>
      <w:pStyle w:val="3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FF92F">
    <w:pPr>
      <w:pStyle w:val="3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F2ED0"/>
    <w:multiLevelType w:val="singleLevel"/>
    <w:tmpl w:val="884F2ED0"/>
    <w:lvl w:ilvl="0" w:tentative="0">
      <w:start w:val="1"/>
      <w:numFmt w:val="decimal"/>
      <w:pStyle w:val="15"/>
      <w:lvlText w:val="%1."/>
      <w:lvlJc w:val="left"/>
      <w:pPr>
        <w:tabs>
          <w:tab w:val="left" w:pos="360"/>
        </w:tabs>
        <w:ind w:left="360" w:hanging="360"/>
      </w:pPr>
    </w:lvl>
  </w:abstractNum>
  <w:abstractNum w:abstractNumId="1">
    <w:nsid w:val="8E1CF3B4"/>
    <w:multiLevelType w:val="singleLevel"/>
    <w:tmpl w:val="8E1CF3B4"/>
    <w:lvl w:ilvl="0" w:tentative="0">
      <w:start w:val="1"/>
      <w:numFmt w:val="decimal"/>
      <w:pStyle w:val="14"/>
      <w:lvlText w:val="%1."/>
      <w:lvlJc w:val="left"/>
      <w:pPr>
        <w:tabs>
          <w:tab w:val="left" w:pos="780"/>
        </w:tabs>
        <w:ind w:left="780" w:hanging="360"/>
      </w:pPr>
    </w:lvl>
  </w:abstractNum>
  <w:abstractNum w:abstractNumId="2">
    <w:nsid w:val="A84C1487"/>
    <w:multiLevelType w:val="singleLevel"/>
    <w:tmpl w:val="A84C1487"/>
    <w:lvl w:ilvl="0" w:tentative="0">
      <w:start w:val="1"/>
      <w:numFmt w:val="decimal"/>
      <w:pStyle w:val="22"/>
      <w:lvlText w:val="%1."/>
      <w:lvlJc w:val="left"/>
      <w:pPr>
        <w:tabs>
          <w:tab w:val="left" w:pos="1200"/>
        </w:tabs>
        <w:ind w:left="1200" w:hanging="360"/>
      </w:pPr>
    </w:lvl>
  </w:abstractNum>
  <w:abstractNum w:abstractNumId="3">
    <w:nsid w:val="D887DB59"/>
    <w:multiLevelType w:val="singleLevel"/>
    <w:tmpl w:val="D887DB59"/>
    <w:lvl w:ilvl="0" w:tentative="0">
      <w:start w:val="1"/>
      <w:numFmt w:val="decimal"/>
      <w:lvlText w:val="%1"/>
      <w:lvlJc w:val="left"/>
      <w:pPr>
        <w:tabs>
          <w:tab w:val="left" w:pos="420"/>
        </w:tabs>
        <w:ind w:left="425" w:hanging="425"/>
      </w:pPr>
      <w:rPr>
        <w:rFonts w:hint="default"/>
      </w:rPr>
    </w:lvl>
  </w:abstractNum>
  <w:abstractNum w:abstractNumId="4">
    <w:nsid w:val="F5207166"/>
    <w:multiLevelType w:val="singleLevel"/>
    <w:tmpl w:val="F5207166"/>
    <w:lvl w:ilvl="0" w:tentative="0">
      <w:start w:val="1"/>
      <w:numFmt w:val="bullet"/>
      <w:pStyle w:val="17"/>
      <w:lvlText w:val=""/>
      <w:lvlJc w:val="left"/>
      <w:pPr>
        <w:tabs>
          <w:tab w:val="left" w:pos="360"/>
        </w:tabs>
        <w:ind w:left="360" w:hanging="360"/>
      </w:pPr>
      <w:rPr>
        <w:rFonts w:hint="default" w:ascii="Wingdings" w:hAnsi="Wingdings"/>
      </w:rPr>
    </w:lvl>
  </w:abstractNum>
  <w:abstractNum w:abstractNumId="5">
    <w:nsid w:val="54FD899A"/>
    <w:multiLevelType w:val="multilevel"/>
    <w:tmpl w:val="54FD899A"/>
    <w:lvl w:ilvl="0" w:tentative="0">
      <w:start w:val="1"/>
      <w:numFmt w:val="chineseCounting"/>
      <w:pStyle w:val="3"/>
      <w:suff w:val="nothing"/>
      <w:lvlText w:val="%1、"/>
      <w:lvlJc w:val="left"/>
      <w:pPr>
        <w:tabs>
          <w:tab w:val="left" w:pos="0"/>
        </w:tabs>
        <w:ind w:left="0" w:firstLine="0"/>
      </w:pPr>
      <w:rPr>
        <w:rFonts w:hint="eastAsia" w:eastAsia="黑体"/>
        <w:sz w:val="32"/>
        <w:szCs w:val="32"/>
      </w:rPr>
    </w:lvl>
    <w:lvl w:ilvl="1" w:tentative="0">
      <w:start w:val="1"/>
      <w:numFmt w:val="chineseCounting"/>
      <w:pStyle w:val="4"/>
      <w:suff w:val="nothing"/>
      <w:lvlText w:val="（%2）"/>
      <w:lvlJc w:val="left"/>
      <w:pPr>
        <w:tabs>
          <w:tab w:val="left" w:pos="0"/>
        </w:tabs>
        <w:ind w:left="0" w:firstLine="0"/>
      </w:pPr>
      <w:rPr>
        <w:rFonts w:hint="eastAsia" w:eastAsia="楷体"/>
        <w:sz w:val="24"/>
        <w:szCs w:val="24"/>
      </w:rPr>
    </w:lvl>
    <w:lvl w:ilvl="2" w:tentative="0">
      <w:start w:val="1"/>
      <w:numFmt w:val="decimal"/>
      <w:pStyle w:val="6"/>
      <w:suff w:val="nothing"/>
      <w:lvlText w:val="%3．"/>
      <w:lvlJc w:val="left"/>
      <w:pPr>
        <w:tabs>
          <w:tab w:val="left" w:pos="0"/>
        </w:tabs>
        <w:ind w:left="0" w:firstLine="400"/>
      </w:pPr>
      <w:rPr>
        <w:rFonts w:hint="default"/>
        <w:sz w:val="24"/>
        <w:szCs w:val="24"/>
      </w:rPr>
    </w:lvl>
    <w:lvl w:ilvl="3" w:tentative="0">
      <w:start w:val="1"/>
      <w:numFmt w:val="decimal"/>
      <w:pStyle w:val="7"/>
      <w:suff w:val="nothing"/>
      <w:lvlText w:val="（%4）"/>
      <w:lvlJc w:val="left"/>
      <w:pPr>
        <w:ind w:left="0" w:firstLine="402"/>
      </w:pPr>
      <w:rPr>
        <w:rFonts w:hint="eastAsia"/>
      </w:rPr>
    </w:lvl>
    <w:lvl w:ilvl="4" w:tentative="0">
      <w:start w:val="1"/>
      <w:numFmt w:val="decimalEnclosedCircleChinese"/>
      <w:pStyle w:val="8"/>
      <w:suff w:val="nothing"/>
      <w:lvlText w:val="%5 "/>
      <w:lvlJc w:val="left"/>
      <w:pPr>
        <w:tabs>
          <w:tab w:val="left" w:pos="0"/>
        </w:tabs>
        <w:ind w:left="0" w:firstLine="402"/>
      </w:pPr>
      <w:rPr>
        <w:rFonts w:hint="eastAsia"/>
      </w:rPr>
    </w:lvl>
    <w:lvl w:ilvl="5" w:tentative="0">
      <w:start w:val="1"/>
      <w:numFmt w:val="decimal"/>
      <w:pStyle w:val="9"/>
      <w:suff w:val="nothing"/>
      <w:lvlText w:val="%6）"/>
      <w:lvlJc w:val="left"/>
      <w:pPr>
        <w:ind w:left="0" w:firstLine="402"/>
      </w:pPr>
      <w:rPr>
        <w:rFonts w:hint="eastAsia"/>
      </w:rPr>
    </w:lvl>
    <w:lvl w:ilvl="6" w:tentative="0">
      <w:start w:val="1"/>
      <w:numFmt w:val="lowerLetter"/>
      <w:pStyle w:val="10"/>
      <w:suff w:val="nothing"/>
      <w:lvlText w:val="%7．"/>
      <w:lvlJc w:val="left"/>
      <w:pPr>
        <w:ind w:left="0" w:firstLine="402"/>
      </w:pPr>
      <w:rPr>
        <w:rFonts w:hint="eastAsia"/>
      </w:rPr>
    </w:lvl>
    <w:lvl w:ilvl="7" w:tentative="0">
      <w:start w:val="1"/>
      <w:numFmt w:val="lowerLetter"/>
      <w:pStyle w:val="11"/>
      <w:suff w:val="nothing"/>
      <w:lvlText w:val="%8）"/>
      <w:lvlJc w:val="left"/>
      <w:pPr>
        <w:ind w:left="0" w:firstLine="402"/>
      </w:pPr>
      <w:rPr>
        <w:rFonts w:hint="eastAsia"/>
      </w:rPr>
    </w:lvl>
    <w:lvl w:ilvl="8" w:tentative="0">
      <w:start w:val="1"/>
      <w:numFmt w:val="lowerRoman"/>
      <w:pStyle w:val="12"/>
      <w:suff w:val="nothing"/>
      <w:lvlText w:val="%9 "/>
      <w:lvlJc w:val="left"/>
      <w:pPr>
        <w:ind w:left="0" w:firstLine="402"/>
      </w:pPr>
      <w:rPr>
        <w:rFonts w:hint="eastAsia"/>
      </w:rPr>
    </w:lvl>
  </w:abstractNum>
  <w:abstractNum w:abstractNumId="6">
    <w:nsid w:val="56DE8F28"/>
    <w:multiLevelType w:val="singleLevel"/>
    <w:tmpl w:val="56DE8F28"/>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7">
    <w:nsid w:val="5B01D43E"/>
    <w:multiLevelType w:val="singleLevel"/>
    <w:tmpl w:val="5B01D43E"/>
    <w:lvl w:ilvl="0" w:tentative="0">
      <w:start w:val="1"/>
      <w:numFmt w:val="bullet"/>
      <w:pStyle w:val="21"/>
      <w:lvlText w:val=""/>
      <w:lvlJc w:val="left"/>
      <w:pPr>
        <w:tabs>
          <w:tab w:val="left" w:pos="1200"/>
        </w:tabs>
        <w:ind w:left="1200" w:hanging="360"/>
      </w:pPr>
      <w:rPr>
        <w:rFonts w:hint="default" w:ascii="Wingdings" w:hAnsi="Wingdings"/>
      </w:rPr>
    </w:lvl>
  </w:abstractNum>
  <w:num w:numId="1">
    <w:abstractNumId w:val="5"/>
  </w:num>
  <w:num w:numId="2">
    <w:abstractNumId w:val="1"/>
  </w:num>
  <w:num w:numId="3">
    <w:abstractNumId w:val="0"/>
  </w:num>
  <w:num w:numId="4">
    <w:abstractNumId w:val="4"/>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trackRevisions w:val="1"/>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TJkNTRkMDdkNWM2ODM1NDFhNTZjODA0ODUxZTYifQ=="/>
  </w:docVars>
  <w:rsids>
    <w:rsidRoot w:val="00B47730"/>
    <w:rsid w:val="00034616"/>
    <w:rsid w:val="000452BF"/>
    <w:rsid w:val="0006063C"/>
    <w:rsid w:val="00092EB3"/>
    <w:rsid w:val="0015074B"/>
    <w:rsid w:val="0029639D"/>
    <w:rsid w:val="002C7637"/>
    <w:rsid w:val="00326F90"/>
    <w:rsid w:val="00466ACD"/>
    <w:rsid w:val="00537523"/>
    <w:rsid w:val="00610A4C"/>
    <w:rsid w:val="00632121"/>
    <w:rsid w:val="00700C83"/>
    <w:rsid w:val="00761AD4"/>
    <w:rsid w:val="007F3E14"/>
    <w:rsid w:val="00806528"/>
    <w:rsid w:val="00877C38"/>
    <w:rsid w:val="008C20C5"/>
    <w:rsid w:val="008C2451"/>
    <w:rsid w:val="009066CF"/>
    <w:rsid w:val="009F76BB"/>
    <w:rsid w:val="00AA1D8D"/>
    <w:rsid w:val="00AE2AA5"/>
    <w:rsid w:val="00B47730"/>
    <w:rsid w:val="00C97F54"/>
    <w:rsid w:val="00CB0664"/>
    <w:rsid w:val="00D47ADF"/>
    <w:rsid w:val="00E24FBF"/>
    <w:rsid w:val="00E71AC0"/>
    <w:rsid w:val="00E73866"/>
    <w:rsid w:val="00F801C6"/>
    <w:rsid w:val="00F92B30"/>
    <w:rsid w:val="00FA17E9"/>
    <w:rsid w:val="00FC10D0"/>
    <w:rsid w:val="00FC693F"/>
    <w:rsid w:val="080F0624"/>
    <w:rsid w:val="0C540C41"/>
    <w:rsid w:val="14E55526"/>
    <w:rsid w:val="16CB0F54"/>
    <w:rsid w:val="187403FD"/>
    <w:rsid w:val="189B04EB"/>
    <w:rsid w:val="18FC0CF5"/>
    <w:rsid w:val="1B88193D"/>
    <w:rsid w:val="1C5D0E6E"/>
    <w:rsid w:val="20390790"/>
    <w:rsid w:val="210A7A37"/>
    <w:rsid w:val="226F5E48"/>
    <w:rsid w:val="2B4823C7"/>
    <w:rsid w:val="32221055"/>
    <w:rsid w:val="3C863F19"/>
    <w:rsid w:val="42ED123B"/>
    <w:rsid w:val="499D0921"/>
    <w:rsid w:val="505F1553"/>
    <w:rsid w:val="514B5FDC"/>
    <w:rsid w:val="535E3067"/>
    <w:rsid w:val="560C2FFD"/>
    <w:rsid w:val="57BF35EB"/>
    <w:rsid w:val="5AA75D97"/>
    <w:rsid w:val="5B227815"/>
    <w:rsid w:val="5CD03307"/>
    <w:rsid w:val="60D552AD"/>
    <w:rsid w:val="63C957C2"/>
    <w:rsid w:val="63F93351"/>
    <w:rsid w:val="64075C3D"/>
    <w:rsid w:val="640D41DC"/>
    <w:rsid w:val="6F211724"/>
    <w:rsid w:val="729222C5"/>
    <w:rsid w:val="73490079"/>
    <w:rsid w:val="73D954BB"/>
    <w:rsid w:val="7910572F"/>
    <w:rsid w:val="79E32555"/>
    <w:rsid w:val="7A005E3C"/>
    <w:rsid w:val="7AED0096"/>
    <w:rsid w:val="7CB74FB6"/>
    <w:rsid w:val="7F2045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qFormat="1"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adjustRightInd w:val="0"/>
      <w:snapToGrid w:val="0"/>
      <w:spacing w:line="576" w:lineRule="exact"/>
      <w:ind w:firstLine="1454" w:firstLineChars="200"/>
      <w:jc w:val="both"/>
    </w:pPr>
    <w:rPr>
      <w:rFonts w:ascii="仿宋" w:hAnsi="仿宋" w:eastAsia="仿宋" w:cs="Times New Roman"/>
      <w:spacing w:val="-6"/>
      <w:kern w:val="2"/>
      <w:sz w:val="32"/>
      <w:szCs w:val="32"/>
      <w:lang w:val="en-US" w:eastAsia="zh-CN" w:bidi="ar-SA"/>
    </w:rPr>
  </w:style>
  <w:style w:type="paragraph" w:styleId="3">
    <w:name w:val="heading 1"/>
    <w:next w:val="1"/>
    <w:link w:val="187"/>
    <w:qFormat/>
    <w:uiPriority w:val="0"/>
    <w:pPr>
      <w:keepNext/>
      <w:keepLines/>
      <w:numPr>
        <w:ilvl w:val="0"/>
        <w:numId w:val="1"/>
      </w:numPr>
      <w:adjustRightInd w:val="0"/>
      <w:snapToGrid w:val="0"/>
      <w:spacing w:line="576" w:lineRule="exact"/>
      <w:ind w:firstLine="894" w:firstLineChars="200"/>
      <w:outlineLvl w:val="0"/>
    </w:pPr>
    <w:rPr>
      <w:rFonts w:ascii="黑体" w:hAnsi="黑体" w:eastAsia="黑体" w:cs="Times New Roman"/>
      <w:kern w:val="44"/>
      <w:sz w:val="32"/>
      <w:szCs w:val="32"/>
      <w:lang w:val="en-US" w:eastAsia="zh-CN" w:bidi="ar-SA"/>
    </w:rPr>
  </w:style>
  <w:style w:type="paragraph" w:styleId="4">
    <w:name w:val="heading 2"/>
    <w:next w:val="5"/>
    <w:link w:val="160"/>
    <w:unhideWhenUsed/>
    <w:qFormat/>
    <w:uiPriority w:val="0"/>
    <w:pPr>
      <w:keepNext/>
      <w:keepLines/>
      <w:numPr>
        <w:ilvl w:val="1"/>
        <w:numId w:val="1"/>
      </w:numPr>
      <w:adjustRightInd w:val="0"/>
      <w:snapToGrid w:val="0"/>
      <w:spacing w:line="576" w:lineRule="exact"/>
      <w:outlineLvl w:val="1"/>
    </w:pPr>
    <w:rPr>
      <w:rFonts w:ascii="楷体" w:hAnsi="楷体" w:eastAsia="楷体" w:cs="Times New Roman"/>
      <w:sz w:val="32"/>
      <w:szCs w:val="32"/>
      <w:lang w:val="en-US" w:eastAsia="zh-CN" w:bidi="ar-SA"/>
    </w:rPr>
  </w:style>
  <w:style w:type="paragraph" w:styleId="6">
    <w:name w:val="heading 3"/>
    <w:next w:val="5"/>
    <w:link w:val="161"/>
    <w:unhideWhenUsed/>
    <w:qFormat/>
    <w:uiPriority w:val="0"/>
    <w:pPr>
      <w:keepNext/>
      <w:keepLines/>
      <w:numPr>
        <w:ilvl w:val="2"/>
        <w:numId w:val="1"/>
      </w:numPr>
      <w:tabs>
        <w:tab w:val="left" w:pos="312"/>
        <w:tab w:val="clear" w:pos="0"/>
      </w:tabs>
      <w:adjustRightInd w:val="0"/>
      <w:snapToGrid w:val="0"/>
      <w:spacing w:line="576" w:lineRule="exact"/>
      <w:outlineLvl w:val="2"/>
    </w:pPr>
    <w:rPr>
      <w:rFonts w:ascii="仿宋" w:hAnsi="仿宋" w:eastAsia="仿宋" w:cs="Times New Roman"/>
      <w:sz w:val="32"/>
      <w:szCs w:val="32"/>
      <w:lang w:val="en-US" w:eastAsia="zh-CN" w:bidi="ar-SA"/>
    </w:rPr>
  </w:style>
  <w:style w:type="paragraph" w:styleId="7">
    <w:name w:val="heading 4"/>
    <w:next w:val="5"/>
    <w:link w:val="206"/>
    <w:unhideWhenUsed/>
    <w:qFormat/>
    <w:uiPriority w:val="0"/>
    <w:pPr>
      <w:keepNext/>
      <w:keepLines/>
      <w:numPr>
        <w:ilvl w:val="3"/>
        <w:numId w:val="1"/>
      </w:numPr>
      <w:adjustRightInd w:val="0"/>
      <w:snapToGrid w:val="0"/>
      <w:spacing w:line="576" w:lineRule="exact"/>
      <w:outlineLvl w:val="3"/>
    </w:pPr>
    <w:rPr>
      <w:rFonts w:ascii="仿宋" w:hAnsi="仿宋" w:eastAsia="仿宋" w:cs="Times New Roman"/>
      <w:sz w:val="32"/>
      <w:szCs w:val="32"/>
      <w:lang w:val="en-US" w:eastAsia="zh-CN" w:bidi="ar-SA"/>
    </w:rPr>
  </w:style>
  <w:style w:type="paragraph" w:styleId="8">
    <w:name w:val="heading 5"/>
    <w:next w:val="5"/>
    <w:link w:val="172"/>
    <w:unhideWhenUsed/>
    <w:qFormat/>
    <w:uiPriority w:val="0"/>
    <w:pPr>
      <w:numPr>
        <w:ilvl w:val="4"/>
        <w:numId w:val="1"/>
      </w:numPr>
      <w:adjustRightInd w:val="0"/>
      <w:snapToGrid w:val="0"/>
      <w:spacing w:line="576" w:lineRule="exact"/>
      <w:outlineLvl w:val="4"/>
    </w:pPr>
    <w:rPr>
      <w:rFonts w:ascii="仿宋" w:hAnsi="仿宋" w:eastAsia="仿宋" w:cs="Times New Roman"/>
      <w:sz w:val="32"/>
      <w:szCs w:val="32"/>
      <w:lang w:val="en-US" w:eastAsia="zh-CN" w:bidi="ar-SA"/>
    </w:rPr>
  </w:style>
  <w:style w:type="paragraph" w:styleId="9">
    <w:name w:val="heading 6"/>
    <w:next w:val="5"/>
    <w:link w:val="173"/>
    <w:unhideWhenUsed/>
    <w:qFormat/>
    <w:uiPriority w:val="0"/>
    <w:pPr>
      <w:numPr>
        <w:ilvl w:val="5"/>
        <w:numId w:val="1"/>
      </w:numPr>
      <w:adjustRightInd w:val="0"/>
      <w:snapToGrid w:val="0"/>
      <w:spacing w:line="576" w:lineRule="exact"/>
      <w:outlineLvl w:val="5"/>
    </w:pPr>
    <w:rPr>
      <w:rFonts w:ascii="仿宋" w:hAnsi="仿宋" w:eastAsia="仿宋" w:cs="Times New Roman"/>
      <w:sz w:val="32"/>
      <w:szCs w:val="32"/>
      <w:lang w:val="en-US" w:eastAsia="zh-CN" w:bidi="ar-SA"/>
    </w:rPr>
  </w:style>
  <w:style w:type="paragraph" w:styleId="10">
    <w:name w:val="heading 7"/>
    <w:next w:val="5"/>
    <w:link w:val="174"/>
    <w:unhideWhenUsed/>
    <w:qFormat/>
    <w:uiPriority w:val="0"/>
    <w:pPr>
      <w:numPr>
        <w:ilvl w:val="6"/>
        <w:numId w:val="1"/>
      </w:numPr>
      <w:adjustRightInd w:val="0"/>
      <w:snapToGrid w:val="0"/>
      <w:spacing w:line="576" w:lineRule="exact"/>
      <w:outlineLvl w:val="6"/>
    </w:pPr>
    <w:rPr>
      <w:rFonts w:ascii="仿宋" w:hAnsi="仿宋" w:eastAsia="仿宋" w:cs="Times New Roman"/>
      <w:sz w:val="32"/>
      <w:szCs w:val="32"/>
      <w:lang w:val="en-US" w:eastAsia="zh-CN" w:bidi="ar-SA"/>
    </w:rPr>
  </w:style>
  <w:style w:type="paragraph" w:styleId="11">
    <w:name w:val="heading 8"/>
    <w:next w:val="5"/>
    <w:link w:val="175"/>
    <w:unhideWhenUsed/>
    <w:qFormat/>
    <w:uiPriority w:val="0"/>
    <w:pPr>
      <w:numPr>
        <w:ilvl w:val="7"/>
        <w:numId w:val="1"/>
      </w:numPr>
      <w:adjustRightInd w:val="0"/>
      <w:snapToGrid w:val="0"/>
      <w:spacing w:line="576" w:lineRule="exact"/>
      <w:outlineLvl w:val="7"/>
    </w:pPr>
    <w:rPr>
      <w:rFonts w:ascii="仿宋" w:hAnsi="仿宋" w:eastAsia="仿宋" w:cs="Times New Roman"/>
      <w:sz w:val="32"/>
      <w:szCs w:val="32"/>
      <w:lang w:val="en-US" w:eastAsia="zh-CN" w:bidi="ar-SA"/>
    </w:rPr>
  </w:style>
  <w:style w:type="paragraph" w:styleId="12">
    <w:name w:val="heading 9"/>
    <w:next w:val="5"/>
    <w:link w:val="176"/>
    <w:unhideWhenUsed/>
    <w:qFormat/>
    <w:uiPriority w:val="0"/>
    <w:pPr>
      <w:numPr>
        <w:ilvl w:val="8"/>
        <w:numId w:val="1"/>
      </w:numPr>
      <w:adjustRightInd w:val="0"/>
      <w:snapToGrid w:val="0"/>
      <w:spacing w:line="576" w:lineRule="exact"/>
      <w:outlineLvl w:val="8"/>
    </w:pPr>
    <w:rPr>
      <w:rFonts w:ascii="仿宋" w:hAnsi="仿宋" w:eastAsia="仿宋" w:cs="Times New Roman"/>
      <w:sz w:val="32"/>
      <w:szCs w:val="32"/>
      <w:lang w:val="en-US" w:eastAsia="zh-CN" w:bidi="ar-SA"/>
    </w:rPr>
  </w:style>
  <w:style w:type="character" w:default="1" w:styleId="147">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macro"/>
    <w:link w:val="16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bidi="ar-SA"/>
    </w:rPr>
  </w:style>
  <w:style w:type="paragraph" w:styleId="5">
    <w:name w:val="Body Text"/>
    <w:link w:val="210"/>
    <w:qFormat/>
    <w:uiPriority w:val="0"/>
    <w:pPr>
      <w:adjustRightInd w:val="0"/>
      <w:snapToGrid w:val="0"/>
      <w:spacing w:line="576" w:lineRule="exact"/>
      <w:ind w:firstLine="630" w:firstLineChars="200"/>
    </w:pPr>
    <w:rPr>
      <w:rFonts w:ascii="仿宋" w:hAnsi="仿宋" w:eastAsia="仿宋" w:cs="Times New Roman"/>
      <w:spacing w:val="-6"/>
      <w:sz w:val="32"/>
      <w:szCs w:val="32"/>
      <w:lang w:val="en-US" w:eastAsia="zh-CN" w:bidi="ar-SA"/>
    </w:rPr>
  </w:style>
  <w:style w:type="paragraph" w:styleId="13">
    <w:name w:val="List 3"/>
    <w:basedOn w:val="1"/>
    <w:qFormat/>
    <w:uiPriority w:val="0"/>
    <w:pPr>
      <w:ind w:left="100" w:leftChars="400" w:hanging="200" w:hangingChars="200"/>
    </w:pPr>
  </w:style>
  <w:style w:type="paragraph" w:styleId="14">
    <w:name w:val="List Number 2"/>
    <w:basedOn w:val="1"/>
    <w:qFormat/>
    <w:uiPriority w:val="0"/>
    <w:pPr>
      <w:numPr>
        <w:ilvl w:val="0"/>
        <w:numId w:val="2"/>
      </w:numPr>
    </w:pPr>
  </w:style>
  <w:style w:type="paragraph" w:styleId="15">
    <w:name w:val="List Number"/>
    <w:basedOn w:val="1"/>
    <w:qFormat/>
    <w:uiPriority w:val="0"/>
    <w:pPr>
      <w:numPr>
        <w:ilvl w:val="0"/>
        <w:numId w:val="3"/>
      </w:numPr>
    </w:pPr>
  </w:style>
  <w:style w:type="paragraph" w:styleId="16">
    <w:name w:val="caption"/>
    <w:basedOn w:val="1"/>
    <w:next w:val="1"/>
    <w:unhideWhenUsed/>
    <w:qFormat/>
    <w:uiPriority w:val="0"/>
    <w:pPr>
      <w:ind w:firstLine="0" w:firstLineChars="0"/>
    </w:pPr>
    <w:rPr>
      <w:rFonts w:cs="仿宋"/>
      <w:sz w:val="20"/>
    </w:rPr>
  </w:style>
  <w:style w:type="paragraph" w:styleId="17">
    <w:name w:val="List Bullet"/>
    <w:basedOn w:val="1"/>
    <w:qFormat/>
    <w:uiPriority w:val="0"/>
    <w:pPr>
      <w:numPr>
        <w:ilvl w:val="0"/>
        <w:numId w:val="4"/>
      </w:numPr>
    </w:pPr>
  </w:style>
  <w:style w:type="paragraph" w:styleId="18">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9">
    <w:name w:val="Salutation"/>
    <w:basedOn w:val="1"/>
    <w:next w:val="1"/>
    <w:qFormat/>
    <w:uiPriority w:val="0"/>
    <w:pPr>
      <w:ind w:firstLine="0" w:firstLineChars="0"/>
    </w:pPr>
  </w:style>
  <w:style w:type="paragraph" w:styleId="20">
    <w:name w:val="Body Text 3"/>
    <w:basedOn w:val="1"/>
    <w:link w:val="167"/>
    <w:qFormat/>
    <w:uiPriority w:val="0"/>
    <w:pPr>
      <w:spacing w:after="120"/>
    </w:pPr>
    <w:rPr>
      <w:sz w:val="16"/>
    </w:rPr>
  </w:style>
  <w:style w:type="paragraph" w:styleId="21">
    <w:name w:val="List Bullet 3"/>
    <w:basedOn w:val="1"/>
    <w:qFormat/>
    <w:uiPriority w:val="0"/>
    <w:pPr>
      <w:numPr>
        <w:ilvl w:val="0"/>
        <w:numId w:val="5"/>
      </w:numPr>
    </w:pPr>
    <w:rPr>
      <w:color w:val="262626" w:themeColor="text1" w:themeTint="D9"/>
      <w14:textFill>
        <w14:solidFill>
          <w14:schemeClr w14:val="tx1">
            <w14:lumMod w14:val="85000"/>
            <w14:lumOff w14:val="15000"/>
          </w14:schemeClr>
        </w14:solidFill>
      </w14:textFill>
    </w:rPr>
  </w:style>
  <w:style w:type="paragraph" w:styleId="22">
    <w:name w:val="List Number 3"/>
    <w:basedOn w:val="1"/>
    <w:qFormat/>
    <w:uiPriority w:val="0"/>
    <w:pPr>
      <w:numPr>
        <w:ilvl w:val="0"/>
        <w:numId w:val="6"/>
      </w:numPr>
    </w:pPr>
  </w:style>
  <w:style w:type="paragraph" w:styleId="23">
    <w:name w:val="List 2"/>
    <w:basedOn w:val="1"/>
    <w:qFormat/>
    <w:uiPriority w:val="0"/>
    <w:pPr>
      <w:ind w:left="100" w:leftChars="200" w:hanging="200" w:hangingChars="200"/>
    </w:pPr>
  </w:style>
  <w:style w:type="paragraph" w:styleId="24">
    <w:name w:val="List Continue"/>
    <w:basedOn w:val="1"/>
    <w:qFormat/>
    <w:uiPriority w:val="0"/>
    <w:pPr>
      <w:spacing w:after="120"/>
      <w:ind w:left="420" w:leftChars="200"/>
    </w:pPr>
  </w:style>
  <w:style w:type="paragraph" w:styleId="25">
    <w:name w:val="List Bullet 2"/>
    <w:basedOn w:val="1"/>
    <w:qFormat/>
    <w:uiPriority w:val="0"/>
    <w:pPr>
      <w:numPr>
        <w:ilvl w:val="0"/>
        <w:numId w:val="7"/>
      </w:numPr>
    </w:pPr>
  </w:style>
  <w:style w:type="paragraph" w:styleId="26">
    <w:name w:val="toc 5"/>
    <w:basedOn w:val="1"/>
    <w:next w:val="1"/>
    <w:qFormat/>
    <w:uiPriority w:val="0"/>
    <w:pPr>
      <w:ind w:left="1680" w:leftChars="800"/>
    </w:pPr>
    <w:rPr>
      <w:color w:val="262626" w:themeColor="text1" w:themeTint="D9"/>
      <w14:textFill>
        <w14:solidFill>
          <w14:schemeClr w14:val="tx1">
            <w14:lumMod w14:val="85000"/>
            <w14:lumOff w14:val="15000"/>
          </w14:schemeClr>
        </w14:solidFill>
      </w14:textFill>
    </w:rPr>
  </w:style>
  <w:style w:type="paragraph" w:styleId="27">
    <w:name w:val="toc 3"/>
    <w:basedOn w:val="1"/>
    <w:next w:val="1"/>
    <w:qFormat/>
    <w:uiPriority w:val="0"/>
    <w:pPr>
      <w:ind w:left="840" w:leftChars="400"/>
    </w:pPr>
    <w:rPr>
      <w:color w:val="262626" w:themeColor="text1" w:themeTint="D9"/>
      <w14:textFill>
        <w14:solidFill>
          <w14:schemeClr w14:val="tx1">
            <w14:lumMod w14:val="85000"/>
            <w14:lumOff w14:val="15000"/>
          </w14:schemeClr>
        </w14:solidFill>
      </w14:textFill>
    </w:rPr>
  </w:style>
  <w:style w:type="paragraph" w:styleId="28">
    <w:name w:val="Plain Text"/>
    <w:basedOn w:val="1"/>
    <w:qFormat/>
    <w:uiPriority w:val="0"/>
    <w:rPr>
      <w:rFonts w:ascii="宋体" w:hAnsi="Courier New"/>
      <w:snapToGrid w:val="0"/>
      <w:color w:val="262626" w:themeColor="text1" w:themeTint="D9"/>
      <w:kern w:val="0"/>
      <w:sz w:val="20"/>
      <w:szCs w:val="21"/>
      <w:lang w:val="zh-CN"/>
      <w14:textFill>
        <w14:solidFill>
          <w14:schemeClr w14:val="tx1">
            <w14:lumMod w14:val="85000"/>
            <w14:lumOff w14:val="15000"/>
          </w14:schemeClr>
        </w14:solidFill>
      </w14:textFill>
    </w:rPr>
  </w:style>
  <w:style w:type="paragraph" w:styleId="29">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30">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31">
    <w:name w:val="Balloon Text"/>
    <w:basedOn w:val="1"/>
    <w:link w:val="190"/>
    <w:qFormat/>
    <w:uiPriority w:val="0"/>
    <w:rPr>
      <w:sz w:val="18"/>
      <w:szCs w:val="18"/>
    </w:rPr>
  </w:style>
  <w:style w:type="paragraph" w:styleId="32">
    <w:name w:val="footer"/>
    <w:basedOn w:val="1"/>
    <w:link w:val="205"/>
    <w:qFormat/>
    <w:uiPriority w:val="0"/>
    <w:pPr>
      <w:tabs>
        <w:tab w:val="center" w:pos="4153"/>
        <w:tab w:val="right" w:pos="8306"/>
      </w:tabs>
      <w:ind w:firstLine="0" w:firstLineChars="0"/>
      <w:jc w:val="left"/>
    </w:pPr>
    <w:rPr>
      <w:sz w:val="18"/>
      <w:szCs w:val="18"/>
    </w:rPr>
  </w:style>
  <w:style w:type="paragraph" w:styleId="33">
    <w:name w:val="header"/>
    <w:basedOn w:val="1"/>
    <w:link w:val="156"/>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sz w:val="18"/>
      <w:szCs w:val="18"/>
    </w:rPr>
  </w:style>
  <w:style w:type="paragraph" w:styleId="34">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35">
    <w:name w:val="toc 1"/>
    <w:basedOn w:val="1"/>
    <w:next w:val="1"/>
    <w:qFormat/>
    <w:uiPriority w:val="0"/>
    <w:rPr>
      <w:color w:val="262626" w:themeColor="text1" w:themeTint="D9"/>
      <w14:textFill>
        <w14:solidFill>
          <w14:schemeClr w14:val="tx1">
            <w14:lumMod w14:val="85000"/>
            <w14:lumOff w14:val="15000"/>
          </w14:schemeClr>
        </w14:solidFill>
      </w14:textFill>
    </w:rPr>
  </w:style>
  <w:style w:type="paragraph" w:styleId="36">
    <w:name w:val="toc 4"/>
    <w:basedOn w:val="1"/>
    <w:next w:val="1"/>
    <w:qFormat/>
    <w:uiPriority w:val="0"/>
    <w:pPr>
      <w:ind w:left="1260" w:leftChars="600"/>
    </w:pPr>
    <w:rPr>
      <w:color w:val="262626" w:themeColor="text1" w:themeTint="D9"/>
      <w14:textFill>
        <w14:solidFill>
          <w14:schemeClr w14:val="tx1">
            <w14:lumMod w14:val="85000"/>
            <w14:lumOff w14:val="15000"/>
          </w14:schemeClr>
        </w14:solidFill>
      </w14:textFill>
    </w:rPr>
  </w:style>
  <w:style w:type="paragraph" w:styleId="37">
    <w:name w:val="Subtitle"/>
    <w:next w:val="5"/>
    <w:link w:val="207"/>
    <w:qFormat/>
    <w:uiPriority w:val="0"/>
    <w:pPr>
      <w:adjustRightInd w:val="0"/>
      <w:snapToGrid w:val="0"/>
      <w:spacing w:line="720" w:lineRule="exact"/>
      <w:jc w:val="center"/>
      <w:outlineLvl w:val="1"/>
    </w:pPr>
    <w:rPr>
      <w:rFonts w:ascii="黑体" w:hAnsi="黑体" w:eastAsia="黑体" w:cs="Times New Roman"/>
      <w:kern w:val="28"/>
      <w:sz w:val="36"/>
      <w:szCs w:val="36"/>
      <w:lang w:val="en-US" w:eastAsia="zh-CN" w:bidi="ar-SA"/>
    </w:rPr>
  </w:style>
  <w:style w:type="paragraph" w:styleId="38">
    <w:name w:val="List"/>
    <w:basedOn w:val="1"/>
    <w:qFormat/>
    <w:uiPriority w:val="0"/>
    <w:pPr>
      <w:ind w:left="200" w:hanging="200" w:hangingChars="200"/>
    </w:pPr>
  </w:style>
  <w:style w:type="paragraph" w:styleId="39">
    <w:name w:val="footnote text"/>
    <w:basedOn w:val="1"/>
    <w:qFormat/>
    <w:uiPriority w:val="0"/>
    <w:pPr>
      <w:jc w:val="left"/>
    </w:pPr>
    <w:rPr>
      <w:sz w:val="18"/>
      <w:szCs w:val="18"/>
    </w:rPr>
  </w:style>
  <w:style w:type="paragraph" w:styleId="40">
    <w:name w:val="toc 2"/>
    <w:basedOn w:val="1"/>
    <w:next w:val="1"/>
    <w:qFormat/>
    <w:uiPriority w:val="0"/>
    <w:pPr>
      <w:ind w:left="420" w:leftChars="200"/>
    </w:pPr>
    <w:rPr>
      <w:color w:val="262626" w:themeColor="text1" w:themeTint="D9"/>
      <w14:textFill>
        <w14:solidFill>
          <w14:schemeClr w14:val="tx1">
            <w14:lumMod w14:val="85000"/>
            <w14:lumOff w14:val="15000"/>
          </w14:schemeClr>
        </w14:solidFill>
      </w14:textFill>
    </w:rPr>
  </w:style>
  <w:style w:type="paragraph" w:styleId="41">
    <w:name w:val="Body Text 2"/>
    <w:basedOn w:val="1"/>
    <w:link w:val="166"/>
    <w:qFormat/>
    <w:uiPriority w:val="0"/>
    <w:pPr>
      <w:spacing w:after="120" w:line="480" w:lineRule="auto"/>
    </w:pPr>
  </w:style>
  <w:style w:type="paragraph" w:styleId="42">
    <w:name w:val="List Continue 2"/>
    <w:basedOn w:val="1"/>
    <w:qFormat/>
    <w:uiPriority w:val="0"/>
    <w:pPr>
      <w:spacing w:after="120"/>
      <w:ind w:left="840" w:leftChars="400"/>
    </w:pPr>
  </w:style>
  <w:style w:type="paragraph" w:styleId="43">
    <w:name w:val="Normal (Web)"/>
    <w:basedOn w:val="1"/>
    <w:qFormat/>
    <w:uiPriority w:val="0"/>
    <w:rPr>
      <w:sz w:val="24"/>
      <w:szCs w:val="24"/>
    </w:rPr>
  </w:style>
  <w:style w:type="paragraph" w:styleId="44">
    <w:name w:val="List Continue 3"/>
    <w:basedOn w:val="1"/>
    <w:qFormat/>
    <w:uiPriority w:val="0"/>
    <w:pPr>
      <w:spacing w:after="120"/>
      <w:ind w:left="1260" w:leftChars="600"/>
    </w:pPr>
  </w:style>
  <w:style w:type="paragraph" w:styleId="45">
    <w:name w:val="Title"/>
    <w:link w:val="211"/>
    <w:qFormat/>
    <w:uiPriority w:val="0"/>
    <w:pPr>
      <w:adjustRightInd w:val="0"/>
      <w:snapToGrid w:val="0"/>
      <w:spacing w:after="296" w:line="720" w:lineRule="exact"/>
      <w:jc w:val="center"/>
      <w:outlineLvl w:val="0"/>
    </w:pPr>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styleId="46">
    <w:name w:val="annotation subject"/>
    <w:basedOn w:val="18"/>
    <w:next w:val="18"/>
    <w:qFormat/>
    <w:uiPriority w:val="0"/>
    <w:rPr>
      <w:b/>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9">
    <w:name w:val="Light Shading"/>
    <w:basedOn w:val="47"/>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50">
    <w:name w:val="Light Shading Accent 1"/>
    <w:basedOn w:val="47"/>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1">
    <w:name w:val="Light Shading Accent 2"/>
    <w:basedOn w:val="47"/>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52">
    <w:name w:val="Light Shading Accent 3"/>
    <w:basedOn w:val="47"/>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3">
    <w:name w:val="Light Shading Accent 4"/>
    <w:basedOn w:val="47"/>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4">
    <w:name w:val="Light Shading Accent 5"/>
    <w:basedOn w:val="47"/>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55">
    <w:name w:val="Light Shading Accent 6"/>
    <w:basedOn w:val="47"/>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56">
    <w:name w:val="Light List"/>
    <w:basedOn w:val="47"/>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7">
    <w:name w:val="Light List Accent 1"/>
    <w:basedOn w:val="47"/>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8">
    <w:name w:val="Light List Accent 2"/>
    <w:basedOn w:val="47"/>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9">
    <w:name w:val="Light List Accent 3"/>
    <w:basedOn w:val="47"/>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60">
    <w:name w:val="Light List Accent 4"/>
    <w:basedOn w:val="47"/>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61">
    <w:name w:val="Light List Accent 5"/>
    <w:basedOn w:val="47"/>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62">
    <w:name w:val="Light List Accent 6"/>
    <w:basedOn w:val="47"/>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63">
    <w:name w:val="Light Grid"/>
    <w:basedOn w:val="47"/>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64">
    <w:name w:val="Light Grid Accent 1"/>
    <w:basedOn w:val="47"/>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65">
    <w:name w:val="Light Grid Accent 2"/>
    <w:basedOn w:val="47"/>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66">
    <w:name w:val="Light Grid Accent 3"/>
    <w:basedOn w:val="47"/>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7">
    <w:name w:val="Light Grid Accent 4"/>
    <w:basedOn w:val="47"/>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8">
    <w:name w:val="Light Grid Accent 5"/>
    <w:basedOn w:val="47"/>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9">
    <w:name w:val="Light Grid Accent 6"/>
    <w:basedOn w:val="47"/>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70">
    <w:name w:val="Medium Shading 1"/>
    <w:basedOn w:val="47"/>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71">
    <w:name w:val="Medium Shading 1 Accent 1"/>
    <w:basedOn w:val="47"/>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Shading 1 Accent 2"/>
    <w:basedOn w:val="47"/>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73">
    <w:name w:val="Medium Shading 1 Accent 3"/>
    <w:basedOn w:val="47"/>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74">
    <w:name w:val="Medium Shading 1 Accent 4"/>
    <w:basedOn w:val="47"/>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75">
    <w:name w:val="Medium Shading 1 Accent 5"/>
    <w:basedOn w:val="47"/>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76">
    <w:name w:val="Medium Shading 1 Accent 6"/>
    <w:basedOn w:val="47"/>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7">
    <w:name w:val="Medium Shading 2"/>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8">
    <w:name w:val="Medium Shading 2 Accent 1"/>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9">
    <w:name w:val="Medium Shading 2 Accent 2"/>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0">
    <w:name w:val="Medium Shading 2 Accent 3"/>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1">
    <w:name w:val="Medium Shading 2 Accent 4"/>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2">
    <w:name w:val="Medium Shading 2 Accent 5"/>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3">
    <w:name w:val="Medium Shading 2 Accent 6"/>
    <w:basedOn w:val="47"/>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84">
    <w:name w:val="Medium List 1"/>
    <w:basedOn w:val="47"/>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85">
    <w:name w:val="Medium List 1 Accent 1"/>
    <w:basedOn w:val="47"/>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86">
    <w:name w:val="Medium List 1 Accent 2"/>
    <w:basedOn w:val="47"/>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7">
    <w:name w:val="Medium List 1 Accent 3"/>
    <w:basedOn w:val="47"/>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8">
    <w:name w:val="Medium List 1 Accent 4"/>
    <w:basedOn w:val="47"/>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9">
    <w:name w:val="Medium List 1 Accent 5"/>
    <w:basedOn w:val="47"/>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90">
    <w:name w:val="Medium List 1 Accent 6"/>
    <w:basedOn w:val="47"/>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91">
    <w:name w:val="Medium List 2"/>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92">
    <w:name w:val="Medium List 2 Accent 1"/>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93">
    <w:name w:val="Medium List 2 Accent 2"/>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94">
    <w:name w:val="Medium List 2 Accent 3"/>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95">
    <w:name w:val="Medium List 2 Accent 4"/>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96">
    <w:name w:val="Medium List 2 Accent 5"/>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7">
    <w:name w:val="Medium List 2 Accent 6"/>
    <w:basedOn w:val="47"/>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8">
    <w:name w:val="Medium Grid 1"/>
    <w:basedOn w:val="47"/>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9">
    <w:name w:val="Medium Grid 1 Accent 1"/>
    <w:basedOn w:val="47"/>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00">
    <w:name w:val="Medium Grid 1 Accent 2"/>
    <w:basedOn w:val="47"/>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01">
    <w:name w:val="Medium Grid 1 Accent 3"/>
    <w:basedOn w:val="47"/>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02">
    <w:name w:val="Medium Grid 1 Accent 4"/>
    <w:basedOn w:val="47"/>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03">
    <w:name w:val="Medium Grid 1 Accent 5"/>
    <w:basedOn w:val="47"/>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04">
    <w:name w:val="Medium Grid 1 Accent 6"/>
    <w:basedOn w:val="47"/>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05">
    <w:name w:val="Medium Grid 2"/>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06">
    <w:name w:val="Medium Grid 2 Accent 1"/>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7">
    <w:name w:val="Medium Grid 2 Accent 2"/>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8">
    <w:name w:val="Medium Grid 2 Accent 3"/>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9">
    <w:name w:val="Medium Grid 2 Accent 4"/>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10">
    <w:name w:val="Medium Grid 2 Accent 5"/>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11">
    <w:name w:val="Medium Grid 2 Accent 6"/>
    <w:basedOn w:val="47"/>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12">
    <w:name w:val="Medium Grid 3"/>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13">
    <w:name w:val="Medium Grid 3 Accent 1"/>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14">
    <w:name w:val="Medium Grid 3 Accent 2"/>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15">
    <w:name w:val="Medium Grid 3 Accent 3"/>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16">
    <w:name w:val="Medium Grid 3 Accent 4"/>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7">
    <w:name w:val="Medium Grid 3 Accent 5"/>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8">
    <w:name w:val="Medium Grid 3 Accent 6"/>
    <w:basedOn w:val="47"/>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9">
    <w:name w:val="Dark List"/>
    <w:basedOn w:val="47"/>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0">
    <w:name w:val="Dark List Accent 1"/>
    <w:basedOn w:val="47"/>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21">
    <w:name w:val="Dark List Accent 2"/>
    <w:basedOn w:val="47"/>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22">
    <w:name w:val="Dark List Accent 3"/>
    <w:basedOn w:val="47"/>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3">
    <w:name w:val="Dark List Accent 4"/>
    <w:basedOn w:val="47"/>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4">
    <w:name w:val="Dark List Accent 5"/>
    <w:basedOn w:val="47"/>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5">
    <w:name w:val="Dark List Accent 6"/>
    <w:basedOn w:val="47"/>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26">
    <w:name w:val="Colorful Shading"/>
    <w:basedOn w:val="47"/>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7">
    <w:name w:val="Colorful Shading Accent 1"/>
    <w:basedOn w:val="47"/>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8">
    <w:name w:val="Colorful Shading Accent 2"/>
    <w:basedOn w:val="47"/>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9">
    <w:name w:val="Colorful Shading Accent 3"/>
    <w:basedOn w:val="47"/>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0">
    <w:name w:val="Colorful Shading Accent 4"/>
    <w:basedOn w:val="47"/>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1">
    <w:name w:val="Colorful Shading Accent 5"/>
    <w:basedOn w:val="47"/>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2">
    <w:name w:val="Colorful Shading Accent 6"/>
    <w:basedOn w:val="47"/>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33">
    <w:name w:val="Colorful List"/>
    <w:basedOn w:val="47"/>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34">
    <w:name w:val="Colorful List Accent 1"/>
    <w:basedOn w:val="47"/>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5">
    <w:name w:val="Colorful List Accent 2"/>
    <w:basedOn w:val="47"/>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36">
    <w:name w:val="Colorful List Accent 3"/>
    <w:basedOn w:val="47"/>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7">
    <w:name w:val="Colorful List Accent 4"/>
    <w:basedOn w:val="47"/>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8">
    <w:name w:val="Colorful List Accent 5"/>
    <w:basedOn w:val="47"/>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9">
    <w:name w:val="Colorful List Accent 6"/>
    <w:basedOn w:val="47"/>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40">
    <w:name w:val="Colorful Grid"/>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41">
    <w:name w:val="Colorful Grid Accent 1"/>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42">
    <w:name w:val="Colorful Grid Accent 2"/>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47"/>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8">
    <w:name w:val="Strong"/>
    <w:qFormat/>
    <w:uiPriority w:val="0"/>
    <w:rPr>
      <w:rFonts w:ascii="仿宋" w:hAnsi="仿宋" w:eastAsia="仿宋" w:cs="Times New Roman"/>
      <w:b/>
      <w:bCs/>
      <w:color w:val="262626" w:themeColor="text1" w:themeTint="D9"/>
      <w:spacing w:val="-6"/>
      <w:kern w:val="2"/>
      <w:sz w:val="32"/>
      <w:szCs w:val="32"/>
      <w:u w:val="single"/>
      <w:lang w:val="en-US" w:eastAsia="zh-CN" w:bidi="ar-SA"/>
      <w14:textFill>
        <w14:solidFill>
          <w14:schemeClr w14:val="tx1">
            <w14:lumMod w14:val="85000"/>
            <w14:lumOff w14:val="15000"/>
          </w14:schemeClr>
        </w14:solidFill>
      </w14:textFill>
    </w:rPr>
  </w:style>
  <w:style w:type="character" w:styleId="149">
    <w:name w:val="endnote reference"/>
    <w:basedOn w:val="147"/>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character" w:styleId="150">
    <w:name w:val="page number"/>
    <w:qFormat/>
    <w:uiPriority w:val="0"/>
    <w:rPr>
      <w:rFonts w:ascii="宋体" w:hAnsi="宋体" w:eastAsia="宋体" w:cs="Times New Roman"/>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151">
    <w:name w:val="FollowedHyperlink"/>
    <w:basedOn w:val="147"/>
    <w:qFormat/>
    <w:uiPriority w:val="0"/>
    <w:rPr>
      <w:rFonts w:ascii="仿宋" w:hAnsi="仿宋" w:eastAsia="仿宋" w:cs="Times New Roman"/>
      <w:color w:val="800080"/>
      <w:spacing w:val="-6"/>
      <w:kern w:val="2"/>
      <w:sz w:val="32"/>
      <w:szCs w:val="32"/>
      <w:u w:val="single"/>
      <w:lang w:val="en-US" w:eastAsia="zh-CN" w:bidi="ar-SA"/>
    </w:rPr>
  </w:style>
  <w:style w:type="character" w:styleId="152">
    <w:name w:val="Emphasis"/>
    <w:qFormat/>
    <w:uiPriority w:val="0"/>
    <w:rPr>
      <w:rFonts w:ascii="仿宋" w:hAnsi="仿宋" w:eastAsia="仿宋" w:cs="Times New Roman"/>
      <w:b/>
      <w:bCs/>
      <w:color w:val="262626" w:themeColor="text1" w:themeTint="D9"/>
      <w:spacing w:val="-6"/>
      <w:kern w:val="2"/>
      <w:sz w:val="32"/>
      <w:szCs w:val="32"/>
      <w:lang w:val="en-US" w:eastAsia="zh-CN" w:bidi="ar-SA"/>
      <w14:textFill>
        <w14:solidFill>
          <w14:schemeClr w14:val="tx1">
            <w14:lumMod w14:val="85000"/>
            <w14:lumOff w14:val="15000"/>
          </w14:schemeClr>
        </w14:solidFill>
      </w14:textFill>
    </w:rPr>
  </w:style>
  <w:style w:type="character" w:styleId="153">
    <w:name w:val="Hyperlink"/>
    <w:basedOn w:val="147"/>
    <w:qFormat/>
    <w:uiPriority w:val="0"/>
    <w:rPr>
      <w:rFonts w:ascii="仿宋" w:hAnsi="仿宋" w:eastAsia="仿宋" w:cs="Times New Roman"/>
      <w:caps/>
      <w:color w:val="0000FF"/>
      <w:spacing w:val="-6"/>
      <w:kern w:val="2"/>
      <w:sz w:val="32"/>
      <w:szCs w:val="32"/>
      <w:u w:val="single"/>
      <w:lang w:val="en-US" w:eastAsia="zh-CN" w:bidi="ar-SA"/>
    </w:rPr>
  </w:style>
  <w:style w:type="character" w:styleId="154">
    <w:name w:val="annotation reference"/>
    <w:basedOn w:val="147"/>
    <w:qFormat/>
    <w:uiPriority w:val="0"/>
    <w:rPr>
      <w:rFonts w:ascii="仿宋" w:hAnsi="仿宋" w:eastAsia="仿宋"/>
      <w:color w:val="262626" w:themeColor="text1" w:themeTint="D9"/>
      <w:sz w:val="21"/>
      <w:szCs w:val="21"/>
      <w14:textFill>
        <w14:solidFill>
          <w14:schemeClr w14:val="tx1">
            <w14:lumMod w14:val="85000"/>
            <w14:lumOff w14:val="15000"/>
          </w14:schemeClr>
        </w14:solidFill>
      </w14:textFill>
    </w:rPr>
  </w:style>
  <w:style w:type="character" w:styleId="155">
    <w:name w:val="footnote reference"/>
    <w:basedOn w:val="147"/>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character" w:customStyle="1" w:styleId="156">
    <w:name w:val="页眉 字符"/>
    <w:link w:val="33"/>
    <w:qFormat/>
    <w:uiPriority w:val="99"/>
    <w:rPr>
      <w:sz w:val="18"/>
      <w:szCs w:val="18"/>
    </w:rPr>
  </w:style>
  <w:style w:type="character" w:customStyle="1" w:styleId="157">
    <w:name w:val="Footer Char"/>
    <w:qFormat/>
    <w:uiPriority w:val="99"/>
    <w:rPr>
      <w:sz w:val="18"/>
      <w:szCs w:val="18"/>
    </w:rPr>
  </w:style>
  <w:style w:type="paragraph" w:styleId="158">
    <w:name w:val="No Spacing"/>
    <w:qFormat/>
    <w:uiPriority w:val="1"/>
    <w:rPr>
      <w:rFonts w:asciiTheme="minorHAnsi" w:hAnsiTheme="minorHAnsi" w:eastAsiaTheme="minorEastAsia" w:cstheme="minorBidi"/>
      <w:sz w:val="22"/>
      <w:szCs w:val="22"/>
      <w:lang w:val="en-US" w:eastAsia="en-US" w:bidi="ar-SA"/>
    </w:rPr>
  </w:style>
  <w:style w:type="character" w:customStyle="1" w:styleId="159">
    <w:name w:val="Heading 1 Char"/>
    <w:qFormat/>
    <w:uiPriority w:val="9"/>
    <w:rPr>
      <w:rFonts w:ascii="Times New Roman" w:hAnsi="Times New Roman" w:eastAsia="宋体" w:cs="Times New Roman"/>
      <w:b/>
      <w:bCs/>
      <w:kern w:val="44"/>
      <w:sz w:val="36"/>
      <w:szCs w:val="36"/>
      <w:lang w:val="en-US" w:eastAsia="zh-CN" w:bidi="ar-SA"/>
    </w:rPr>
  </w:style>
  <w:style w:type="character" w:customStyle="1" w:styleId="160">
    <w:name w:val="标题 2 字符"/>
    <w:link w:val="4"/>
    <w:qFormat/>
    <w:uiPriority w:val="9"/>
    <w:rPr>
      <w:rFonts w:ascii="楷体" w:hAnsi="楷体" w:eastAsia="楷体" w:cs="Times New Roman"/>
      <w:color w:val="auto"/>
      <w:sz w:val="32"/>
      <w:szCs w:val="32"/>
      <w:lang w:val="en-US" w:eastAsia="zh-CN" w:bidi="ar-SA"/>
    </w:rPr>
  </w:style>
  <w:style w:type="character" w:customStyle="1" w:styleId="161">
    <w:name w:val="标题 3 字符"/>
    <w:link w:val="6"/>
    <w:qFormat/>
    <w:uiPriority w:val="9"/>
    <w:rPr>
      <w:rFonts w:ascii="仿宋" w:hAnsi="仿宋" w:eastAsia="仿宋" w:cs="Times New Roman"/>
      <w:color w:val="auto"/>
      <w:sz w:val="32"/>
      <w:szCs w:val="32"/>
      <w:lang w:val="en-US" w:eastAsia="zh-CN" w:bidi="ar-SA"/>
    </w:rPr>
  </w:style>
  <w:style w:type="character" w:customStyle="1" w:styleId="162">
    <w:name w:val="Title Char"/>
    <w:qFormat/>
    <w:uiPriority w:val="10"/>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character" w:customStyle="1" w:styleId="163">
    <w:name w:val="Subtitle Char"/>
    <w:qFormat/>
    <w:uiPriority w:val="11"/>
    <w:rPr>
      <w:rFonts w:ascii="黑体" w:hAnsi="黑体" w:eastAsia="黑体" w:cs="Times New Roman"/>
      <w:color w:val="auto"/>
      <w:kern w:val="28"/>
      <w:sz w:val="36"/>
      <w:szCs w:val="36"/>
      <w:lang w:val="en-US" w:eastAsia="zh-CN" w:bidi="ar-SA"/>
    </w:rPr>
  </w:style>
  <w:style w:type="paragraph" w:styleId="164">
    <w:name w:val="List Paragraph"/>
    <w:basedOn w:val="1"/>
    <w:qFormat/>
    <w:uiPriority w:val="34"/>
    <w:pPr>
      <w:ind w:firstLine="420"/>
    </w:pPr>
  </w:style>
  <w:style w:type="character" w:customStyle="1" w:styleId="165">
    <w:name w:val="Body Text Char"/>
    <w:qFormat/>
    <w:uiPriority w:val="99"/>
    <w:rPr>
      <w:rFonts w:ascii="仿宋" w:hAnsi="仿宋" w:eastAsia="仿宋" w:cs="Times New Roman"/>
      <w:color w:val="auto"/>
      <w:spacing w:val="-6"/>
      <w:sz w:val="32"/>
      <w:szCs w:val="32"/>
      <w:lang w:val="en-US" w:eastAsia="zh-CN" w:bidi="ar-SA"/>
    </w:rPr>
  </w:style>
  <w:style w:type="character" w:customStyle="1" w:styleId="166">
    <w:name w:val="正文文本 2 字符"/>
    <w:link w:val="41"/>
    <w:qFormat/>
    <w:uiPriority w:val="99"/>
  </w:style>
  <w:style w:type="character" w:customStyle="1" w:styleId="167">
    <w:name w:val="正文文本 3 字符"/>
    <w:link w:val="20"/>
    <w:qFormat/>
    <w:uiPriority w:val="99"/>
    <w:rPr>
      <w:sz w:val="16"/>
    </w:rPr>
  </w:style>
  <w:style w:type="character" w:customStyle="1" w:styleId="168">
    <w:name w:val="宏文本 字符"/>
    <w:link w:val="2"/>
    <w:qFormat/>
    <w:uiPriority w:val="99"/>
    <w:rPr>
      <w:rFonts w:ascii="Courier New" w:hAnsi="Courier New"/>
      <w:kern w:val="2"/>
      <w:sz w:val="24"/>
      <w:lang w:val="en-US" w:eastAsia="zh-CN"/>
    </w:rPr>
  </w:style>
  <w:style w:type="paragraph" w:styleId="169">
    <w:name w:val="Quote"/>
    <w:basedOn w:val="1"/>
    <w:next w:val="1"/>
    <w:link w:val="170"/>
    <w:qFormat/>
    <w:uiPriority w:val="29"/>
    <w:rPr>
      <w:i/>
      <w:iCs/>
      <w:color w:val="000000" w:themeColor="text1"/>
      <w14:textFill>
        <w14:solidFill>
          <w14:schemeClr w14:val="tx1"/>
        </w14:solidFill>
      </w14:textFill>
    </w:rPr>
  </w:style>
  <w:style w:type="character" w:customStyle="1" w:styleId="170">
    <w:name w:val="引用 字符"/>
    <w:basedOn w:val="147"/>
    <w:link w:val="169"/>
    <w:qFormat/>
    <w:uiPriority w:val="29"/>
    <w:rPr>
      <w:i/>
      <w:iCs/>
      <w:color w:val="000000" w:themeColor="text1"/>
      <w14:textFill>
        <w14:solidFill>
          <w14:schemeClr w14:val="tx1"/>
        </w14:solidFill>
      </w14:textFill>
    </w:rPr>
  </w:style>
  <w:style w:type="character" w:customStyle="1" w:styleId="171">
    <w:name w:val="Heading 4 Char"/>
    <w:semiHidden/>
    <w:qFormat/>
    <w:uiPriority w:val="9"/>
    <w:rPr>
      <w:rFonts w:ascii="仿宋" w:hAnsi="仿宋" w:eastAsia="仿宋" w:cs="Times New Roman"/>
      <w:color w:val="auto"/>
      <w:sz w:val="32"/>
      <w:szCs w:val="32"/>
      <w:lang w:val="en-US" w:eastAsia="zh-CN" w:bidi="ar-SA"/>
    </w:rPr>
  </w:style>
  <w:style w:type="character" w:customStyle="1" w:styleId="172">
    <w:name w:val="标题 5 字符"/>
    <w:link w:val="8"/>
    <w:semiHidden/>
    <w:qFormat/>
    <w:uiPriority w:val="9"/>
    <w:rPr>
      <w:rFonts w:ascii="仿宋" w:hAnsi="仿宋" w:eastAsia="仿宋" w:cs="Times New Roman"/>
      <w:color w:val="auto"/>
      <w:sz w:val="32"/>
      <w:szCs w:val="32"/>
      <w:lang w:val="en-US" w:eastAsia="zh-CN" w:bidi="ar-SA"/>
    </w:rPr>
  </w:style>
  <w:style w:type="character" w:customStyle="1" w:styleId="173">
    <w:name w:val="标题 6 字符"/>
    <w:link w:val="9"/>
    <w:semiHidden/>
    <w:qFormat/>
    <w:uiPriority w:val="9"/>
    <w:rPr>
      <w:rFonts w:ascii="仿宋" w:hAnsi="仿宋" w:eastAsia="仿宋" w:cs="Times New Roman"/>
      <w:color w:val="auto"/>
      <w:sz w:val="32"/>
      <w:szCs w:val="32"/>
      <w:lang w:val="en-US" w:eastAsia="zh-CN" w:bidi="ar-SA"/>
    </w:rPr>
  </w:style>
  <w:style w:type="character" w:customStyle="1" w:styleId="174">
    <w:name w:val="标题 7 字符"/>
    <w:link w:val="10"/>
    <w:semiHidden/>
    <w:qFormat/>
    <w:uiPriority w:val="9"/>
    <w:rPr>
      <w:rFonts w:ascii="仿宋" w:hAnsi="仿宋" w:eastAsia="仿宋" w:cs="Times New Roman"/>
      <w:color w:val="auto"/>
      <w:sz w:val="32"/>
      <w:szCs w:val="32"/>
      <w:lang w:val="en-US" w:eastAsia="zh-CN" w:bidi="ar-SA"/>
    </w:rPr>
  </w:style>
  <w:style w:type="character" w:customStyle="1" w:styleId="175">
    <w:name w:val="标题 8 字符"/>
    <w:link w:val="11"/>
    <w:semiHidden/>
    <w:qFormat/>
    <w:uiPriority w:val="9"/>
    <w:rPr>
      <w:rFonts w:ascii="仿宋" w:hAnsi="仿宋" w:eastAsia="仿宋" w:cs="Times New Roman"/>
      <w:color w:val="auto"/>
      <w:sz w:val="32"/>
      <w:szCs w:val="32"/>
      <w:lang w:val="en-US" w:eastAsia="zh-CN" w:bidi="ar-SA"/>
    </w:rPr>
  </w:style>
  <w:style w:type="character" w:customStyle="1" w:styleId="176">
    <w:name w:val="标题 9 字符"/>
    <w:link w:val="12"/>
    <w:semiHidden/>
    <w:qFormat/>
    <w:uiPriority w:val="9"/>
    <w:rPr>
      <w:rFonts w:ascii="仿宋" w:hAnsi="仿宋" w:eastAsia="仿宋" w:cs="Times New Roman"/>
      <w:color w:val="auto"/>
      <w:sz w:val="32"/>
      <w:szCs w:val="32"/>
      <w:lang w:val="en-US" w:eastAsia="zh-CN" w:bidi="ar-SA"/>
    </w:rPr>
  </w:style>
  <w:style w:type="paragraph" w:styleId="177">
    <w:name w:val="Intense Quote"/>
    <w:basedOn w:val="1"/>
    <w:next w:val="1"/>
    <w:link w:val="17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78">
    <w:name w:val="明显引用 字符"/>
    <w:basedOn w:val="147"/>
    <w:link w:val="177"/>
    <w:qFormat/>
    <w:uiPriority w:val="30"/>
    <w:rPr>
      <w:b/>
      <w:bCs/>
      <w:i/>
      <w:iCs/>
      <w:color w:val="4F81BD" w:themeColor="accent1"/>
      <w14:textFill>
        <w14:solidFill>
          <w14:schemeClr w14:val="accent1"/>
        </w14:solidFill>
      </w14:textFill>
    </w:rPr>
  </w:style>
  <w:style w:type="character" w:customStyle="1" w:styleId="179">
    <w:name w:val="不明显强调1"/>
    <w:basedOn w:val="147"/>
    <w:qFormat/>
    <w:uiPriority w:val="19"/>
    <w:rPr>
      <w:i/>
      <w:iCs/>
      <w:color w:val="808080" w:themeColor="text1" w:themeTint="80"/>
      <w14:textFill>
        <w14:solidFill>
          <w14:schemeClr w14:val="tx1">
            <w14:lumMod w14:val="50000"/>
            <w14:lumOff w14:val="50000"/>
          </w14:schemeClr>
        </w14:solidFill>
      </w14:textFill>
    </w:rPr>
  </w:style>
  <w:style w:type="character" w:customStyle="1" w:styleId="180">
    <w:name w:val="明显强调1"/>
    <w:basedOn w:val="147"/>
    <w:qFormat/>
    <w:uiPriority w:val="21"/>
    <w:rPr>
      <w:b/>
      <w:bCs/>
      <w:i/>
      <w:iCs/>
      <w:color w:val="4F81BD" w:themeColor="accent1"/>
      <w14:textFill>
        <w14:solidFill>
          <w14:schemeClr w14:val="accent1"/>
        </w14:solidFill>
      </w14:textFill>
    </w:rPr>
  </w:style>
  <w:style w:type="character" w:customStyle="1" w:styleId="181">
    <w:name w:val="不明显参考1"/>
    <w:basedOn w:val="147"/>
    <w:qFormat/>
    <w:uiPriority w:val="31"/>
    <w:rPr>
      <w:smallCaps/>
      <w:color w:val="C0504D" w:themeColor="accent2"/>
      <w:u w:val="single"/>
      <w14:textFill>
        <w14:solidFill>
          <w14:schemeClr w14:val="accent2"/>
        </w14:solidFill>
      </w14:textFill>
    </w:rPr>
  </w:style>
  <w:style w:type="character" w:customStyle="1" w:styleId="182">
    <w:name w:val="明显参考1"/>
    <w:basedOn w:val="147"/>
    <w:qFormat/>
    <w:uiPriority w:val="32"/>
    <w:rPr>
      <w:b/>
      <w:bCs/>
      <w:smallCaps/>
      <w:color w:val="C0504D" w:themeColor="accent2"/>
      <w:spacing w:val="5"/>
      <w:u w:val="single"/>
      <w14:textFill>
        <w14:solidFill>
          <w14:schemeClr w14:val="accent2"/>
        </w14:solidFill>
      </w14:textFill>
    </w:rPr>
  </w:style>
  <w:style w:type="character" w:customStyle="1" w:styleId="183">
    <w:name w:val="书籍标题1"/>
    <w:basedOn w:val="147"/>
    <w:qFormat/>
    <w:uiPriority w:val="33"/>
    <w:rPr>
      <w:b/>
      <w:bCs/>
      <w:smallCaps/>
      <w:spacing w:val="5"/>
    </w:rPr>
  </w:style>
  <w:style w:type="paragraph" w:customStyle="1" w:styleId="184">
    <w:name w:val="TOC 标题1"/>
    <w:basedOn w:val="3"/>
    <w:next w:val="1"/>
    <w:semiHidden/>
    <w:unhideWhenUsed/>
    <w:qFormat/>
    <w:uiPriority w:val="39"/>
    <w:pPr>
      <w:outlineLvl w:val="9"/>
    </w:pPr>
  </w:style>
  <w:style w:type="paragraph" w:customStyle="1" w:styleId="185">
    <w:name w:val="msolistparagraph"/>
    <w:basedOn w:val="1"/>
    <w:qFormat/>
    <w:uiPriority w:val="99"/>
    <w:pPr>
      <w:ind w:firstLine="420"/>
    </w:pPr>
  </w:style>
  <w:style w:type="character" w:customStyle="1" w:styleId="186">
    <w:name w:val="font21"/>
    <w:basedOn w:val="147"/>
    <w:qFormat/>
    <w:uiPriority w:val="0"/>
    <w:rPr>
      <w:rFonts w:hint="eastAsia" w:ascii="宋体" w:hAnsi="宋体" w:eastAsia="宋体" w:cs="宋体"/>
      <w:color w:val="FF0000"/>
      <w:sz w:val="20"/>
      <w:szCs w:val="20"/>
      <w:u w:val="none"/>
    </w:rPr>
  </w:style>
  <w:style w:type="character" w:customStyle="1" w:styleId="187">
    <w:name w:val="标题 1 字符"/>
    <w:link w:val="3"/>
    <w:qFormat/>
    <w:uiPriority w:val="1"/>
    <w:rPr>
      <w:rFonts w:ascii="黑体" w:hAnsi="黑体" w:eastAsia="黑体" w:cs="Times New Roman"/>
      <w:color w:val="auto"/>
      <w:kern w:val="44"/>
      <w:sz w:val="32"/>
      <w:szCs w:val="32"/>
      <w:lang w:val="en-US" w:eastAsia="zh-CN" w:bidi="ar-SA"/>
    </w:rPr>
  </w:style>
  <w:style w:type="paragraph" w:customStyle="1" w:styleId="188">
    <w:name w:val="WPSOffice手动目录 1"/>
    <w:qFormat/>
    <w:uiPriority w:val="0"/>
    <w:rPr>
      <w:rFonts w:asciiTheme="minorHAnsi" w:hAnsiTheme="minorHAnsi" w:eastAsiaTheme="minorEastAsia" w:cstheme="minorBidi"/>
      <w:lang w:val="en-US" w:eastAsia="zh-CN" w:bidi="ar-SA"/>
    </w:rPr>
  </w:style>
  <w:style w:type="paragraph" w:customStyle="1" w:styleId="189">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90">
    <w:name w:val="批注框文本 字符"/>
    <w:link w:val="31"/>
    <w:qFormat/>
    <w:uiPriority w:val="0"/>
    <w:rPr>
      <w:sz w:val="18"/>
      <w:szCs w:val="18"/>
    </w:rPr>
  </w:style>
  <w:style w:type="character" w:customStyle="1" w:styleId="191">
    <w:name w:val="font11"/>
    <w:basedOn w:val="147"/>
    <w:qFormat/>
    <w:uiPriority w:val="0"/>
    <w:rPr>
      <w:rFonts w:hint="eastAsia" w:ascii="宋体" w:hAnsi="宋体" w:eastAsia="宋体" w:cs="宋体"/>
      <w:color w:val="000000"/>
      <w:sz w:val="21"/>
      <w:szCs w:val="21"/>
      <w:u w:val="none"/>
    </w:rPr>
  </w:style>
  <w:style w:type="character" w:customStyle="1" w:styleId="192">
    <w:name w:val="font31"/>
    <w:basedOn w:val="147"/>
    <w:qFormat/>
    <w:uiPriority w:val="0"/>
    <w:rPr>
      <w:rFonts w:hint="eastAsia" w:ascii="宋体" w:hAnsi="宋体" w:eastAsia="宋体" w:cs="宋体"/>
      <w:color w:val="000000"/>
      <w:sz w:val="21"/>
      <w:szCs w:val="21"/>
      <w:u w:val="none"/>
    </w:rPr>
  </w:style>
  <w:style w:type="paragraph" w:customStyle="1" w:styleId="193">
    <w:name w:val="章标题"/>
    <w:basedOn w:val="1"/>
    <w:next w:val="1"/>
    <w:qFormat/>
    <w:uiPriority w:val="0"/>
    <w:pPr>
      <w:spacing w:line="720" w:lineRule="exact"/>
      <w:ind w:firstLine="0" w:firstLineChars="0"/>
      <w:jc w:val="center"/>
      <w:outlineLvl w:val="0"/>
    </w:pPr>
    <w:rPr>
      <w:rFonts w:hint="eastAsia" w:ascii="黑体" w:hAnsi="黑体" w:eastAsia="黑体"/>
      <w:kern w:val="44"/>
      <w:sz w:val="36"/>
      <w:szCs w:val="36"/>
    </w:rPr>
  </w:style>
  <w:style w:type="paragraph" w:customStyle="1" w:styleId="194">
    <w:name w:val="节标题"/>
    <w:next w:val="1"/>
    <w:qFormat/>
    <w:uiPriority w:val="0"/>
    <w:pPr>
      <w:tabs>
        <w:tab w:val="left" w:pos="0"/>
      </w:tabs>
      <w:adjustRightInd w:val="0"/>
      <w:snapToGrid w:val="0"/>
      <w:spacing w:line="720" w:lineRule="exact"/>
      <w:jc w:val="center"/>
    </w:pPr>
    <w:rPr>
      <w:rFonts w:ascii="黑体" w:hAnsi="黑体" w:eastAsia="黑体" w:cstheme="minorBidi"/>
      <w:sz w:val="32"/>
      <w:szCs w:val="32"/>
      <w:lang w:val="en-US" w:eastAsia="zh-CN" w:bidi="ar-SA"/>
    </w:rPr>
  </w:style>
  <w:style w:type="paragraph" w:customStyle="1" w:styleId="195">
    <w:name w:val="附录标题"/>
    <w:next w:val="5"/>
    <w:qFormat/>
    <w:uiPriority w:val="0"/>
    <w:pPr>
      <w:overflowPunct w:val="0"/>
      <w:topLinePunct/>
      <w:adjustRightInd w:val="0"/>
      <w:snapToGrid w:val="0"/>
      <w:spacing w:line="720" w:lineRule="exact"/>
      <w:jc w:val="center"/>
    </w:pPr>
    <w:rPr>
      <w:rFonts w:hint="eastAsia" w:ascii="黑体" w:hAnsi="黑体" w:eastAsia="黑体" w:cs="Times New Roman"/>
      <w:sz w:val="36"/>
      <w:szCs w:val="36"/>
      <w:lang w:val="en-US" w:eastAsia="zh-CN" w:bidi="ar-SA"/>
    </w:rPr>
  </w:style>
  <w:style w:type="paragraph" w:customStyle="1" w:styleId="196">
    <w:name w:val="题注1"/>
    <w:basedOn w:val="1"/>
    <w:qFormat/>
    <w:uiPriority w:val="0"/>
    <w:pPr>
      <w:ind w:firstLine="0" w:firstLineChars="0"/>
    </w:pPr>
    <w:rPr>
      <w:rFonts w:hint="eastAsia"/>
      <w:sz w:val="20"/>
      <w:szCs w:val="20"/>
    </w:rPr>
  </w:style>
  <w:style w:type="character" w:customStyle="1" w:styleId="197">
    <w:name w:val="摘要"/>
    <w:basedOn w:val="147"/>
    <w:qFormat/>
    <w:uiPriority w:val="0"/>
    <w:rPr>
      <w:rFonts w:hint="eastAsia" w:ascii="黑体" w:hAnsi="黑体" w:eastAsia="黑体"/>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198">
    <w:name w:val="关键词"/>
    <w:basedOn w:val="147"/>
    <w:qFormat/>
    <w:uiPriority w:val="0"/>
    <w:rPr>
      <w:rFonts w:hint="eastAsia" w:ascii="黑体" w:hAnsi="黑体" w:eastAsia="黑体"/>
      <w:color w:val="262626" w:themeColor="text1" w:themeTint="D9"/>
      <w:sz w:val="30"/>
      <w:szCs w:val="30"/>
      <w14:textFill>
        <w14:solidFill>
          <w14:schemeClr w14:val="tx1">
            <w14:lumMod w14:val="85000"/>
            <w14:lumOff w14:val="15000"/>
          </w14:schemeClr>
        </w14:solidFill>
      </w14:textFill>
    </w:rPr>
  </w:style>
  <w:style w:type="paragraph" w:customStyle="1" w:styleId="199">
    <w:name w:val="文档说明标题"/>
    <w:next w:val="1"/>
    <w:qFormat/>
    <w:uiPriority w:val="0"/>
    <w:pPr>
      <w:keepNext/>
      <w:keepLines/>
      <w:tabs>
        <w:tab w:val="left" w:pos="0"/>
      </w:tabs>
      <w:adjustRightInd w:val="0"/>
      <w:snapToGrid w:val="0"/>
      <w:spacing w:line="720" w:lineRule="exact"/>
      <w:jc w:val="center"/>
      <w:outlineLvl w:val="0"/>
    </w:pPr>
    <w:rPr>
      <w:rFonts w:ascii="黑体" w:hAnsi="黑体" w:eastAsia="黑体" w:cstheme="minorBidi"/>
      <w:kern w:val="44"/>
      <w:sz w:val="36"/>
      <w:szCs w:val="36"/>
      <w:lang w:val="en-US" w:eastAsia="zh-CN" w:bidi="ar-SA"/>
    </w:rPr>
  </w:style>
  <w:style w:type="paragraph" w:customStyle="1" w:styleId="200">
    <w:name w:val="主送对象"/>
    <w:next w:val="5"/>
    <w:qFormat/>
    <w:uiPriority w:val="0"/>
    <w:pPr>
      <w:adjustRightInd w:val="0"/>
      <w:snapToGrid w:val="0"/>
      <w:spacing w:line="576" w:lineRule="exact"/>
    </w:pPr>
    <w:rPr>
      <w:rFonts w:hint="eastAsia" w:ascii="仿宋" w:hAnsi="仿宋" w:eastAsia="仿宋" w:cs="Times New Roman"/>
      <w:sz w:val="32"/>
      <w:szCs w:val="32"/>
      <w:lang w:val="en-US" w:eastAsia="zh-CN" w:bidi="ar-SA"/>
    </w:rPr>
  </w:style>
  <w:style w:type="paragraph" w:customStyle="1" w:styleId="201">
    <w:name w:val="目录标题"/>
    <w:qFormat/>
    <w:uiPriority w:val="0"/>
    <w:pPr>
      <w:adjustRightInd w:val="0"/>
      <w:jc w:val="center"/>
      <w:textAlignment w:val="center"/>
    </w:pPr>
    <w:rPr>
      <w:rFonts w:ascii="黑体" w:hAnsi="黑体" w:eastAsia="黑体" w:cs="Times New Roman"/>
      <w:sz w:val="32"/>
      <w:szCs w:val="32"/>
      <w:lang w:val="en-US" w:eastAsia="zh-CN" w:bidi="ar-SA"/>
    </w:rPr>
  </w:style>
  <w:style w:type="paragraph" w:customStyle="1" w:styleId="202">
    <w:name w:val="致谢标题"/>
    <w:qFormat/>
    <w:uiPriority w:val="0"/>
    <w:pPr>
      <w:adjustRightInd w:val="0"/>
      <w:snapToGrid w:val="0"/>
      <w:spacing w:before="50" w:beforeLines="50" w:after="100" w:afterLines="100"/>
      <w:jc w:val="center"/>
      <w:outlineLvl w:val="0"/>
    </w:pPr>
    <w:rPr>
      <w:rFonts w:ascii="黑体" w:hAnsi="黑体" w:eastAsia="黑体" w:cstheme="minorBidi"/>
      <w:b/>
      <w:bCs/>
      <w:sz w:val="36"/>
      <w:szCs w:val="36"/>
      <w:lang w:val="en-US" w:eastAsia="zh-CN" w:bidi="ar-SA"/>
    </w:rPr>
  </w:style>
  <w:style w:type="paragraph" w:customStyle="1" w:styleId="203">
    <w:name w:val="参考文献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lang w:val="en-US" w:eastAsia="zh-CN" w:bidi="ar-SA"/>
    </w:rPr>
  </w:style>
  <w:style w:type="paragraph" w:customStyle="1" w:styleId="204">
    <w:name w:val="声明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lang w:val="en-US" w:eastAsia="zh-CN" w:bidi="ar-SA"/>
    </w:rPr>
  </w:style>
  <w:style w:type="character" w:customStyle="1" w:styleId="205">
    <w:name w:val="页脚 字符"/>
    <w:link w:val="32"/>
    <w:qFormat/>
    <w:uiPriority w:val="99"/>
    <w:rPr>
      <w:sz w:val="18"/>
      <w:szCs w:val="18"/>
    </w:rPr>
  </w:style>
  <w:style w:type="character" w:customStyle="1" w:styleId="206">
    <w:name w:val="标题 4 字符"/>
    <w:link w:val="7"/>
    <w:qFormat/>
    <w:uiPriority w:val="9"/>
    <w:rPr>
      <w:rFonts w:ascii="仿宋" w:hAnsi="仿宋" w:eastAsia="仿宋" w:cs="Times New Roman"/>
      <w:color w:val="auto"/>
      <w:sz w:val="32"/>
      <w:szCs w:val="32"/>
      <w:lang w:val="en-US" w:eastAsia="zh-CN" w:bidi="ar-SA"/>
    </w:rPr>
  </w:style>
  <w:style w:type="character" w:customStyle="1" w:styleId="207">
    <w:name w:val="副标题 字符"/>
    <w:link w:val="37"/>
    <w:qFormat/>
    <w:uiPriority w:val="0"/>
    <w:rPr>
      <w:rFonts w:ascii="黑体" w:hAnsi="黑体" w:eastAsia="黑体" w:cs="Times New Roman"/>
      <w:color w:val="auto"/>
      <w:kern w:val="28"/>
      <w:sz w:val="36"/>
      <w:szCs w:val="36"/>
      <w:lang w:val="en-US" w:eastAsia="zh-CN" w:bidi="ar-SA"/>
    </w:rPr>
  </w:style>
  <w:style w:type="character" w:customStyle="1" w:styleId="208">
    <w:name w:val="参考文献条目"/>
    <w:basedOn w:val="147"/>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209">
    <w:name w:val="着重标题"/>
    <w:basedOn w:val="147"/>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210">
    <w:name w:val="正文文本 字符"/>
    <w:link w:val="5"/>
    <w:qFormat/>
    <w:uiPriority w:val="0"/>
    <w:rPr>
      <w:rFonts w:ascii="仿宋" w:hAnsi="仿宋" w:eastAsia="仿宋" w:cs="Times New Roman"/>
      <w:color w:val="auto"/>
      <w:spacing w:val="-6"/>
      <w:sz w:val="32"/>
      <w:szCs w:val="32"/>
      <w:lang w:val="en-US" w:eastAsia="zh-CN" w:bidi="ar-SA"/>
    </w:rPr>
  </w:style>
  <w:style w:type="character" w:customStyle="1" w:styleId="211">
    <w:name w:val="标题 字符"/>
    <w:link w:val="45"/>
    <w:qFormat/>
    <w:uiPriority w:val="0"/>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customStyle="1" w:styleId="212">
    <w:name w:val="表格标题"/>
    <w:next w:val="1"/>
    <w:qFormat/>
    <w:uiPriority w:val="0"/>
    <w:pPr>
      <w:overflowPunct w:val="0"/>
      <w:topLinePunct/>
      <w:jc w:val="center"/>
    </w:pPr>
    <w:rPr>
      <w:rFonts w:hint="eastAsia" w:ascii="仿宋" w:hAnsi="仿宋" w:eastAsia="仿宋" w:cs="Times New Roman"/>
      <w:color w:val="262626" w:themeColor="text1" w:themeTint="D9"/>
      <w:spacing w:val="-6"/>
      <w:sz w:val="32"/>
      <w:szCs w:val="32"/>
      <w:lang w:val="en-US" w:eastAsia="zh-CN" w:bidi="ar-SA"/>
      <w14:textFill>
        <w14:solidFill>
          <w14:schemeClr w14:val="tx1">
            <w14:lumMod w14:val="85000"/>
            <w14:lumOff w14:val="15000"/>
          </w14:schemeClr>
        </w14:solidFill>
      </w14:textFill>
    </w:rPr>
  </w:style>
  <w:style w:type="paragraph" w:customStyle="1" w:styleId="213">
    <w:name w:val="修订1"/>
    <w:hidden/>
    <w:unhideWhenUsed/>
    <w:qFormat/>
    <w:uiPriority w:val="99"/>
    <w:rPr>
      <w:rFonts w:ascii="仿宋" w:hAnsi="仿宋" w:eastAsia="仿宋" w:cs="Times New Roman"/>
      <w:spacing w:val="-6"/>
      <w:kern w:val="2"/>
      <w:sz w:val="32"/>
      <w:szCs w:val="32"/>
      <w:lang w:val="en-US" w:eastAsia="zh-CN" w:bidi="ar-SA"/>
    </w:rPr>
  </w:style>
  <w:style w:type="paragraph" w:customStyle="1" w:styleId="214">
    <w:name w:val="修订2"/>
    <w:hidden/>
    <w:unhideWhenUsed/>
    <w:qFormat/>
    <w:uiPriority w:val="99"/>
    <w:rPr>
      <w:rFonts w:ascii="仿宋" w:hAnsi="仿宋" w:eastAsia="仿宋" w:cs="Times New Roman"/>
      <w:spacing w:val="-6"/>
      <w:kern w:val="2"/>
      <w:sz w:val="32"/>
      <w:szCs w:val="32"/>
      <w:lang w:val="en-US" w:eastAsia="zh-CN" w:bidi="ar-SA"/>
    </w:rPr>
  </w:style>
  <w:style w:type="paragraph" w:customStyle="1" w:styleId="215">
    <w:name w:val="Revision"/>
    <w:hidden/>
    <w:unhideWhenUsed/>
    <w:qFormat/>
    <w:uiPriority w:val="99"/>
    <w:rPr>
      <w:rFonts w:ascii="仿宋" w:hAnsi="仿宋" w:eastAsia="仿宋" w:cs="Times New Roman"/>
      <w:spacing w:val="-6"/>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4a722c40-31e6-4ca3-875b-9c49c1c29613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7B01816F</paraID>
      <start>160</start>
      <end>161</end>
      <status>ignored</status>
      <modifiedWord/>
      <trackRevisions>false</trackRevisions>
    </reviewItem>
    <reviewItem>
      <errorID>6736ef60-9885-4077-9358-7f98e9093038</errorID>
      <errorWord>医药学</errorWord>
      <group>L1_Word</group>
      <groupName>字词问题</groupName>
      <ability>L2_Typo</ability>
      <abilityName>字词错误</abilityName>
      <candidateList>
        <item>医药</item>
      </candidateList>
      <explain/>
      <paraID>7249FBCD</paraID>
      <start>10</start>
      <end>13</end>
      <status>ignored</status>
      <modifiedWord/>
      <trackRevisions>false</trackRevisions>
    </reviewItem>
    <reviewItem>
      <errorID>c14bf895-cb24-4958-8919-b7868786b7c5</errorID>
      <errorWord>番禺区中心医院</errorWord>
      <group>L1_Other</group>
      <groupName>其他问题</groupName>
      <ability>L2_Consistency</ability>
      <abilityName>一致性检查</abilityName>
      <candidateList>
        <item>广州医科大学附属番禺中心医院</item>
      </candidateList>
      <explain>实体一致性错误，全文统一使用全称广州医科大学附属番禺中心医院，此处简称不一致，应修正为统一实体名称</explain>
      <paraID>4AC69951</paraID>
      <start>1</start>
      <end>22</end>
      <status>modified</status>
      <modifiedWord>广州医科大学附属番禺中心医院番禺区中心医院</modifiedWord>
      <trackRevisions>true</trackRevisions>
    </reviewItem>
    <reviewItem>
      <errorID>bedaf355-b121-4be1-9992-2238ab5deb4e</errorID>
      <errorWord>-</errorWord>
      <group>L1_Format</group>
      <groupName>格式问题</groupName>
      <ability>L2_HalfPunc_CN</ability>
      <abilityName>全半角问题</abilityName>
      <candidateList>
        <item>－</item>
      </candidateList>
      <explain>文本全半角错误。</explain>
      <paraID>2449FFCF</paraID>
      <start>10</start>
      <end>11</end>
      <status>ignored</status>
      <modifiedWord/>
      <trackRevisions>false</trackRevisions>
    </reviewItem>
    <reviewItem>
      <errorID>5132552d-732d-4807-908a-cc8b251a2dbe</errorID>
      <errorWord>-</errorWord>
      <group>L1_Format</group>
      <groupName>格式问题</groupName>
      <ability>L2_HalfPunc_CN</ability>
      <abilityName>全半角问题</abilityName>
      <candidateList>
        <item>－</item>
      </candidateList>
      <explain>文本全半角错误。</explain>
      <paraID>2449FFCF</paraID>
      <start>29</start>
      <end>30</end>
      <status>ignored</status>
      <modifiedWord/>
      <trackRevisions>false</trackRevisions>
    </reviewItem>
    <reviewItem>
      <errorID>fdc2bd87-7738-427f-89b6-361be62b4976</errorID>
      <errorWord>-</errorWord>
      <group>L1_Format</group>
      <groupName>格式问题</groupName>
      <ability>L2_HalfPunc_CN</ability>
      <abilityName>全半角问题</abilityName>
      <candidateList>
        <item>－</item>
      </candidateList>
      <explain>文本全半角错误。</explain>
      <paraID>2449FFCF</paraID>
      <start>35</start>
      <end>36</end>
      <status>ignored</status>
      <modifiedWord/>
      <trackRevisions>false</trackRevisions>
    </reviewItem>
    <reviewItem>
      <errorID>9ba61410-d49e-41d5-8de0-d1d84ee9ea2e</errorID>
      <errorWord>-</errorWord>
      <group>L1_Format</group>
      <groupName>格式问题</groupName>
      <ability>L2_HalfPunc_CN</ability>
      <abilityName>全半角问题</abilityName>
      <candidateList>
        <item>－</item>
      </candidateList>
      <explain>文本全半角错误。</explain>
      <paraID>2449FFCF</paraID>
      <start>41</start>
      <end>42</end>
      <status>ignored</status>
      <modifiedWord/>
      <trackRevisions>false</trackRevisions>
    </reviewItem>
    <reviewItem>
      <errorID>15ca7789-83e1-4a80-b71c-26885c7e1d84</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2C72BE57</paraID>
      <start>0</start>
      <end>3</end>
      <status>ignored</status>
      <modifiedWord/>
      <trackRevisions>false</trackRevisions>
    </reviewItem>
    <reviewItem>
      <errorID>5a82271a-ea4a-406e-a8d8-fd17227fcbab</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2C72BE57</paraID>
      <start>18</start>
      <end>21</end>
      <status>ignored</status>
      <modifiedWord/>
      <trackRevisions>false</trackRevisions>
    </reviewItem>
    <reviewItem>
      <errorID>7a4172f3-93f8-4096-822f-39e2193b7459</errorID>
      <errorWord>，</errorWord>
      <group>L1_Punc</group>
      <groupName>标点问题</groupName>
      <ability>L2_Punc_CN</ability>
      <abilityName>标点符号问题</abilityName>
      <candidateList>
        <item>。</item>
      </candidateList>
      <explain/>
      <paraID>615F091B</paraID>
      <start>14</start>
      <end>15</end>
      <status>ignored</status>
      <modifiedWord/>
      <trackRevisions>false</trackRevisions>
    </reviewItem>
    <reviewItem>
      <errorID>5d6c873a-3dda-41a6-bef3-39e6f648e46a</errorID>
      <errorWord>围术期</errorWord>
      <group>L1_Word</group>
      <groupName>字词问题</groupName>
      <ability>L2_Typo</ability>
      <abilityName>字词错误</abilityName>
      <candidateList>
        <item>围手术期</item>
      </candidateList>
      <explain/>
      <paraID>15ED446D</paraID>
      <start>0</start>
      <end>3</end>
      <status>ignored</status>
      <modifiedWord/>
      <trackRevisions>false</trackRevisions>
    </reviewItem>
    <reviewItem>
      <errorID>c2a51d95-b101-411a-a360-72eccc7865fd</errorID>
      <errorWord>，</errorWord>
      <group>L1_Grammar</group>
      <groupName>语法问题</groupName>
      <ability>L2_Grammar</ability>
      <abilityName>语法错误</abilityName>
      <candidateList>
        <item>功能功能，</item>
      </candidateList>
      <explain/>
      <paraID>4A66C77D</paraID>
      <start>19</start>
      <end>20</end>
      <status>ignored</status>
      <modifiedWord/>
      <trackRevisions>false</trackRevisions>
    </reviewItem>
    <reviewItem>
      <errorID>ed143b24-2c36-42be-8a69-b8ebe8505ffa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417C4080</paraID>
      <start>33</start>
      <end>36</end>
      <status>ignored</status>
      <modifiedWord/>
      <trackRevisions>false</trackRevisions>
    </reviewItem>
    <reviewItem>
      <errorID>e1a885fe-bab9-4c01-92ef-ce3ee0e4db22</errorID>
      <errorWord>慢病</errorWord>
      <group>L1_Word</group>
      <groupName>字词问题</groupName>
      <ability>L2_Typo</ability>
      <abilityName>字词错误</abilityName>
      <candidateList>
        <item>慢性病</item>
      </candidateList>
      <explain/>
      <paraID>2B3B7B46</paraID>
      <start>50</start>
      <end>52</end>
      <status>ignored</status>
      <modifiedWord/>
      <trackRevisions>false</trackRevisions>
    </reviewItem>
    <reviewItem>
      <errorID>4e31c91d-d376-424f-b18b-c12086ded530</errorID>
      <errorWord>应能</errorWord>
      <group>L1_Word</group>
      <groupName>字词问题</groupName>
      <ability>L2_Typo</ability>
      <abilityName>字词错误</abilityName>
      <candidateList>
        <item>应</item>
      </candidateList>
      <explain/>
      <paraID>244822D9</paraID>
      <start>2</start>
      <end>4</end>
      <status>ignored</status>
      <modifiedWord/>
      <trackRevisions>false</trackRevisions>
    </reviewItem>
    <reviewItem>
      <errorID>ac900958-8bf9-4faa-843f-313a4decefbe</errorID>
      <errorWord>端应</errorWord>
      <group>L1_Word</group>
      <groupName>字词问题</groupName>
      <ability>L2_Typo</ability>
      <abilityName>字词错误</abilityName>
      <candidateList>
        <item>端</item>
      </candidateList>
      <explain/>
      <paraID>2A2664DC</paraID>
      <start>2</start>
      <end>4</end>
      <status>ignored</status>
      <modifiedWord/>
      <trackRevisions>false</trackRevisions>
    </reviewItem>
    <reviewItem>
      <errorID>bee83ddb-99be-47fc-8c06-20da52e62173</errorID>
      <errorWord>应能</errorWord>
      <group>L1_Word</group>
      <groupName>字词问题</groupName>
      <ability>L2_Typo</ability>
      <abilityName>字词错误</abilityName>
      <candidateList>
        <item>应</item>
      </candidateList>
      <explain/>
      <paraID>57227438</paraID>
      <start>2</start>
      <end>4</end>
      <status>ignored</status>
      <modifiedWord/>
      <trackRevisions>false</trackRevisions>
    </reviewItem>
    <reviewItem>
      <errorID>198f548c-388d-470e-909c-a92173916db7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D666F9D</paraID>
      <start>20</start>
      <end>23</end>
      <status>ignored</status>
      <modifiedWord/>
      <trackRevisions>false</trackRevisions>
    </reviewItem>
    <reviewItem>
      <errorID>4677e7d8-f3d6-4624-b0e2-dbff9b49ca7e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D666F9D</paraID>
      <start>29</start>
      <end>32</end>
      <status>ignored</status>
      <modifiedWord/>
      <trackRevisions>false</trackRevisions>
    </reviewItem>
    <reviewItem>
      <errorID>11d1d786-dda1-415d-a125-75be8ced3c4a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D666F9D</paraID>
      <start>46</start>
      <end>49</end>
      <status>ignored</status>
      <modifiedWord/>
      <trackRevisions>false</trackRevisions>
    </reviewItem>
    <reviewItem>
      <errorID>b11d89de-1345-462a-a5ed-d866ccac3110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D666F9D</paraID>
      <start>63</start>
      <end>66</end>
      <status>ignored</status>
      <modifiedWord/>
      <trackRevisions>false</trackRevisions>
    </reviewItem>
    <reviewItem>
      <errorID>dedc702b-606c-4a23-86c5-fff9ce1d99b0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2DD48485</paraID>
      <start>85</start>
      <end>88</end>
      <status>ignored</status>
      <modifiedWord/>
      <trackRevisions>false</trackRevisions>
    </reviewItem>
    <reviewItem>
      <errorID>e7de64aa-617d-43d2-9d83-2db0e272cb5a</errorID>
      <errorWord>围术期</errorWord>
      <group>L1_Word</group>
      <groupName>字词问题</groupName>
      <ability>L2_Typo</ability>
      <abilityName>字词错误</abilityName>
      <candidateList>
        <item>围手术期</item>
      </candidateList>
      <explain/>
      <paraID>2DD48485</paraID>
      <start>153</start>
      <end>156</end>
      <status>ignored</status>
      <modifiedWord/>
      <trackRevisions>false</trackRevisions>
    </reviewItem>
    <reviewItem>
      <errorID>f7bc0b8e-54e0-41a1-be01-5b5d394e6e19</errorID>
      <errorWord>成组</errorWord>
      <group>L1_Word</group>
      <groupName>字词问题</groupName>
      <ability>L2_Typo</ability>
      <abilityName>字词错误</abilityName>
      <candidateList>
        <item>关联</item>
      </candidateList>
      <explain/>
      <paraID>2C15B237</paraID>
      <start>28</start>
      <end>30</end>
      <status>ignored</status>
      <modifiedWord/>
      <trackRevisions>false</trackRevisions>
    </reviewItem>
    <reviewItem>
      <errorID>bd98dcd1-c109-4bee-b090-865881889159</errorID>
      <errorWord>人血白蛋白</errorWord>
      <group>L1_Knowledge</group>
      <groupName>知识性问题</groupName>
      <ability>L2_Term</ability>
      <abilityName>专业术语</abilityName>
      <candidateList>
        <item>人血清白蛋白</item>
      </candidateList>
      <explain>医学名词[人血白蛋白]为不规范表述或旧称，其规范书面表述为[人血清白蛋白]。</explain>
      <paraID>56DB2460</paraID>
      <start>2</start>
      <end>7</end>
      <status>ignored</status>
      <modifiedWord/>
      <trackRevisions>false</trackRevisions>
    </reviewItem>
    <reviewItem>
      <errorID>2f81cf7d-3dc7-42b4-9c1f-66da5cafdc67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63D08698</paraID>
      <start>20</start>
      <end>23</end>
      <status>ignored</status>
      <modifiedWord/>
      <trackRevisions>false</trackRevisions>
    </reviewItem>
    <reviewItem>
      <errorID>13451ddc-06b1-4201-b977-292d2b66aa0b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63D08698</paraID>
      <start>37</start>
      <end>40</end>
      <status>ignored</status>
      <modifiedWord/>
      <trackRevisions>false</trackRevisions>
    </reviewItem>
    <reviewItem>
      <errorID>301e1166-3bd0-4086-9be0-cc921e318ac6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3B9FB410</paraID>
      <start>94</start>
      <end>95</end>
      <status>ignored</status>
      <modifiedWord/>
      <trackRevisions>false</trackRevisions>
    </reviewItem>
    <reviewItem>
      <errorID>393a7a56-c41f-4d84-845c-d7cbc0d2bdd3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766B139F</paraID>
      <start>69</start>
      <end>72</end>
      <status>ignored</status>
      <modifiedWord/>
      <trackRevisions>false</trackRevisions>
    </reviewItem>
    <reviewItem>
      <errorID>511c78ab-d937-4886-bb81-c847d8b43c4b</errorID>
      <errorWord>-</errorWord>
      <group>L1_Format</group>
      <groupName>格式问题</groupName>
      <ability>L2_HalfPunc_CN</ability>
      <abilityName>全半角问题</abilityName>
      <candidateList>
        <item>－</item>
      </candidateList>
      <explain>文本全半角错误。</explain>
      <paraID>692B8A73</paraID>
      <start>7</start>
      <end>8</end>
      <status>ignored</status>
      <modifiedWord/>
      <trackRevisions>false</trackRevisions>
    </reviewItem>
    <reviewItem>
      <errorID>179ead3e-a437-4cda-8071-8eeffd17e363</errorID>
      <errorWord>-</errorWord>
      <group>L1_Format</group>
      <groupName>格式问题</groupName>
      <ability>L2_HalfPunc_CN</ability>
      <abilityName>全半角问题</abilityName>
      <candidateList>
        <item>－</item>
      </candidateList>
      <explain>文本全半角错误。</explain>
      <paraID>692B8A73</paraID>
      <start>13</start>
      <end>14</end>
      <status>ignored</status>
      <modifiedWord/>
      <trackRevisions>false</trackRevisions>
    </reviewItem>
    <reviewItem>
      <errorID>8475bfdf-34db-4fec-b037-d459475ef0e4</errorID>
      <errorWord>-</errorWord>
      <group>L1_Format</group>
      <groupName>格式问题</groupName>
      <ability>L2_HalfPunc_CN</ability>
      <abilityName>全半角问题</abilityName>
      <candidateList>
        <item>－</item>
      </candidateList>
      <explain>文本全半角错误。</explain>
      <paraID>692B8A73</paraID>
      <start>26</start>
      <end>27</end>
      <status>ignored</status>
      <modifiedWord/>
      <trackRevisions>false</trackRevisions>
    </reviewItem>
    <reviewItem>
      <errorID>bd67ff1e-1017-41d0-abb6-2d9600505808</errorID>
      <errorWord>-</errorWord>
      <group>L1_Format</group>
      <groupName>格式问题</groupName>
      <ability>L2_HalfPunc_CN</ability>
      <abilityName>全半角问题</abilityName>
      <candidateList>
        <item>－</item>
      </candidateList>
      <explain>文本全半角错误。</explain>
      <paraID>692B8A73</paraID>
      <start>32</start>
      <end>33</end>
      <status>ignored</status>
      <modifiedWord/>
      <trackRevisions>false</trackRevisions>
    </reviewItem>
    <reviewItem>
      <errorID>37809f8c-a6d3-4cf1-a2cb-37bc4117025b</errorID>
      <errorWord>-</errorWord>
      <group>L1_Format</group>
      <groupName>格式问题</groupName>
      <ability>L2_HalfPunc_CN</ability>
      <abilityName>全半角问题</abilityName>
      <candidateList>
        <item>－</item>
      </candidateList>
      <explain>文本全半角错误。</explain>
      <paraID>692B8A73</paraID>
      <start>40</start>
      <end>41</end>
      <status>ignored</status>
      <modifiedWord/>
      <trackRevisions>false</trackRevisions>
    </reviewItem>
    <reviewItem>
      <errorID>65ca2508-ef4e-415f-957f-d7a41f684555</errorID>
      <errorWord>医药</errorWord>
      <group>L1_Word</group>
      <groupName>字词问题</groupName>
      <ability>L2_Typo</ability>
      <abilityName>字词错误</abilityName>
      <candidateList>
        <item>药学</item>
      </candidateList>
      <explain/>
      <paraID> 8CDA17E</paraID>
      <start>20</start>
      <end>22</end>
      <status>ignored</status>
      <modifiedWord/>
      <trackRevisions>false</trackRevisions>
    </reviewItem>
    <reviewItem>
      <errorID>5101ac67-069e-4610-b46c-9df65aa873ea</errorID>
      <errorWord>，</errorWord>
      <group>L1_Punc</group>
      <groupName>标点问题</groupName>
      <ability>L2_Punc_CN</ability>
      <abilityName>标点符号问题</abilityName>
      <candidateList>
        <item>。</item>
      </candidateList>
      <explain/>
      <paraID>1E205430</paraID>
      <start>38</start>
      <end>39</end>
      <status>ignored</status>
      <modifiedWord/>
      <trackRevisions>false</trackRevisions>
    </reviewItem>
    <reviewItem>
      <errorID>022c3d2a-2c59-464b-abfe-03f775095740</errorID>
      <errorWord>应</errorWord>
      <group>L1_Grammar</group>
      <groupName>语法问题</groupName>
      <ability>L2_Grammar</ability>
      <abilityName>语法错误</abilityName>
      <candidateList>
        <item>系统应</item>
      </candidateList>
      <explain/>
      <paraID>57F821FA</paraID>
      <start>18</start>
      <end>19</end>
      <status>ignored</status>
      <modifiedWord/>
      <trackRevisions>false</trackRevisions>
    </reviewItem>
    <reviewItem>
      <errorID>6bec0e50-455b-4e7f-887c-b9629e050e0a</errorID>
      <errorWord>，</errorWord>
      <group>L1_Punc</group>
      <groupName>标点问题</groupName>
      <ability>L2_Punc_CN</ability>
      <abilityName>标点符号问题</abilityName>
      <candidateList>
        <item>。</item>
      </candidateList>
      <explain/>
      <paraID>56BE0F95</paraID>
      <start>29</start>
      <end>30</end>
      <status>ignored</status>
      <modifiedWord/>
      <trackRevisions>false</trackRevisions>
    </reviewItem>
    <reviewItem>
      <errorID>c4b9c50c-31a2-42db-ae10-39f010a513e5</errorID>
      <errorWord>数据处理能力</errorWord>
      <group>L1_Grammar</group>
      <groupName>语法问题</groupName>
      <ability>L2_Grammar</ability>
      <abilityName>语法错误</abilityName>
      <candidateList>
        <item>数据处理</item>
      </candidateList>
      <explain/>
      <paraID>115AEF53</paraID>
      <start>21</start>
      <end>27</end>
      <status>ignored</status>
      <modifiedWord/>
      <trackRevisions>false</trackRevisions>
    </reviewItem>
    <reviewItem>
      <errorID>ccd626db-378e-4c4b-8f6f-d36b12d6734d</errorID>
      <errorWord>支持数据</errorWord>
      <group>L1_Grammar</group>
      <groupName>语法问题</groupName>
      <ability>L2_Grammar</ability>
      <abilityName>语法错误</abilityName>
      <candidateList>
        <item>支持</item>
      </candidateList>
      <explain/>
      <paraID>43B89FFF</paraID>
      <start>3</start>
      <end>7</end>
      <status>ignored</status>
      <modifiedWord/>
      <trackRevisions>false</trackRevisions>
    </reviewItem>
    <reviewItem>
      <errorID>f5e786f4-c429-437c-9ef1-52fc9b6618d6</errorID>
      <errorWord>《</errorWord>
      <group>L1_Punc</group>
      <groupName>标点问题</groupName>
      <ability>L2_Punc_CN</ability>
      <abilityName>标点符号问题</abilityName>
      <candidateList>
        <item/>
      </candidateList>
      <explain/>
      <paraID>5BE6D12D</paraID>
      <start>5</start>
      <end>6</end>
      <status>ignored</status>
      <modifiedWord/>
      <trackRevisions>false</trackRevisions>
    </reviewItem>
    <reviewItem>
      <errorID>4e5e1f69-e49b-4ece-9a9e-b4e4a4120d8f</errorID>
      <errorWord> </errorWord>
      <group>L1_Punc</group>
      <groupName>标点问题</groupName>
      <ability>L2_Punc_CN</ability>
      <abilityName>标点符号问题</abilityName>
      <candidateList>
        <item>《</item>
      </candidateList>
      <explain/>
      <paraID>5BE6D12D</paraID>
      <start>21</start>
      <end>22</end>
      <status>ignored</status>
      <modifiedWord/>
      <trackRevisions>false</trackRevisions>
    </reviewItem>
    <reviewItem>
      <errorID>3269b11a-8d55-4135-9740-ee64e3d834ab</errorID>
      <errorWord>-</errorWord>
      <group>L1_Format</group>
      <groupName>格式问题</groupName>
      <ability>L2_HalfPunc_CN</ability>
      <abilityName>全半角问题</abilityName>
      <candidateList>
        <item>－</item>
      </candidateList>
      <explain>文本全半角错误。</explain>
      <paraID>62865109</paraID>
      <start>31</start>
      <end>32</end>
      <status>ignored</status>
      <modifiedWord/>
      <trackRevisions>false</trackRevisions>
    </reviewItem>
    <reviewItem>
      <errorID>2fff0e44-e73e-4460-9a72-97996ddbde6f</errorID>
      <errorWord>内</errorWord>
      <group>L1_Grammar</group>
      <groupName>语法问题</groupName>
      <ability>L2_Grammar</ability>
      <abilityName>语法错误</abilityName>
      <candidateList>
        <item>，需在此期间</item>
      </candidateList>
      <explain/>
      <paraID>43FDAA86</paraID>
      <start>15</start>
      <end>16</end>
      <status>ignored</status>
      <modifiedWord/>
      <trackRevisions>false</trackRevisions>
    </reviewItem>
    <reviewItem>
      <errorID>d5e2f58f-136a-46e7-940c-e4137dbabb92</errorID>
      <errorWord>2-3个月</errorWord>
      <group>L1_Word</group>
      <groupName>字词问题</groupName>
      <ability>L2_Typo</ability>
      <abilityName>字词错误</abilityName>
      <candidateList>
        <item>2～3个月</item>
      </candidateList>
      <explain/>
      <paraID>3FE02117</paraID>
      <start>1</start>
      <end>6</end>
      <status>ignored</status>
      <modifiedWord/>
      <trackRevisions>false</trackRevisions>
    </reviewItem>
    <reviewItem>
      <errorID>50521449-9e00-4c15-916d-238d97ad2ba7</errorID>
      <errorWord>3-4个月</errorWord>
      <group>L1_Punc</group>
      <groupName>标点问题</groupName>
      <ability>L2_Punc_CN</ability>
      <abilityName>标点符号问题</abilityName>
      <candidateList>
        <item>3～4个月</item>
      </candidateList>
      <explain/>
      <paraID>4528641A</paraID>
      <start>1</start>
      <end>6</end>
      <status>ignored</status>
      <modifiedWord/>
      <trackRevisions>false</trackRevisions>
    </reviewItem>
    <reviewItem>
      <errorID>76b79892-a5a6-4bdd-958e-5509fcb01c5f</errorID>
      <errorWord>4-5个月</errorWord>
      <group>L1_Word</group>
      <groupName>字词问题</groupName>
      <ability>L2_Typo</ability>
      <abilityName>字词错误</abilityName>
      <candidateList>
        <item>4～5个月</item>
      </candidateList>
      <explain/>
      <paraID>56C8B652</paraID>
      <start>1</start>
      <end>6</end>
      <status>ignored</status>
      <modifiedWord/>
      <trackRevisions>false</trackRevisions>
    </reviewItem>
    <reviewItem>
      <errorID>e15201d6-d3b4-4a97-afe1-541e63df495b</errorID>
      <errorWord>5-6个月</errorWord>
      <group>L1_Word</group>
      <groupName>字词问题</groupName>
      <ability>L2_Typo</ability>
      <abilityName>字词错误</abilityName>
      <candidateList>
        <item>5～6个月</item>
      </candidateList>
      <explain/>
      <paraID>3BFAA212</paraID>
      <start>1</start>
      <end>6</end>
      <status>ignored</status>
      <modifiedWord/>
      <trackRevisions>false</trackRevisions>
    </reviewItem>
    <reviewItem>
      <errorID>d680f41f-4b52-4384-9200-92c68dfaa793</errorID>
      <errorWord>须</errorWord>
      <group>L1_Word</group>
      <groupName>字词问题</groupName>
      <ability>L2_Typo</ability>
      <abilityName>字词错误</abilityName>
      <candidateList>
        <item>需</item>
      </candidateList>
      <explain>存在发音相同字词的误用。</explain>
      <paraID>7B8DABB1</paraID>
      <start>23</start>
      <end>24</end>
      <status>ignored</status>
      <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63E5D6DB-4748-4080-A581-84A5CEEF609B}">
  <ds:schemaRefs/>
</ds:datastoreItem>
</file>

<file path=docProps/app.xml><?xml version="1.0" encoding="utf-8"?>
<Properties xmlns="http://schemas.openxmlformats.org/officeDocument/2006/extended-properties" xmlns:vt="http://schemas.openxmlformats.org/officeDocument/2006/docPropsVTypes">
  <Template>Normal</Template>
  <Pages>17</Pages>
  <Words>11262</Words>
  <Characters>11861</Characters>
  <Lines>567</Lines>
  <Paragraphs>597</Paragraphs>
  <TotalTime>27</TotalTime>
  <ScaleCrop>false</ScaleCrop>
  <LinksUpToDate>false</LinksUpToDate>
  <CharactersWithSpaces>12106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gc</cp:lastModifiedBy>
  <cp:lastPrinted>2026-07-01T02:33:00Z</cp:lastPrinted>
  <dcterms:modified xsi:type="dcterms:W3CDTF">2026-08-19T09:28:46Z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eyJoZGlkIjoiOWY3NzVhODk5MjBlMWY2OGFmMmY1M2E0MmM2ZTJkYjAiLCJ1c2VySWQiOiI2MjU5ODg1NTIifQ==</vt:lpwstr>
  </property>
  <property fmtid="{D5CDD505-2E9C-101B-9397-08002B2CF9AE}" pid="3" name="KSOProductBuildVer">
    <vt:lpwstr>2052-12.1.0.28022</vt:lpwstr>
  </property>
  <property fmtid="{D5CDD505-2E9C-101B-9397-08002B2CF9AE}" pid="4" name="ICV">
    <vt:lpwstr>7C8BF9AF6A1840EB93055BCB8390C0B7_13</vt:lpwstr>
  </property>
</Properties>
</file>