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EF47B">
      <w:pPr>
        <w:spacing w:before="100" w:beforeAutospacing="1" w:after="100" w:afterAutospacing="1"/>
        <w:jc w:val="center"/>
        <w:rPr>
          <w:b/>
          <w:sz w:val="44"/>
          <w:szCs w:val="44"/>
          <w:highlight w:val="none"/>
        </w:rPr>
      </w:pPr>
      <w:bookmarkStart w:id="0" w:name="_GoBack"/>
      <w:r>
        <w:rPr>
          <w:rFonts w:hint="eastAsia"/>
          <w:b/>
          <w:bCs/>
          <w:sz w:val="44"/>
          <w:szCs w:val="44"/>
          <w:highlight w:val="none"/>
          <w:lang w:eastAsia="zh-CN"/>
        </w:rPr>
        <w:t>互联网医院智能结算能力提升项目-配套 AI 服务器及运维服务部分(医疗大模型算力集群采购)</w:t>
      </w:r>
      <w:r>
        <w:rPr>
          <w:rFonts w:hint="eastAsia"/>
          <w:b/>
          <w:sz w:val="44"/>
          <w:szCs w:val="44"/>
          <w:highlight w:val="none"/>
        </w:rPr>
        <w:t>需求书</w:t>
      </w:r>
    </w:p>
    <w:p w14:paraId="6C05CD93">
      <w:pPr>
        <w:pStyle w:val="2"/>
        <w:numPr>
          <w:ilvl w:val="0"/>
          <w:numId w:val="2"/>
        </w:numPr>
        <w:rPr>
          <w:rFonts w:ascii="宋体" w:hAnsi="宋体" w:eastAsia="宋体"/>
          <w:highlight w:val="none"/>
        </w:rPr>
      </w:pPr>
      <w:r>
        <w:rPr>
          <w:rFonts w:hint="eastAsia" w:ascii="宋体" w:hAnsi="宋体" w:eastAsia="宋体"/>
          <w:highlight w:val="none"/>
        </w:rPr>
        <w:t>项目名称</w:t>
      </w:r>
    </w:p>
    <w:p w14:paraId="35AC77C4">
      <w:pPr>
        <w:spacing w:line="360" w:lineRule="auto"/>
        <w:ind w:left="432"/>
        <w:rPr>
          <w:rFonts w:hint="eastAsia" w:eastAsia="宋体"/>
          <w:highlight w:val="none"/>
          <w:lang w:eastAsia="zh-CN"/>
        </w:rPr>
      </w:pPr>
      <w:r>
        <w:rPr>
          <w:rFonts w:hint="eastAsia"/>
          <w:highlight w:val="none"/>
        </w:rPr>
        <w:t>项目名称：</w:t>
      </w:r>
      <w:r>
        <w:rPr>
          <w:rFonts w:hint="eastAsia"/>
          <w:highlight w:val="none"/>
          <w:lang w:eastAsia="zh-CN"/>
        </w:rPr>
        <w:t>互联网医院智能结算能力提升项目-配套 AI 服务器及运维服务部分(医疗大模型算力集群采购)</w:t>
      </w:r>
    </w:p>
    <w:p w14:paraId="347B5B51">
      <w:pPr>
        <w:pStyle w:val="2"/>
        <w:numPr>
          <w:ilvl w:val="0"/>
          <w:numId w:val="2"/>
        </w:numPr>
        <w:ind w:left="206" w:leftChars="86"/>
        <w:rPr>
          <w:rFonts w:ascii="宋体" w:hAnsi="宋体" w:eastAsia="宋体"/>
          <w:highlight w:val="none"/>
        </w:rPr>
      </w:pPr>
      <w:r>
        <w:rPr>
          <w:rFonts w:hint="eastAsia" w:ascii="宋体" w:hAnsi="宋体" w:eastAsia="宋体"/>
          <w:highlight w:val="none"/>
        </w:rPr>
        <w:t>项目背景</w:t>
      </w:r>
    </w:p>
    <w:p w14:paraId="7B6B0658">
      <w:pPr>
        <w:tabs>
          <w:tab w:val="left" w:pos="720"/>
        </w:tabs>
        <w:spacing w:line="360" w:lineRule="auto"/>
        <w:ind w:left="206" w:leftChars="86" w:firstLine="420"/>
        <w:rPr>
          <w:highlight w:val="none"/>
        </w:rPr>
      </w:pPr>
      <w:r>
        <w:rPr>
          <w:highlight w:val="none"/>
        </w:rPr>
        <w:t>随着人工智能技术的飞速发展，特别是以大语言模型（LLM）为代表的生成式AI展现出强大的自然语言处理和逻辑推理能力，AI技术在医疗领域的应用正从管理、后勤等外围业务，向病历内涵质控、辅助诊疗、智能人机交互等核心临床业务深度渗透。</w:t>
      </w:r>
    </w:p>
    <w:p w14:paraId="53DF4897">
      <w:pPr>
        <w:tabs>
          <w:tab w:val="left" w:pos="720"/>
        </w:tabs>
        <w:spacing w:line="360" w:lineRule="auto"/>
        <w:ind w:left="206" w:leftChars="86" w:firstLine="420"/>
        <w:rPr>
          <w:highlight w:val="none"/>
        </w:rPr>
      </w:pPr>
      <w:r>
        <w:rPr>
          <w:rFonts w:hint="eastAsia"/>
          <w:highlight w:val="none"/>
        </w:rPr>
        <w:t>为响应国家《关于深入实施人工智能</w:t>
      </w:r>
      <w:r>
        <w:rPr>
          <w:highlight w:val="none"/>
        </w:rPr>
        <w:t>+</w:t>
      </w:r>
      <w:r>
        <w:rPr>
          <w:rFonts w:hint="eastAsia"/>
          <w:highlight w:val="none"/>
        </w:rPr>
        <w:t>行动的意见》，推动新质生产力发展，采购3台高性能AI计算节点及1台高速互联交换机组建算力集群，构建自主可控的医疗大模型基座。</w:t>
      </w:r>
    </w:p>
    <w:p w14:paraId="37F0B4FA">
      <w:pPr>
        <w:pStyle w:val="2"/>
        <w:numPr>
          <w:ilvl w:val="0"/>
          <w:numId w:val="2"/>
        </w:numPr>
        <w:rPr>
          <w:rFonts w:ascii="宋体" w:hAnsi="宋体" w:eastAsia="宋体"/>
          <w:highlight w:val="none"/>
        </w:rPr>
      </w:pPr>
      <w:r>
        <w:rPr>
          <w:rFonts w:hint="eastAsia" w:ascii="宋体" w:hAnsi="宋体" w:eastAsia="宋体"/>
          <w:highlight w:val="none"/>
        </w:rPr>
        <w:t xml:space="preserve">采购设备清单 </w:t>
      </w:r>
    </w:p>
    <w:tbl>
      <w:tblPr>
        <w:tblStyle w:val="10"/>
        <w:tblpPr w:leftFromText="180" w:rightFromText="180" w:vertAnchor="text" w:horzAnchor="margin" w:tblpY="4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0"/>
        <w:gridCol w:w="4505"/>
        <w:gridCol w:w="1852"/>
        <w:gridCol w:w="1219"/>
      </w:tblGrid>
      <w:tr w14:paraId="271110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BB8C8">
            <w:pPr>
              <w:spacing w:before="100" w:beforeAutospacing="1" w:after="100" w:afterAutospacing="1" w:line="360" w:lineRule="auto"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>序号</w:t>
            </w:r>
          </w:p>
        </w:tc>
        <w:tc>
          <w:tcPr>
            <w:tcW w:w="2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CA1F4">
            <w:pPr>
              <w:spacing w:before="100" w:beforeAutospacing="1" w:after="100" w:afterAutospacing="1" w:line="360" w:lineRule="auto"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>设备名称</w:t>
            </w:r>
          </w:p>
        </w:tc>
        <w:tc>
          <w:tcPr>
            <w:tcW w:w="11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DEA8E">
            <w:pPr>
              <w:spacing w:before="100" w:beforeAutospacing="1" w:after="100" w:afterAutospacing="1" w:line="360" w:lineRule="auto"/>
              <w:jc w:val="center"/>
              <w:rPr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</w:rPr>
              <w:t>规格</w:t>
            </w: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C060D">
            <w:pPr>
              <w:spacing w:before="100" w:beforeAutospacing="1" w:after="100" w:afterAutospacing="1" w:line="360" w:lineRule="auto"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>数</w:t>
            </w:r>
            <w:r>
              <w:rPr>
                <w:rFonts w:hint="eastAsia"/>
                <w:b/>
                <w:bCs/>
                <w:highlight w:val="none"/>
              </w:rPr>
              <w:t>量</w:t>
            </w:r>
          </w:p>
        </w:tc>
      </w:tr>
      <w:tr w14:paraId="604817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4C851">
            <w:pPr>
              <w:spacing w:before="100" w:beforeAutospacing="1" w:after="100" w:afterAutospacing="1" w:line="360" w:lineRule="auto"/>
              <w:jc w:val="center"/>
              <w:rPr>
                <w:highlight w:val="none"/>
              </w:rPr>
            </w:pPr>
            <w:r>
              <w:rPr>
                <w:highlight w:val="none"/>
              </w:rPr>
              <w:t>1</w:t>
            </w:r>
          </w:p>
        </w:tc>
        <w:tc>
          <w:tcPr>
            <w:tcW w:w="2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5BD8B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通用大模型高性能服务器</w:t>
            </w:r>
          </w:p>
        </w:tc>
        <w:tc>
          <w:tcPr>
            <w:tcW w:w="11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54979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详见4.1章节</w:t>
            </w: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087D7">
            <w:pPr>
              <w:spacing w:line="360" w:lineRule="auto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3台</w:t>
            </w:r>
          </w:p>
        </w:tc>
      </w:tr>
      <w:tr w14:paraId="7F7FEA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F2AC5">
            <w:pPr>
              <w:spacing w:before="100" w:beforeAutospacing="1" w:after="100" w:afterAutospacing="1" w:line="360" w:lineRule="auto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2</w:t>
            </w:r>
          </w:p>
        </w:tc>
        <w:tc>
          <w:tcPr>
            <w:tcW w:w="2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892A4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高速交换机</w:t>
            </w:r>
          </w:p>
        </w:tc>
        <w:tc>
          <w:tcPr>
            <w:tcW w:w="11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E9DEE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详见4.2章节</w:t>
            </w: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D9312">
            <w:pPr>
              <w:spacing w:line="360" w:lineRule="auto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1台</w:t>
            </w:r>
          </w:p>
        </w:tc>
      </w:tr>
      <w:tr w14:paraId="00FC9B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0F1C8">
            <w:pPr>
              <w:spacing w:before="100" w:beforeAutospacing="1" w:after="100" w:afterAutospacing="1" w:line="36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3</w:t>
            </w:r>
          </w:p>
        </w:tc>
        <w:tc>
          <w:tcPr>
            <w:tcW w:w="2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84BB7">
            <w:pPr>
              <w:spacing w:line="360" w:lineRule="auto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医疗大模型算力群集集成服务</w:t>
            </w:r>
          </w:p>
        </w:tc>
        <w:tc>
          <w:tcPr>
            <w:tcW w:w="11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D7EF4">
            <w:pPr>
              <w:spacing w:line="360" w:lineRule="auto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详见4.3章节</w:t>
            </w: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C1773">
            <w:pPr>
              <w:spacing w:line="36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1项</w:t>
            </w:r>
          </w:p>
        </w:tc>
      </w:tr>
    </w:tbl>
    <w:p w14:paraId="695B30E9">
      <w:pPr>
        <w:spacing w:before="100" w:beforeAutospacing="1" w:after="100" w:afterAutospacing="1"/>
        <w:rPr>
          <w:highlight w:val="none"/>
        </w:rPr>
      </w:pPr>
    </w:p>
    <w:p w14:paraId="6A7045B7">
      <w:pPr>
        <w:pStyle w:val="2"/>
        <w:numPr>
          <w:ilvl w:val="0"/>
          <w:numId w:val="2"/>
        </w:numPr>
        <w:rPr>
          <w:rFonts w:ascii="宋体" w:hAnsi="宋体" w:eastAsia="宋体"/>
          <w:highlight w:val="none"/>
        </w:rPr>
      </w:pPr>
      <w:r>
        <w:rPr>
          <w:rFonts w:hint="eastAsia" w:ascii="宋体" w:hAnsi="宋体" w:eastAsia="宋体"/>
          <w:highlight w:val="none"/>
        </w:rPr>
        <w:t>详细配置参数</w:t>
      </w:r>
    </w:p>
    <w:p w14:paraId="702F6CF9">
      <w:pPr>
        <w:pStyle w:val="3"/>
        <w:rPr>
          <w:rFonts w:ascii="宋体" w:hAnsi="宋体" w:eastAsia="宋体"/>
          <w:highlight w:val="none"/>
        </w:rPr>
      </w:pPr>
      <w:r>
        <w:rPr>
          <w:rFonts w:hint="eastAsia" w:ascii="宋体" w:hAnsi="宋体" w:eastAsia="宋体"/>
          <w:highlight w:val="none"/>
        </w:rPr>
        <w:t>4.1 通用大模型高性能服务器参数要求</w:t>
      </w:r>
    </w:p>
    <w:tbl>
      <w:tblPr>
        <w:tblStyle w:val="10"/>
        <w:tblW w:w="4997" w:type="pct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748"/>
        <w:gridCol w:w="5759"/>
      </w:tblGrid>
      <w:tr w14:paraId="70362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66747115">
            <w:pPr>
              <w:widowControl w:val="0"/>
              <w:spacing w:line="360" w:lineRule="auto"/>
              <w:jc w:val="center"/>
              <w:rPr>
                <w:rFonts w:cstheme="minorBidi"/>
                <w:b/>
                <w:bCs/>
                <w:kern w:val="2"/>
                <w:highlight w:val="none"/>
              </w:rPr>
            </w:pPr>
            <w:r>
              <w:rPr>
                <w:rFonts w:hint="eastAsia" w:cstheme="minorBidi"/>
                <w:b/>
                <w:bCs/>
                <w:kern w:val="2"/>
                <w:highlight w:val="none"/>
              </w:rPr>
              <w:t>序号</w:t>
            </w:r>
          </w:p>
        </w:tc>
        <w:tc>
          <w:tcPr>
            <w:tcW w:w="1026" w:type="pct"/>
            <w:shd w:val="clear" w:color="auto" w:fill="FFFFFF" w:themeFill="background1"/>
            <w:vAlign w:val="center"/>
          </w:tcPr>
          <w:p w14:paraId="1C2330BC">
            <w:pPr>
              <w:widowControl w:val="0"/>
              <w:spacing w:line="360" w:lineRule="auto"/>
              <w:jc w:val="center"/>
              <w:rPr>
                <w:rFonts w:cstheme="minorBidi"/>
                <w:b/>
                <w:bCs/>
                <w:kern w:val="2"/>
                <w:highlight w:val="none"/>
              </w:rPr>
            </w:pPr>
            <w:r>
              <w:rPr>
                <w:rFonts w:hint="eastAsia" w:cstheme="minorBidi"/>
                <w:b/>
                <w:bCs/>
                <w:kern w:val="2"/>
                <w:highlight w:val="none"/>
              </w:rPr>
              <w:t>指标项</w:t>
            </w:r>
          </w:p>
        </w:tc>
        <w:tc>
          <w:tcPr>
            <w:tcW w:w="3381" w:type="pct"/>
            <w:shd w:val="clear" w:color="auto" w:fill="FFFFFF" w:themeFill="background1"/>
            <w:vAlign w:val="center"/>
          </w:tcPr>
          <w:p w14:paraId="0D116AAD">
            <w:pPr>
              <w:widowControl w:val="0"/>
              <w:spacing w:line="360" w:lineRule="auto"/>
              <w:jc w:val="center"/>
              <w:rPr>
                <w:rFonts w:cstheme="minorBidi"/>
                <w:b/>
                <w:bCs/>
                <w:kern w:val="2"/>
                <w:highlight w:val="none"/>
              </w:rPr>
            </w:pPr>
            <w:r>
              <w:rPr>
                <w:rFonts w:hint="eastAsia" w:cstheme="minorBidi"/>
                <w:b/>
                <w:bCs/>
                <w:kern w:val="2"/>
                <w:highlight w:val="none"/>
              </w:rPr>
              <w:t>指标要求</w:t>
            </w:r>
          </w:p>
        </w:tc>
      </w:tr>
      <w:tr w14:paraId="32F40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67C9DC15">
            <w:pPr>
              <w:pStyle w:val="13"/>
              <w:numPr>
                <w:ilvl w:val="0"/>
                <w:numId w:val="3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shd w:val="clear" w:color="auto" w:fill="FFFFFF" w:themeFill="background1"/>
            <w:vAlign w:val="center"/>
          </w:tcPr>
          <w:p w14:paraId="460CF343">
            <w:pPr>
              <w:widowControl w:val="0"/>
              <w:spacing w:line="360" w:lineRule="auto"/>
              <w:jc w:val="center"/>
              <w:rPr>
                <w:rFonts w:cstheme="minorBidi"/>
                <w:kern w:val="2"/>
                <w:highlight w:val="none"/>
              </w:rPr>
            </w:pPr>
            <w:r>
              <w:rPr>
                <w:rFonts w:hint="eastAsia" w:cstheme="minorBidi"/>
                <w:kern w:val="2"/>
                <w:highlight w:val="none"/>
              </w:rPr>
              <w:t>机箱规格</w:t>
            </w:r>
          </w:p>
        </w:tc>
        <w:tc>
          <w:tcPr>
            <w:tcW w:w="3381" w:type="pct"/>
            <w:shd w:val="clear" w:color="auto" w:fill="FFFFFF" w:themeFill="background1"/>
            <w:vAlign w:val="center"/>
          </w:tcPr>
          <w:p w14:paraId="79DD1ED0">
            <w:pPr>
              <w:widowControl w:val="0"/>
              <w:spacing w:line="360" w:lineRule="auto"/>
              <w:rPr>
                <w:rFonts w:cstheme="minorBidi"/>
                <w:kern w:val="2"/>
                <w:highlight w:val="none"/>
              </w:rPr>
            </w:pPr>
            <w:r>
              <w:rPr>
                <w:rFonts w:cstheme="minorBidi"/>
                <w:kern w:val="2"/>
                <w:highlight w:val="none"/>
              </w:rPr>
              <w:t>高度4U机架式服务器，含导轨</w:t>
            </w:r>
            <w:r>
              <w:rPr>
                <w:rFonts w:hint="eastAsia" w:cstheme="minorBidi"/>
                <w:kern w:val="2"/>
                <w:highlight w:val="none"/>
              </w:rPr>
              <w:t>。</w:t>
            </w:r>
          </w:p>
        </w:tc>
      </w:tr>
      <w:tr w14:paraId="7B79E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574C2A1B">
            <w:pPr>
              <w:pStyle w:val="13"/>
              <w:numPr>
                <w:ilvl w:val="0"/>
                <w:numId w:val="3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shd w:val="clear" w:color="auto" w:fill="FFFFFF" w:themeFill="background1"/>
            <w:vAlign w:val="center"/>
          </w:tcPr>
          <w:p w14:paraId="1FF831EA">
            <w:pPr>
              <w:widowControl w:val="0"/>
              <w:spacing w:line="360" w:lineRule="auto"/>
              <w:jc w:val="center"/>
              <w:rPr>
                <w:rFonts w:cstheme="minorBidi"/>
                <w:kern w:val="2"/>
                <w:highlight w:val="none"/>
              </w:rPr>
            </w:pPr>
            <w:r>
              <w:rPr>
                <w:szCs w:val="21"/>
                <w:highlight w:val="none"/>
              </w:rPr>
              <w:t>自主可控</w:t>
            </w:r>
          </w:p>
        </w:tc>
        <w:tc>
          <w:tcPr>
            <w:tcW w:w="3381" w:type="pct"/>
            <w:shd w:val="clear" w:color="auto" w:fill="FFFFFF" w:themeFill="background1"/>
            <w:vAlign w:val="center"/>
          </w:tcPr>
          <w:p w14:paraId="0F9FAB43">
            <w:pPr>
              <w:widowControl w:val="0"/>
              <w:spacing w:line="360" w:lineRule="auto"/>
              <w:rPr>
                <w:rFonts w:cstheme="minorBidi"/>
                <w:kern w:val="2"/>
                <w:highlight w:val="none"/>
              </w:rPr>
            </w:pPr>
            <w:r>
              <w:rPr>
                <w:rFonts w:cstheme="minorBidi"/>
                <w:kern w:val="2"/>
                <w:highlight w:val="none"/>
              </w:rPr>
              <w:t>投标机型应满足国产化要求，并采用同一厂家的CPU及AI处理器芯片，确保产品在生态适配、性能协同及软件兼容性层面实现全链路可控，保障设备与信息资产安全</w:t>
            </w:r>
            <w:r>
              <w:rPr>
                <w:rFonts w:hint="eastAsia"/>
                <w:highlight w:val="none"/>
              </w:rPr>
              <w:t>。</w:t>
            </w:r>
            <w:r>
              <w:rPr>
                <w:highlight w:val="none"/>
              </w:rPr>
              <w:t>（</w:t>
            </w:r>
            <w:r>
              <w:rPr>
                <w:rFonts w:hint="eastAsia"/>
                <w:highlight w:val="none"/>
              </w:rPr>
              <w:t>供应商</w:t>
            </w:r>
            <w:r>
              <w:rPr>
                <w:highlight w:val="none"/>
              </w:rPr>
              <w:t>需提供</w:t>
            </w:r>
            <w:r>
              <w:rPr>
                <w:rFonts w:hint="eastAsia"/>
                <w:highlight w:val="none"/>
              </w:rPr>
              <w:t>证明材料并</w:t>
            </w:r>
            <w:r>
              <w:rPr>
                <w:highlight w:val="none"/>
              </w:rPr>
              <w:t>加盖公章）</w:t>
            </w:r>
          </w:p>
        </w:tc>
      </w:tr>
      <w:tr w14:paraId="18E50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0EA89DA0">
            <w:pPr>
              <w:pStyle w:val="13"/>
              <w:numPr>
                <w:ilvl w:val="0"/>
                <w:numId w:val="3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shd w:val="clear" w:color="auto" w:fill="FFFFFF" w:themeFill="background1"/>
            <w:noWrap/>
            <w:vAlign w:val="center"/>
          </w:tcPr>
          <w:p w14:paraId="75B3B8D8">
            <w:pPr>
              <w:widowControl w:val="0"/>
              <w:spacing w:line="360" w:lineRule="auto"/>
              <w:jc w:val="center"/>
              <w:rPr>
                <w:rFonts w:cstheme="minorBidi"/>
                <w:kern w:val="2"/>
                <w:highlight w:val="none"/>
              </w:rPr>
            </w:pPr>
            <w:r>
              <w:rPr>
                <w:rFonts w:hint="eastAsia" w:cstheme="minorBidi"/>
                <w:kern w:val="2"/>
                <w:highlight w:val="none"/>
              </w:rPr>
              <w:t>处理器</w:t>
            </w:r>
          </w:p>
        </w:tc>
        <w:tc>
          <w:tcPr>
            <w:tcW w:w="3381" w:type="pct"/>
            <w:shd w:val="clear" w:color="auto" w:fill="FFFFFF" w:themeFill="background1"/>
            <w:vAlign w:val="center"/>
          </w:tcPr>
          <w:p w14:paraId="0AC73FBE">
            <w:pPr>
              <w:widowControl w:val="0"/>
              <w:spacing w:line="360" w:lineRule="auto"/>
              <w:rPr>
                <w:rFonts w:cstheme="minorBidi"/>
                <w:kern w:val="2"/>
                <w:highlight w:val="none"/>
              </w:rPr>
            </w:pPr>
            <w:r>
              <w:rPr>
                <w:rFonts w:cstheme="minorBidi"/>
                <w:kern w:val="2"/>
                <w:highlight w:val="none"/>
              </w:rPr>
              <w:t>配置≥4个精简指令集架构处理器，单颗处理器物理核数≥48核，主频≥2.5GHz</w:t>
            </w:r>
            <w:r>
              <w:rPr>
                <w:rFonts w:hint="eastAsia"/>
                <w:highlight w:val="none"/>
              </w:rPr>
              <w:t>。</w:t>
            </w:r>
          </w:p>
        </w:tc>
      </w:tr>
      <w:tr w14:paraId="312D8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253782B1">
            <w:pPr>
              <w:pStyle w:val="13"/>
              <w:numPr>
                <w:ilvl w:val="0"/>
                <w:numId w:val="3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shd w:val="clear" w:color="auto" w:fill="FFFFFF" w:themeFill="background1"/>
            <w:noWrap/>
            <w:vAlign w:val="center"/>
          </w:tcPr>
          <w:p w14:paraId="5D9D957E">
            <w:pPr>
              <w:widowControl w:val="0"/>
              <w:spacing w:line="360" w:lineRule="auto"/>
              <w:jc w:val="center"/>
              <w:rPr>
                <w:rFonts w:cstheme="minorBidi"/>
                <w:kern w:val="2"/>
                <w:highlight w:val="none"/>
              </w:rPr>
            </w:pPr>
            <w:r>
              <w:rPr>
                <w:rFonts w:cstheme="minorBidi"/>
                <w:kern w:val="2"/>
                <w:highlight w:val="none"/>
              </w:rPr>
              <w:t>AI算力</w:t>
            </w:r>
          </w:p>
        </w:tc>
        <w:tc>
          <w:tcPr>
            <w:tcW w:w="3381" w:type="pct"/>
            <w:shd w:val="clear" w:color="auto" w:fill="FFFFFF" w:themeFill="background1"/>
            <w:vAlign w:val="center"/>
          </w:tcPr>
          <w:p w14:paraId="017CF0C6">
            <w:pPr>
              <w:widowControl w:val="0"/>
              <w:spacing w:line="360" w:lineRule="auto"/>
              <w:rPr>
                <w:rFonts w:cstheme="minorBidi"/>
                <w:kern w:val="2"/>
                <w:highlight w:val="none"/>
              </w:rPr>
            </w:pPr>
            <w:r>
              <w:rPr>
                <w:rFonts w:cstheme="minorBidi"/>
                <w:kern w:val="2"/>
                <w:highlight w:val="none"/>
              </w:rPr>
              <w:t>整机配置≥8颗AI处理器，单颗AI处理器提供≥280T FLOPS@FP16、≥75T FLOPS@FP32算力，单颗AI处理器HBM内存≥64GB，处理器直出200G RoCE网络，AI处理器之间的互联带宽不低于</w:t>
            </w:r>
            <w:r>
              <w:rPr>
                <w:rFonts w:cstheme="minorBidi"/>
                <w:kern w:val="2"/>
                <w:highlight w:val="none"/>
              </w:rPr>
              <w:t>390GB/</w:t>
            </w:r>
            <w:r>
              <w:rPr>
                <w:rFonts w:cstheme="minorBidi"/>
                <w:kern w:val="2"/>
                <w:highlight w:val="none"/>
              </w:rPr>
              <w:t>s</w:t>
            </w:r>
            <w:r>
              <w:rPr>
                <w:rFonts w:hint="eastAsia" w:cstheme="minorBidi"/>
                <w:kern w:val="2"/>
                <w:highlight w:val="none"/>
              </w:rPr>
              <w:t>。</w:t>
            </w:r>
          </w:p>
        </w:tc>
      </w:tr>
      <w:tr w14:paraId="725BB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39DDF1BC">
            <w:pPr>
              <w:pStyle w:val="13"/>
              <w:numPr>
                <w:ilvl w:val="0"/>
                <w:numId w:val="3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shd w:val="clear" w:color="auto" w:fill="FFFFFF" w:themeFill="background1"/>
            <w:noWrap/>
            <w:vAlign w:val="center"/>
          </w:tcPr>
          <w:p w14:paraId="128F84B7">
            <w:pPr>
              <w:widowControl w:val="0"/>
              <w:spacing w:line="360" w:lineRule="auto"/>
              <w:jc w:val="center"/>
              <w:rPr>
                <w:rFonts w:cstheme="minorBidi"/>
                <w:kern w:val="2"/>
                <w:highlight w:val="none"/>
              </w:rPr>
            </w:pPr>
            <w:r>
              <w:rPr>
                <w:rFonts w:hint="eastAsia" w:cstheme="minorBidi"/>
                <w:kern w:val="2"/>
                <w:highlight w:val="none"/>
              </w:rPr>
              <w:t>内存</w:t>
            </w:r>
          </w:p>
        </w:tc>
        <w:tc>
          <w:tcPr>
            <w:tcW w:w="3381" w:type="pct"/>
            <w:shd w:val="clear" w:color="auto" w:fill="FFFFFF" w:themeFill="background1"/>
            <w:vAlign w:val="center"/>
          </w:tcPr>
          <w:p w14:paraId="26E32052">
            <w:pPr>
              <w:widowControl w:val="0"/>
              <w:spacing w:line="360" w:lineRule="auto"/>
              <w:rPr>
                <w:rFonts w:cstheme="minorBidi"/>
                <w:kern w:val="2"/>
                <w:highlight w:val="none"/>
              </w:rPr>
            </w:pPr>
            <w:r>
              <w:rPr>
                <w:rFonts w:cstheme="minorBidi"/>
                <w:kern w:val="2"/>
                <w:highlight w:val="none"/>
              </w:rPr>
              <w:t>配置≥</w:t>
            </w:r>
            <w:r>
              <w:rPr>
                <w:rFonts w:hint="eastAsia" w:cstheme="minorBidi"/>
                <w:kern w:val="2"/>
                <w:highlight w:val="none"/>
                <w:lang w:val="en-US" w:eastAsia="zh-CN"/>
              </w:rPr>
              <w:t xml:space="preserve">16 </w:t>
            </w:r>
            <w:r>
              <w:rPr>
                <w:rFonts w:cstheme="minorBidi"/>
                <w:kern w:val="2"/>
                <w:highlight w:val="none"/>
              </w:rPr>
              <w:t xml:space="preserve">条 </w:t>
            </w:r>
            <w:r>
              <w:rPr>
                <w:rFonts w:hint="eastAsia" w:cstheme="minorBidi"/>
                <w:kern w:val="2"/>
                <w:highlight w:val="none"/>
              </w:rPr>
              <w:t>64</w:t>
            </w:r>
            <w:r>
              <w:rPr>
                <w:rFonts w:cstheme="minorBidi"/>
                <w:kern w:val="2"/>
                <w:highlight w:val="none"/>
              </w:rPr>
              <w:t>GB DDR4 RDIMM内存</w:t>
            </w:r>
            <w:r>
              <w:rPr>
                <w:rFonts w:hint="eastAsia" w:cstheme="minorBidi"/>
                <w:kern w:val="2"/>
                <w:highlight w:val="none"/>
              </w:rPr>
              <w:t>。</w:t>
            </w:r>
          </w:p>
        </w:tc>
      </w:tr>
      <w:tr w14:paraId="0FAC7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44085932">
            <w:pPr>
              <w:pStyle w:val="13"/>
              <w:numPr>
                <w:ilvl w:val="0"/>
                <w:numId w:val="3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shd w:val="clear" w:color="auto" w:fill="FFFFFF" w:themeFill="background1"/>
            <w:noWrap/>
            <w:vAlign w:val="center"/>
          </w:tcPr>
          <w:p w14:paraId="0F52B8D8">
            <w:pPr>
              <w:widowControl w:val="0"/>
              <w:spacing w:line="360" w:lineRule="auto"/>
              <w:jc w:val="center"/>
              <w:rPr>
                <w:rFonts w:cstheme="minorBidi"/>
                <w:kern w:val="2"/>
                <w:highlight w:val="none"/>
              </w:rPr>
            </w:pPr>
            <w:r>
              <w:rPr>
                <w:rFonts w:hint="eastAsia" w:cstheme="minorBidi"/>
                <w:kern w:val="2"/>
                <w:highlight w:val="none"/>
              </w:rPr>
              <w:t>硬盘</w:t>
            </w:r>
          </w:p>
        </w:tc>
        <w:tc>
          <w:tcPr>
            <w:tcW w:w="3381" w:type="pct"/>
            <w:shd w:val="clear" w:color="auto" w:fill="FFFFFF" w:themeFill="background1"/>
            <w:vAlign w:val="center"/>
          </w:tcPr>
          <w:p w14:paraId="7389FC99">
            <w:pPr>
              <w:widowControl w:val="0"/>
              <w:spacing w:line="360" w:lineRule="auto"/>
              <w:rPr>
                <w:rFonts w:cstheme="minorBidi"/>
                <w:kern w:val="2"/>
                <w:highlight w:val="none"/>
              </w:rPr>
            </w:pPr>
            <w:r>
              <w:rPr>
                <w:rFonts w:cstheme="minorBidi"/>
                <w:kern w:val="2"/>
                <w:highlight w:val="none"/>
              </w:rPr>
              <w:t>配置≥2*</w:t>
            </w:r>
            <w:r>
              <w:rPr>
                <w:rFonts w:hint="eastAsia" w:cstheme="minorBidi"/>
                <w:kern w:val="2"/>
                <w:highlight w:val="none"/>
              </w:rPr>
              <w:t>960</w:t>
            </w:r>
            <w:r>
              <w:rPr>
                <w:rFonts w:cstheme="minorBidi"/>
                <w:kern w:val="2"/>
                <w:highlight w:val="none"/>
              </w:rPr>
              <w:t>GB SSD，≥</w:t>
            </w:r>
            <w:r>
              <w:rPr>
                <w:rFonts w:hint="eastAsia" w:cstheme="minorBidi"/>
                <w:kern w:val="2"/>
                <w:highlight w:val="none"/>
                <w:lang w:val="en-US" w:eastAsia="zh-CN"/>
              </w:rPr>
              <w:t>8</w:t>
            </w:r>
            <w:r>
              <w:rPr>
                <w:rFonts w:cstheme="minorBidi"/>
                <w:kern w:val="2"/>
                <w:highlight w:val="none"/>
              </w:rPr>
              <w:t>*</w:t>
            </w:r>
            <w:r>
              <w:rPr>
                <w:rFonts w:hint="eastAsia" w:cstheme="minorBidi"/>
                <w:kern w:val="2"/>
                <w:highlight w:val="none"/>
                <w:lang w:val="en-US" w:eastAsia="zh-CN"/>
              </w:rPr>
              <w:t>3.84</w:t>
            </w:r>
            <w:r>
              <w:rPr>
                <w:rFonts w:cstheme="minorBidi"/>
                <w:kern w:val="2"/>
                <w:highlight w:val="none"/>
              </w:rPr>
              <w:t>TB SSD 硬盘，配置磁盘阵列卡，支持RAID 0/1/5/10</w:t>
            </w:r>
            <w:r>
              <w:rPr>
                <w:rFonts w:hint="eastAsia" w:cstheme="minorBidi"/>
                <w:kern w:val="2"/>
                <w:highlight w:val="none"/>
              </w:rPr>
              <w:t>。</w:t>
            </w:r>
          </w:p>
        </w:tc>
      </w:tr>
      <w:tr w14:paraId="7F16A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66DFE4BB">
            <w:pPr>
              <w:pStyle w:val="13"/>
              <w:numPr>
                <w:ilvl w:val="0"/>
                <w:numId w:val="3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shd w:val="clear" w:color="auto" w:fill="FFFFFF" w:themeFill="background1"/>
            <w:noWrap/>
            <w:vAlign w:val="center"/>
          </w:tcPr>
          <w:p w14:paraId="3656BFB0">
            <w:pPr>
              <w:widowControl w:val="0"/>
              <w:spacing w:line="360" w:lineRule="auto"/>
              <w:jc w:val="center"/>
              <w:rPr>
                <w:rFonts w:cstheme="minorBidi"/>
                <w:kern w:val="2"/>
                <w:highlight w:val="none"/>
              </w:rPr>
            </w:pPr>
            <w:r>
              <w:rPr>
                <w:rFonts w:hint="eastAsia" w:cstheme="minorBidi"/>
                <w:kern w:val="2"/>
                <w:highlight w:val="none"/>
              </w:rPr>
              <w:t>网卡</w:t>
            </w:r>
          </w:p>
        </w:tc>
        <w:tc>
          <w:tcPr>
            <w:tcW w:w="3381" w:type="pct"/>
            <w:shd w:val="clear" w:color="auto" w:fill="FFFFFF" w:themeFill="background1"/>
            <w:vAlign w:val="center"/>
          </w:tcPr>
          <w:p w14:paraId="3904900A">
            <w:pPr>
              <w:widowControl w:val="0"/>
              <w:spacing w:line="360" w:lineRule="auto"/>
              <w:rPr>
                <w:rFonts w:cstheme="minorBidi"/>
                <w:kern w:val="2"/>
                <w:highlight w:val="none"/>
              </w:rPr>
            </w:pPr>
            <w:r>
              <w:rPr>
                <w:rFonts w:cstheme="minorBidi"/>
                <w:kern w:val="2"/>
                <w:highlight w:val="none"/>
              </w:rPr>
              <w:t>配置≥4*25GE光口（含模块），配置≥8*200GE ROCE光口（含模块）</w:t>
            </w:r>
          </w:p>
        </w:tc>
      </w:tr>
      <w:tr w14:paraId="7A633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22E93EB6">
            <w:pPr>
              <w:pStyle w:val="13"/>
              <w:numPr>
                <w:ilvl w:val="0"/>
                <w:numId w:val="3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shd w:val="clear" w:color="auto" w:fill="FFFFFF" w:themeFill="background1"/>
            <w:noWrap/>
            <w:vAlign w:val="center"/>
          </w:tcPr>
          <w:p w14:paraId="69178117">
            <w:pPr>
              <w:widowControl w:val="0"/>
              <w:spacing w:line="360" w:lineRule="auto"/>
              <w:jc w:val="center"/>
              <w:rPr>
                <w:rFonts w:cstheme="minorBidi"/>
                <w:kern w:val="2"/>
                <w:highlight w:val="none"/>
              </w:rPr>
            </w:pPr>
            <w:r>
              <w:rPr>
                <w:rFonts w:hint="eastAsia" w:cstheme="minorBidi"/>
                <w:kern w:val="2"/>
                <w:highlight w:val="none"/>
              </w:rPr>
              <w:t>电源</w:t>
            </w:r>
          </w:p>
        </w:tc>
        <w:tc>
          <w:tcPr>
            <w:tcW w:w="3381" w:type="pct"/>
            <w:shd w:val="clear" w:color="auto" w:fill="FFFFFF" w:themeFill="background1"/>
            <w:vAlign w:val="center"/>
          </w:tcPr>
          <w:p w14:paraId="45C0394E">
            <w:pPr>
              <w:widowControl w:val="0"/>
              <w:spacing w:line="360" w:lineRule="auto"/>
              <w:rPr>
                <w:rFonts w:cstheme="minorBidi"/>
                <w:kern w:val="2"/>
                <w:highlight w:val="none"/>
              </w:rPr>
            </w:pPr>
            <w:r>
              <w:rPr>
                <w:rFonts w:hint="eastAsia" w:cstheme="minorBidi"/>
                <w:kern w:val="2"/>
                <w:highlight w:val="none"/>
              </w:rPr>
              <w:t>配置</w:t>
            </w:r>
            <w:r>
              <w:rPr>
                <w:rFonts w:cstheme="minorBidi"/>
                <w:kern w:val="2"/>
                <w:highlight w:val="none"/>
              </w:rPr>
              <w:t>≥4*2600W白金交流电源，满配冗余热插拔电源，配置≥8个风扇，支持单风扇失效和热插拔</w:t>
            </w:r>
            <w:r>
              <w:rPr>
                <w:rFonts w:hint="eastAsia" w:cstheme="minorBidi"/>
                <w:kern w:val="2"/>
                <w:highlight w:val="none"/>
              </w:rPr>
              <w:t>。</w:t>
            </w:r>
          </w:p>
        </w:tc>
      </w:tr>
      <w:tr w14:paraId="0E610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4B8FBDA0">
            <w:pPr>
              <w:pStyle w:val="13"/>
              <w:numPr>
                <w:ilvl w:val="0"/>
                <w:numId w:val="3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shd w:val="clear" w:color="auto" w:fill="FFFFFF" w:themeFill="background1"/>
            <w:noWrap/>
            <w:vAlign w:val="center"/>
          </w:tcPr>
          <w:p w14:paraId="646A752B">
            <w:pPr>
              <w:widowControl w:val="0"/>
              <w:spacing w:line="360" w:lineRule="auto"/>
              <w:jc w:val="center"/>
              <w:rPr>
                <w:rFonts w:cstheme="minorBidi"/>
                <w:kern w:val="2"/>
                <w:highlight w:val="none"/>
              </w:rPr>
            </w:pPr>
            <w:r>
              <w:rPr>
                <w:rFonts w:cstheme="minorBidi"/>
                <w:kern w:val="2"/>
                <w:highlight w:val="none"/>
              </w:rPr>
              <w:t>供应保障</w:t>
            </w:r>
          </w:p>
        </w:tc>
        <w:tc>
          <w:tcPr>
            <w:tcW w:w="3381" w:type="pct"/>
            <w:shd w:val="clear" w:color="auto" w:fill="FFFFFF" w:themeFill="background1"/>
            <w:vAlign w:val="center"/>
          </w:tcPr>
          <w:p w14:paraId="631DEEDA">
            <w:pPr>
              <w:widowControl w:val="0"/>
              <w:spacing w:line="360" w:lineRule="auto"/>
              <w:rPr>
                <w:rFonts w:cstheme="minorBidi"/>
                <w:kern w:val="2"/>
                <w:highlight w:val="none"/>
              </w:rPr>
            </w:pPr>
            <w:r>
              <w:rPr>
                <w:rFonts w:cstheme="minorBidi"/>
                <w:kern w:val="2"/>
                <w:highlight w:val="none"/>
              </w:rPr>
              <w:t>为保障业务延续性，提供服务器主板供应商针对本次项目出具的供应保障函</w:t>
            </w:r>
            <w:r>
              <w:rPr>
                <w:rFonts w:hint="eastAsia" w:cstheme="minorBidi"/>
                <w:kern w:val="2"/>
                <w:highlight w:val="none"/>
              </w:rPr>
              <w:t>。</w:t>
            </w:r>
            <w:r>
              <w:rPr>
                <w:highlight w:val="none"/>
              </w:rPr>
              <w:t>（</w:t>
            </w:r>
            <w:r>
              <w:rPr>
                <w:rFonts w:hint="eastAsia"/>
                <w:highlight w:val="none"/>
              </w:rPr>
              <w:t>供应商</w:t>
            </w:r>
            <w:r>
              <w:rPr>
                <w:highlight w:val="none"/>
              </w:rPr>
              <w:t>需提供</w:t>
            </w:r>
            <w:r>
              <w:rPr>
                <w:rFonts w:hint="eastAsia"/>
                <w:highlight w:val="none"/>
              </w:rPr>
              <w:t>证明材料并</w:t>
            </w:r>
            <w:r>
              <w:rPr>
                <w:highlight w:val="none"/>
              </w:rPr>
              <w:t>加盖公章）</w:t>
            </w:r>
          </w:p>
        </w:tc>
      </w:tr>
      <w:tr w14:paraId="3FA6D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3A770F56">
            <w:pPr>
              <w:pStyle w:val="13"/>
              <w:numPr>
                <w:ilvl w:val="0"/>
                <w:numId w:val="3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shd w:val="clear" w:color="auto" w:fill="FFFFFF" w:themeFill="background1"/>
            <w:noWrap/>
            <w:vAlign w:val="center"/>
          </w:tcPr>
          <w:p w14:paraId="049436FB">
            <w:pPr>
              <w:widowControl w:val="0"/>
              <w:spacing w:line="360" w:lineRule="auto"/>
              <w:jc w:val="center"/>
              <w:rPr>
                <w:rFonts w:cstheme="minorBidi"/>
                <w:kern w:val="2"/>
                <w:highlight w:val="none"/>
              </w:rPr>
            </w:pPr>
            <w:r>
              <w:rPr>
                <w:rFonts w:hint="eastAsia"/>
                <w:highlight w:val="none"/>
              </w:rPr>
              <w:t>服务周期</w:t>
            </w:r>
          </w:p>
        </w:tc>
        <w:tc>
          <w:tcPr>
            <w:tcW w:w="3381" w:type="pct"/>
            <w:shd w:val="clear" w:color="auto" w:fill="FFFFFF" w:themeFill="background1"/>
            <w:vAlign w:val="center"/>
          </w:tcPr>
          <w:p w14:paraId="450DDB67">
            <w:pPr>
              <w:widowControl w:val="0"/>
              <w:spacing w:line="360" w:lineRule="auto"/>
              <w:rPr>
                <w:rFonts w:cstheme="minorBidi"/>
                <w:kern w:val="2"/>
                <w:highlight w:val="none"/>
              </w:rPr>
            </w:pPr>
            <w:r>
              <w:rPr>
                <w:rFonts w:hint="eastAsia"/>
                <w:highlight w:val="none"/>
              </w:rPr>
              <w:t>提供原厂商首次安装服务和≥3年7*24小时产品免费服务周期。</w:t>
            </w:r>
          </w:p>
        </w:tc>
      </w:tr>
    </w:tbl>
    <w:p w14:paraId="7F5E66A9">
      <w:pPr>
        <w:rPr>
          <w:highlight w:val="none"/>
        </w:rPr>
      </w:pPr>
    </w:p>
    <w:p w14:paraId="639568CA">
      <w:pPr>
        <w:pStyle w:val="3"/>
        <w:rPr>
          <w:rFonts w:ascii="宋体" w:hAnsi="宋体" w:eastAsia="宋体"/>
          <w:highlight w:val="none"/>
        </w:rPr>
      </w:pPr>
      <w:r>
        <w:rPr>
          <w:rFonts w:hint="eastAsia" w:ascii="宋体" w:hAnsi="宋体" w:eastAsia="宋体"/>
          <w:highlight w:val="none"/>
        </w:rPr>
        <w:t>4.2 高速交换机参数要求</w:t>
      </w:r>
    </w:p>
    <w:tbl>
      <w:tblPr>
        <w:tblStyle w:val="10"/>
        <w:tblW w:w="4997" w:type="pct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748"/>
        <w:gridCol w:w="5759"/>
      </w:tblGrid>
      <w:tr w14:paraId="3B68C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49C98D29">
            <w:pPr>
              <w:spacing w:line="360" w:lineRule="auto"/>
              <w:jc w:val="center"/>
              <w:rPr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</w:rPr>
              <w:t>序号</w:t>
            </w:r>
          </w:p>
        </w:tc>
        <w:tc>
          <w:tcPr>
            <w:tcW w:w="1026" w:type="pct"/>
            <w:shd w:val="clear" w:color="auto" w:fill="FFFFFF" w:themeFill="background1"/>
            <w:vAlign w:val="center"/>
          </w:tcPr>
          <w:p w14:paraId="54392AFF">
            <w:pPr>
              <w:spacing w:line="360" w:lineRule="auto"/>
              <w:jc w:val="center"/>
              <w:rPr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</w:rPr>
              <w:t>指标项</w:t>
            </w:r>
          </w:p>
        </w:tc>
        <w:tc>
          <w:tcPr>
            <w:tcW w:w="3381" w:type="pct"/>
            <w:shd w:val="clear" w:color="auto" w:fill="FFFFFF" w:themeFill="background1"/>
            <w:vAlign w:val="center"/>
          </w:tcPr>
          <w:p w14:paraId="30334EF5">
            <w:pPr>
              <w:spacing w:line="360" w:lineRule="auto"/>
              <w:jc w:val="center"/>
              <w:rPr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</w:rPr>
              <w:t>指标要求</w:t>
            </w:r>
          </w:p>
        </w:tc>
      </w:tr>
      <w:tr w14:paraId="6B969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3E1CEFCD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shd w:val="clear" w:color="auto" w:fill="FFFFFF" w:themeFill="background1"/>
            <w:vAlign w:val="center"/>
          </w:tcPr>
          <w:p w14:paraId="77286E73">
            <w:pPr>
              <w:spacing w:line="360" w:lineRule="auto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性能要求</w:t>
            </w: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65222FF4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交换容量≥25Tbps，包转发率≥19000Mpps，提供官网链接及截图证明（若官网有双指标，则以最低的为准）。</w:t>
            </w:r>
          </w:p>
        </w:tc>
      </w:tr>
      <w:tr w14:paraId="2B897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0C6BEEE7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shd w:val="clear" w:color="auto" w:fill="FFFFFF" w:themeFill="background1"/>
            <w:vAlign w:val="center"/>
          </w:tcPr>
          <w:p w14:paraId="23B8D808">
            <w:pPr>
              <w:spacing w:line="360" w:lineRule="auto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端口要求</w:t>
            </w: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054462A8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400GE 光接口≥32个（兼容200GE/100GE），10GE光口≥2，提供官网链接及截图证明。</w:t>
            </w:r>
            <w:r>
              <w:rPr>
                <w:rFonts w:hint="eastAsia"/>
                <w:highlight w:val="none"/>
              </w:rPr>
              <w:t>。</w:t>
            </w:r>
          </w:p>
        </w:tc>
      </w:tr>
      <w:tr w14:paraId="1A583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54FC9596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vMerge w:val="restart"/>
            <w:shd w:val="clear" w:color="auto" w:fill="FFFFFF" w:themeFill="background1"/>
            <w:noWrap/>
            <w:vAlign w:val="center"/>
          </w:tcPr>
          <w:p w14:paraId="79037F12">
            <w:pPr>
              <w:spacing w:line="360" w:lineRule="auto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硬件</w:t>
            </w: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162EBEBE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color w:val="000000"/>
                <w:highlight w:val="none"/>
                <w:lang w:bidi="ar"/>
              </w:rPr>
              <w:t>设备高度≤1U。</w:t>
            </w:r>
          </w:p>
        </w:tc>
      </w:tr>
      <w:tr w14:paraId="7E312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44B8A89F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vMerge w:val="continue"/>
            <w:shd w:val="clear" w:color="auto" w:fill="FFFFFF" w:themeFill="background1"/>
            <w:vAlign w:val="center"/>
          </w:tcPr>
          <w:p w14:paraId="7B29AA0F">
            <w:pPr>
              <w:spacing w:line="360" w:lineRule="auto"/>
              <w:jc w:val="center"/>
              <w:rPr>
                <w:highlight w:val="none"/>
              </w:rPr>
            </w:pP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086DFA89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color w:val="000000"/>
                <w:highlight w:val="none"/>
                <w:lang w:bidi="ar"/>
              </w:rPr>
              <w:t>电源模块槽位≥2个，风扇模块槽位≥6个，满配电源风扇。</w:t>
            </w:r>
          </w:p>
        </w:tc>
      </w:tr>
      <w:tr w14:paraId="1CF94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3DE3D862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vMerge w:val="continue"/>
            <w:shd w:val="clear" w:color="auto" w:fill="FFFFFF" w:themeFill="background1"/>
            <w:vAlign w:val="center"/>
          </w:tcPr>
          <w:p w14:paraId="68F0F899">
            <w:pPr>
              <w:spacing w:line="360" w:lineRule="auto"/>
              <w:jc w:val="center"/>
              <w:rPr>
                <w:highlight w:val="none"/>
              </w:rPr>
            </w:pP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7F7DECFB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color w:val="000000"/>
                <w:highlight w:val="none"/>
                <w:lang w:bidi="ar"/>
              </w:rPr>
              <w:t>设备关键芯片（CPU芯片和转发芯片）要求国产化。</w:t>
            </w:r>
            <w:r>
              <w:rPr>
                <w:highlight w:val="none"/>
              </w:rPr>
              <w:t>（</w:t>
            </w:r>
            <w:r>
              <w:rPr>
                <w:rFonts w:hint="eastAsia"/>
                <w:highlight w:val="none"/>
              </w:rPr>
              <w:t>供应商</w:t>
            </w:r>
            <w:r>
              <w:rPr>
                <w:highlight w:val="none"/>
              </w:rPr>
              <w:t>需提供</w:t>
            </w:r>
            <w:r>
              <w:rPr>
                <w:rFonts w:hint="eastAsia"/>
                <w:highlight w:val="none"/>
              </w:rPr>
              <w:t>证明材料并</w:t>
            </w:r>
            <w:r>
              <w:rPr>
                <w:highlight w:val="none"/>
              </w:rPr>
              <w:t>加盖公章）</w:t>
            </w:r>
          </w:p>
        </w:tc>
      </w:tr>
      <w:tr w14:paraId="4FF8B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22F892F5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vMerge w:val="restart"/>
            <w:shd w:val="clear" w:color="auto" w:fill="FFFFFF" w:themeFill="background1"/>
            <w:noWrap/>
            <w:vAlign w:val="center"/>
          </w:tcPr>
          <w:p w14:paraId="352A8D48">
            <w:pPr>
              <w:spacing w:line="360" w:lineRule="auto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二层功能</w:t>
            </w: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3C7AD98D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color w:val="000000"/>
                <w:highlight w:val="none"/>
                <w:lang w:bidi="ar"/>
              </w:rPr>
              <w:t>支持Access、Trunk和Hybrid三种模式</w:t>
            </w:r>
          </w:p>
        </w:tc>
      </w:tr>
      <w:tr w14:paraId="0757C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140E4D1F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vMerge w:val="continue"/>
            <w:shd w:val="clear" w:color="auto" w:fill="FFFFFF" w:themeFill="background1"/>
            <w:vAlign w:val="center"/>
          </w:tcPr>
          <w:p w14:paraId="03B15B42">
            <w:pPr>
              <w:spacing w:line="360" w:lineRule="auto"/>
              <w:jc w:val="center"/>
              <w:rPr>
                <w:highlight w:val="none"/>
              </w:rPr>
            </w:pP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4606A0E8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color w:val="000000"/>
                <w:highlight w:val="none"/>
                <w:lang w:bidi="ar"/>
              </w:rPr>
              <w:t>支持M-LAG或vPC或DRNI等跨机箱链路捆绑技术。</w:t>
            </w:r>
          </w:p>
        </w:tc>
      </w:tr>
      <w:tr w14:paraId="3D09E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4E22460B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vMerge w:val="restart"/>
            <w:shd w:val="clear" w:color="auto" w:fill="FFFFFF" w:themeFill="background1"/>
            <w:noWrap/>
            <w:vAlign w:val="center"/>
          </w:tcPr>
          <w:p w14:paraId="13E5ECDD">
            <w:pPr>
              <w:spacing w:line="360" w:lineRule="auto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三层功能</w:t>
            </w: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76BC9E18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color w:val="000000"/>
                <w:highlight w:val="none"/>
                <w:lang w:bidi="ar"/>
              </w:rPr>
              <w:t>支持 RIP、OSPF、ISIS、BGP 等 IPv4 动态路由协议。</w:t>
            </w:r>
          </w:p>
        </w:tc>
      </w:tr>
      <w:tr w14:paraId="46A56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3FFBFE25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vMerge w:val="continue"/>
            <w:shd w:val="clear" w:color="auto" w:fill="FFFFFF" w:themeFill="background1"/>
            <w:vAlign w:val="center"/>
          </w:tcPr>
          <w:p w14:paraId="4151A49D">
            <w:pPr>
              <w:spacing w:line="360" w:lineRule="auto"/>
              <w:jc w:val="center"/>
              <w:rPr>
                <w:highlight w:val="none"/>
              </w:rPr>
            </w:pP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7424E656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color w:val="000000"/>
                <w:highlight w:val="none"/>
                <w:lang w:bidi="ar"/>
              </w:rPr>
              <w:t>支持 RIPng、OSPFv3、ISISv6、BGP4+等 IPv6 动态路由协议。</w:t>
            </w:r>
          </w:p>
        </w:tc>
      </w:tr>
      <w:tr w14:paraId="7A287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5165F1F6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vMerge w:val="continue"/>
            <w:shd w:val="clear" w:color="auto" w:fill="FFFFFF" w:themeFill="background1"/>
            <w:vAlign w:val="center"/>
          </w:tcPr>
          <w:p w14:paraId="4F003CA3">
            <w:pPr>
              <w:spacing w:line="360" w:lineRule="auto"/>
              <w:jc w:val="center"/>
              <w:rPr>
                <w:highlight w:val="none"/>
              </w:rPr>
            </w:pP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572323FD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color w:val="000000"/>
                <w:highlight w:val="none"/>
                <w:lang w:bidi="ar"/>
              </w:rPr>
              <w:t>支持 BFD for BGP/IS-IS/OSPF/静态路由。</w:t>
            </w:r>
          </w:p>
        </w:tc>
      </w:tr>
      <w:tr w14:paraId="24E73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7D0B5427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vMerge w:val="restart"/>
            <w:shd w:val="clear" w:color="auto" w:fill="FFFFFF" w:themeFill="background1"/>
            <w:noWrap/>
            <w:vAlign w:val="center"/>
          </w:tcPr>
          <w:p w14:paraId="36A858C6">
            <w:pPr>
              <w:spacing w:line="360" w:lineRule="auto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QOS</w:t>
            </w: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73628077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color w:val="000000"/>
                <w:highlight w:val="none"/>
                <w:lang w:bidi="ar"/>
              </w:rPr>
              <w:t>支持MAC漂移联动端口 error-down。</w:t>
            </w:r>
            <w:r>
              <w:rPr>
                <w:highlight w:val="none"/>
              </w:rPr>
              <w:t>（</w:t>
            </w:r>
            <w:r>
              <w:rPr>
                <w:rFonts w:hint="eastAsia"/>
                <w:highlight w:val="none"/>
              </w:rPr>
              <w:t>供应商</w:t>
            </w:r>
            <w:r>
              <w:rPr>
                <w:highlight w:val="none"/>
              </w:rPr>
              <w:t>需提供</w:t>
            </w:r>
            <w:r>
              <w:rPr>
                <w:rFonts w:hint="eastAsia"/>
                <w:highlight w:val="none"/>
              </w:rPr>
              <w:t>证明材料并</w:t>
            </w:r>
            <w:r>
              <w:rPr>
                <w:highlight w:val="none"/>
              </w:rPr>
              <w:t>加盖公章）</w:t>
            </w:r>
          </w:p>
        </w:tc>
      </w:tr>
      <w:tr w14:paraId="332E7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55E5A19D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vMerge w:val="continue"/>
            <w:shd w:val="clear" w:color="auto" w:fill="FFFFFF" w:themeFill="background1"/>
            <w:vAlign w:val="center"/>
          </w:tcPr>
          <w:p w14:paraId="6575DFBF">
            <w:pPr>
              <w:spacing w:line="360" w:lineRule="auto"/>
              <w:jc w:val="center"/>
              <w:rPr>
                <w:highlight w:val="none"/>
              </w:rPr>
            </w:pP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761588D0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color w:val="000000"/>
                <w:highlight w:val="none"/>
                <w:lang w:bidi="ar"/>
              </w:rPr>
              <w:t>支持基于VLAN/子接口/BD/VxLAN 隧道的MAC-LIMIT。</w:t>
            </w:r>
          </w:p>
        </w:tc>
      </w:tr>
      <w:tr w14:paraId="23027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18E5660C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vMerge w:val="restart"/>
            <w:shd w:val="clear" w:color="auto" w:fill="FFFFFF" w:themeFill="background1"/>
            <w:noWrap/>
            <w:vAlign w:val="center"/>
          </w:tcPr>
          <w:p w14:paraId="33889ACC">
            <w:pPr>
              <w:spacing w:line="360" w:lineRule="auto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可靠性</w:t>
            </w:r>
          </w:p>
        </w:tc>
        <w:tc>
          <w:tcPr>
            <w:tcW w:w="3381" w:type="pct"/>
            <w:shd w:val="clear" w:color="auto" w:fill="FFFFFF" w:themeFill="background1"/>
            <w:vAlign w:val="center"/>
          </w:tcPr>
          <w:p w14:paraId="1AA7660B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color w:val="000000"/>
                <w:highlight w:val="none"/>
                <w:lang w:bidi="ar"/>
              </w:rPr>
              <w:t>支持数据面故障快速自愈。</w:t>
            </w:r>
            <w:r>
              <w:rPr>
                <w:highlight w:val="none"/>
              </w:rPr>
              <w:t>（</w:t>
            </w:r>
            <w:r>
              <w:rPr>
                <w:rFonts w:hint="eastAsia"/>
                <w:highlight w:val="none"/>
              </w:rPr>
              <w:t>供应商</w:t>
            </w:r>
            <w:r>
              <w:rPr>
                <w:highlight w:val="none"/>
              </w:rPr>
              <w:t>需提供</w:t>
            </w:r>
            <w:r>
              <w:rPr>
                <w:rFonts w:hint="eastAsia"/>
                <w:highlight w:val="none"/>
              </w:rPr>
              <w:t>证明材料并</w:t>
            </w:r>
            <w:r>
              <w:rPr>
                <w:highlight w:val="none"/>
              </w:rPr>
              <w:t>加盖公章）</w:t>
            </w:r>
          </w:p>
        </w:tc>
      </w:tr>
      <w:tr w14:paraId="0C9A9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309B63DC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vMerge w:val="continue"/>
            <w:shd w:val="clear" w:color="auto" w:fill="FFFFFF" w:themeFill="background1"/>
            <w:noWrap/>
            <w:vAlign w:val="center"/>
          </w:tcPr>
          <w:p w14:paraId="5452BF3E">
            <w:pPr>
              <w:spacing w:line="360" w:lineRule="auto"/>
              <w:jc w:val="center"/>
              <w:rPr>
                <w:highlight w:val="none"/>
              </w:rPr>
            </w:pPr>
          </w:p>
        </w:tc>
        <w:tc>
          <w:tcPr>
            <w:tcW w:w="3381" w:type="pct"/>
            <w:shd w:val="clear" w:color="auto" w:fill="FFFFFF" w:themeFill="background1"/>
            <w:vAlign w:val="center"/>
          </w:tcPr>
          <w:p w14:paraId="057FA2F1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color w:val="000000"/>
                <w:highlight w:val="none"/>
                <w:lang w:bidi="ar"/>
              </w:rPr>
              <w:t>支持VRRP、VRRP负载分担、BFD for VRRP 。</w:t>
            </w:r>
          </w:p>
        </w:tc>
      </w:tr>
      <w:tr w14:paraId="4D0AB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2280B5A9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vMerge w:val="restart"/>
            <w:shd w:val="clear" w:color="auto" w:fill="FFFFFF" w:themeFill="background1"/>
            <w:noWrap/>
            <w:vAlign w:val="center"/>
          </w:tcPr>
          <w:p w14:paraId="3EC5D309">
            <w:pPr>
              <w:spacing w:line="360" w:lineRule="auto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配置和维护</w:t>
            </w: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463DD46A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color w:val="000000"/>
                <w:sz w:val="22"/>
                <w:szCs w:val="22"/>
                <w:highlight w:val="none"/>
                <w:lang w:bidi="ar"/>
              </w:rPr>
              <w:t>支持IFIT随流检测功能。</w:t>
            </w:r>
          </w:p>
        </w:tc>
      </w:tr>
      <w:tr w14:paraId="2D779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3068092B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vMerge w:val="continue"/>
            <w:shd w:val="clear" w:color="auto" w:fill="FFFFFF" w:themeFill="background1"/>
            <w:vAlign w:val="center"/>
          </w:tcPr>
          <w:p w14:paraId="22348EBD">
            <w:pPr>
              <w:spacing w:line="360" w:lineRule="auto"/>
              <w:jc w:val="center"/>
              <w:rPr>
                <w:highlight w:val="none"/>
              </w:rPr>
            </w:pP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5554B383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color w:val="000000"/>
                <w:sz w:val="22"/>
                <w:szCs w:val="22"/>
                <w:highlight w:val="none"/>
                <w:lang w:bidi="ar"/>
              </w:rPr>
              <w:t>支持Packet Event：丢包可视、超长时延可视。</w:t>
            </w:r>
          </w:p>
        </w:tc>
      </w:tr>
      <w:tr w14:paraId="3EC5C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5F77093D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vMerge w:val="continue"/>
            <w:shd w:val="clear" w:color="auto" w:fill="FFFFFF" w:themeFill="background1"/>
            <w:vAlign w:val="center"/>
          </w:tcPr>
          <w:p w14:paraId="74AA5F8B">
            <w:pPr>
              <w:spacing w:line="360" w:lineRule="auto"/>
              <w:jc w:val="center"/>
              <w:rPr>
                <w:highlight w:val="none"/>
              </w:rPr>
            </w:pP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47205766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color w:val="000000"/>
                <w:highlight w:val="none"/>
                <w:lang w:bidi="ar"/>
              </w:rPr>
              <w:t>支持SNMP V1/V2/V3、Telnet、RMON、SSH。</w:t>
            </w:r>
          </w:p>
        </w:tc>
      </w:tr>
      <w:tr w14:paraId="6A666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436EC7BA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vMerge w:val="continue"/>
            <w:shd w:val="clear" w:color="auto" w:fill="FFFFFF" w:themeFill="background1"/>
            <w:vAlign w:val="center"/>
          </w:tcPr>
          <w:p w14:paraId="0BF0F32E">
            <w:pPr>
              <w:spacing w:line="360" w:lineRule="auto"/>
              <w:jc w:val="center"/>
              <w:rPr>
                <w:highlight w:val="none"/>
              </w:rPr>
            </w:pP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35ADDF90">
            <w:pPr>
              <w:spacing w:line="360" w:lineRule="auto"/>
              <w:rPr>
                <w:highlight w:val="none"/>
              </w:rPr>
            </w:pPr>
            <w:r>
              <w:rPr>
                <w:color w:val="000000"/>
                <w:highlight w:val="none"/>
                <w:lang w:bidi="ar"/>
              </w:rPr>
              <w:t>端口侧面板和电源侧面板都配备系统运行状态灯和远程运维ID指示灯（现场定位用指示灯，运维人员可远程控制ID灯开启和关闭）</w:t>
            </w:r>
            <w:r>
              <w:rPr>
                <w:rFonts w:hint="eastAsia"/>
                <w:color w:val="000000"/>
                <w:highlight w:val="none"/>
                <w:lang w:bidi="ar"/>
              </w:rPr>
              <w:t>。</w:t>
            </w:r>
            <w:r>
              <w:rPr>
                <w:highlight w:val="none"/>
              </w:rPr>
              <w:t>（</w:t>
            </w:r>
            <w:r>
              <w:rPr>
                <w:rFonts w:hint="eastAsia"/>
                <w:highlight w:val="none"/>
              </w:rPr>
              <w:t>供应商</w:t>
            </w:r>
            <w:r>
              <w:rPr>
                <w:highlight w:val="none"/>
              </w:rPr>
              <w:t>需提供</w:t>
            </w:r>
            <w:r>
              <w:rPr>
                <w:rFonts w:hint="eastAsia"/>
                <w:highlight w:val="none"/>
              </w:rPr>
              <w:t>证明材料并</w:t>
            </w:r>
            <w:r>
              <w:rPr>
                <w:highlight w:val="none"/>
              </w:rPr>
              <w:t>加盖公章）</w:t>
            </w:r>
          </w:p>
        </w:tc>
      </w:tr>
      <w:tr w14:paraId="0BDD0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754F4B03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shd w:val="clear" w:color="auto" w:fill="FFFFFF" w:themeFill="background1"/>
            <w:noWrap/>
            <w:vAlign w:val="center"/>
          </w:tcPr>
          <w:p w14:paraId="7DFDA88C">
            <w:pPr>
              <w:spacing w:line="360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流量分析</w:t>
            </w: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073809CF">
            <w:pPr>
              <w:spacing w:line="360" w:lineRule="auto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Netstream满足10GE 1:1采样。</w:t>
            </w:r>
            <w:r>
              <w:rPr>
                <w:color w:val="auto"/>
                <w:highlight w:val="none"/>
              </w:rPr>
              <w:t>（</w:t>
            </w:r>
            <w:r>
              <w:rPr>
                <w:rFonts w:hint="eastAsia"/>
                <w:color w:val="auto"/>
                <w:highlight w:val="none"/>
              </w:rPr>
              <w:t>供应商</w:t>
            </w:r>
            <w:r>
              <w:rPr>
                <w:color w:val="auto"/>
                <w:highlight w:val="none"/>
              </w:rPr>
              <w:t>需提供</w:t>
            </w:r>
            <w:r>
              <w:rPr>
                <w:rFonts w:hint="eastAsia"/>
                <w:color w:val="auto"/>
                <w:highlight w:val="none"/>
              </w:rPr>
              <w:t>证明材料并</w:t>
            </w:r>
            <w:r>
              <w:rPr>
                <w:color w:val="auto"/>
                <w:highlight w:val="none"/>
              </w:rPr>
              <w:t>加盖公章）</w:t>
            </w:r>
          </w:p>
        </w:tc>
      </w:tr>
      <w:tr w14:paraId="4DEAE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38C5DE78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shd w:val="clear" w:color="auto" w:fill="FFFFFF" w:themeFill="background1"/>
            <w:noWrap/>
            <w:vAlign w:val="center"/>
          </w:tcPr>
          <w:p w14:paraId="19F4670E">
            <w:pPr>
              <w:spacing w:line="360" w:lineRule="auto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实配</w:t>
            </w: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5022462C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双电源，满配400G多模光模块（可一分二）</w:t>
            </w:r>
            <w:r>
              <w:rPr>
                <w:rFonts w:hint="eastAsia"/>
                <w:highlight w:val="none"/>
              </w:rPr>
              <w:t>。</w:t>
            </w:r>
          </w:p>
        </w:tc>
      </w:tr>
      <w:tr w14:paraId="279C1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93" w:type="pct"/>
            <w:shd w:val="clear" w:color="auto" w:fill="FFFFFF" w:themeFill="background1"/>
            <w:vAlign w:val="center"/>
          </w:tcPr>
          <w:p w14:paraId="47CA259E">
            <w:pPr>
              <w:pStyle w:val="13"/>
              <w:numPr>
                <w:ilvl w:val="0"/>
                <w:numId w:val="4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026" w:type="pct"/>
            <w:shd w:val="clear" w:color="auto" w:fill="FFFFFF" w:themeFill="background1"/>
            <w:noWrap/>
            <w:vAlign w:val="center"/>
          </w:tcPr>
          <w:p w14:paraId="3111E8F4">
            <w:pPr>
              <w:spacing w:line="360" w:lineRule="auto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服务周期</w:t>
            </w:r>
          </w:p>
        </w:tc>
        <w:tc>
          <w:tcPr>
            <w:tcW w:w="3381" w:type="pct"/>
            <w:shd w:val="clear" w:color="auto" w:fill="FFFFFF" w:themeFill="background1"/>
            <w:noWrap/>
            <w:vAlign w:val="center"/>
          </w:tcPr>
          <w:p w14:paraId="1722A838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提供原厂商首次安装服务和≥3年7*24小时产品免费服务周期。</w:t>
            </w:r>
          </w:p>
        </w:tc>
      </w:tr>
    </w:tbl>
    <w:p w14:paraId="63793453">
      <w:pPr>
        <w:rPr>
          <w:highlight w:val="none"/>
        </w:rPr>
      </w:pPr>
    </w:p>
    <w:p w14:paraId="3BD93CE7">
      <w:pPr>
        <w:pStyle w:val="3"/>
        <w:rPr>
          <w:rFonts w:ascii="宋体" w:hAnsi="宋体" w:eastAsia="宋体"/>
          <w:highlight w:val="none"/>
        </w:rPr>
      </w:pPr>
      <w:r>
        <w:rPr>
          <w:rFonts w:hint="eastAsia" w:ascii="宋体" w:hAnsi="宋体" w:eastAsia="宋体"/>
          <w:highlight w:val="none"/>
        </w:rPr>
        <w:t xml:space="preserve">4.3 </w:t>
      </w:r>
      <w:r>
        <w:rPr>
          <w:rFonts w:ascii="宋体" w:hAnsi="宋体" w:eastAsia="宋体"/>
          <w:highlight w:val="none"/>
        </w:rPr>
        <w:t>医疗大模型算力群集集成服务</w:t>
      </w:r>
      <w:r>
        <w:rPr>
          <w:rFonts w:hint="eastAsia" w:ascii="宋体" w:hAnsi="宋体" w:eastAsia="宋体"/>
          <w:highlight w:val="none"/>
        </w:rPr>
        <w:t>要求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963"/>
        <w:gridCol w:w="1418"/>
        <w:gridCol w:w="4927"/>
      </w:tblGrid>
      <w:tr w14:paraId="4B541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88" w:type="dxa"/>
            <w:vAlign w:val="center"/>
          </w:tcPr>
          <w:p w14:paraId="18024136">
            <w:pPr>
              <w:spacing w:line="360" w:lineRule="auto"/>
              <w:jc w:val="center"/>
              <w:rPr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</w:rPr>
              <w:t>序号</w:t>
            </w:r>
          </w:p>
        </w:tc>
        <w:tc>
          <w:tcPr>
            <w:tcW w:w="963" w:type="dxa"/>
            <w:noWrap/>
            <w:vAlign w:val="center"/>
          </w:tcPr>
          <w:p w14:paraId="298C7F8C">
            <w:pPr>
              <w:spacing w:line="360" w:lineRule="auto"/>
              <w:jc w:val="center"/>
              <w:rPr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</w:rPr>
              <w:t>阶段/里程碑</w:t>
            </w:r>
          </w:p>
        </w:tc>
        <w:tc>
          <w:tcPr>
            <w:tcW w:w="1418" w:type="dxa"/>
            <w:noWrap/>
            <w:vAlign w:val="center"/>
          </w:tcPr>
          <w:p w14:paraId="0E05E9EA">
            <w:pPr>
              <w:spacing w:line="360" w:lineRule="auto"/>
              <w:jc w:val="center"/>
              <w:rPr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</w:rPr>
              <w:t>任务分解</w:t>
            </w:r>
          </w:p>
        </w:tc>
        <w:tc>
          <w:tcPr>
            <w:tcW w:w="4927" w:type="dxa"/>
            <w:noWrap/>
            <w:vAlign w:val="center"/>
          </w:tcPr>
          <w:p w14:paraId="13EB7780">
            <w:pPr>
              <w:spacing w:line="360" w:lineRule="auto"/>
              <w:jc w:val="center"/>
              <w:rPr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</w:rPr>
              <w:t>工作内容</w:t>
            </w:r>
          </w:p>
        </w:tc>
      </w:tr>
      <w:tr w14:paraId="575FD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88" w:type="dxa"/>
            <w:vAlign w:val="center"/>
          </w:tcPr>
          <w:p w14:paraId="737E44C9">
            <w:pPr>
              <w:pStyle w:val="13"/>
              <w:numPr>
                <w:ilvl w:val="0"/>
                <w:numId w:val="5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963" w:type="dxa"/>
            <w:vMerge w:val="restart"/>
            <w:noWrap/>
            <w:vAlign w:val="center"/>
          </w:tcPr>
          <w:p w14:paraId="4E21C0F0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集成部署服务</w:t>
            </w:r>
          </w:p>
        </w:tc>
        <w:tc>
          <w:tcPr>
            <w:tcW w:w="1418" w:type="dxa"/>
            <w:noWrap/>
            <w:vAlign w:val="center"/>
          </w:tcPr>
          <w:p w14:paraId="7FF3A301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环境准备与硬件安装</w:t>
            </w:r>
          </w:p>
        </w:tc>
        <w:tc>
          <w:tcPr>
            <w:tcW w:w="4927" w:type="dxa"/>
            <w:vAlign w:val="center"/>
          </w:tcPr>
          <w:p w14:paraId="61A0474E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完成3台国产AI服务器及1台高速交换机的全流程集成部署，使集群达到可用状态。具体包括：</w:t>
            </w:r>
          </w:p>
          <w:p w14:paraId="5CDC7372">
            <w:pPr>
              <w:numPr>
                <w:ilvl w:val="0"/>
                <w:numId w:val="6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复核机房供电、散热、承重、接地、机柜空间，不满足时提出整改建议。</w:t>
            </w:r>
          </w:p>
          <w:p w14:paraId="1045BCC6">
            <w:pPr>
              <w:numPr>
                <w:ilvl w:val="0"/>
                <w:numId w:val="6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设备上架、固定，规范布放电源线及光缆，粘贴统一标签。</w:t>
            </w:r>
          </w:p>
          <w:p w14:paraId="40C16C2D">
            <w:pPr>
              <w:numPr>
                <w:ilvl w:val="0"/>
                <w:numId w:val="6"/>
              </w:numPr>
              <w:spacing w:line="360" w:lineRule="auto"/>
              <w:rPr>
                <w:rFonts w:hint="eastAsia"/>
                <w:highlight w:val="none"/>
              </w:rPr>
            </w:pPr>
            <w:r>
              <w:rPr>
                <w:highlight w:val="none"/>
              </w:rPr>
              <w:t>加电自检，通过BMC检查CPU、AI处理器、内存、硬盘、风扇、电源状态，验证BIOS为国产自主固件，记录SN并录入资产台账。</w:t>
            </w:r>
          </w:p>
        </w:tc>
      </w:tr>
      <w:tr w14:paraId="03DE5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88" w:type="dxa"/>
            <w:vAlign w:val="center"/>
          </w:tcPr>
          <w:p w14:paraId="138CB967">
            <w:pPr>
              <w:pStyle w:val="13"/>
              <w:numPr>
                <w:ilvl w:val="0"/>
                <w:numId w:val="5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963" w:type="dxa"/>
            <w:vMerge w:val="continue"/>
            <w:vAlign w:val="center"/>
          </w:tcPr>
          <w:p w14:paraId="18B16EF9">
            <w:pPr>
              <w:spacing w:line="360" w:lineRule="auto"/>
              <w:rPr>
                <w:highlight w:val="none"/>
              </w:rPr>
            </w:pPr>
          </w:p>
        </w:tc>
        <w:tc>
          <w:tcPr>
            <w:tcW w:w="1418" w:type="dxa"/>
            <w:noWrap/>
            <w:vAlign w:val="center"/>
          </w:tcPr>
          <w:p w14:paraId="69FB1607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高性能网络集群搭建</w:t>
            </w:r>
          </w:p>
        </w:tc>
        <w:tc>
          <w:tcPr>
            <w:tcW w:w="4927" w:type="dxa"/>
            <w:vAlign w:val="center"/>
          </w:tcPr>
          <w:p w14:paraId="6D783470">
            <w:pPr>
              <w:numPr>
                <w:ilvl w:val="0"/>
                <w:numId w:val="7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配置RoCEv2无损网络，参数持久化。</w:t>
            </w:r>
          </w:p>
          <w:p w14:paraId="608906FF">
            <w:pPr>
              <w:numPr>
                <w:ilvl w:val="0"/>
                <w:numId w:val="7"/>
              </w:numPr>
              <w:spacing w:line="360" w:lineRule="auto"/>
              <w:rPr>
                <w:rFonts w:hint="eastAsia"/>
                <w:highlight w:val="none"/>
              </w:rPr>
            </w:pPr>
            <w:r>
              <w:rPr>
                <w:highlight w:val="none"/>
              </w:rPr>
              <w:t>验证节点间带宽大于等于190GB/s。</w:t>
            </w:r>
          </w:p>
        </w:tc>
      </w:tr>
      <w:tr w14:paraId="31209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88" w:type="dxa"/>
            <w:vAlign w:val="center"/>
          </w:tcPr>
          <w:p w14:paraId="041D514F">
            <w:pPr>
              <w:pStyle w:val="13"/>
              <w:numPr>
                <w:ilvl w:val="0"/>
                <w:numId w:val="5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963" w:type="dxa"/>
            <w:vMerge w:val="continue"/>
            <w:vAlign w:val="center"/>
          </w:tcPr>
          <w:p w14:paraId="73C4FF30">
            <w:pPr>
              <w:spacing w:line="360" w:lineRule="auto"/>
              <w:rPr>
                <w:highlight w:val="none"/>
              </w:rPr>
            </w:pPr>
          </w:p>
        </w:tc>
        <w:tc>
          <w:tcPr>
            <w:tcW w:w="1418" w:type="dxa"/>
            <w:noWrap/>
            <w:vAlign w:val="center"/>
          </w:tcPr>
          <w:p w14:paraId="677EDD2E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基础软件环境部署</w:t>
            </w:r>
          </w:p>
        </w:tc>
        <w:tc>
          <w:tcPr>
            <w:tcW w:w="4927" w:type="dxa"/>
            <w:vAlign w:val="center"/>
          </w:tcPr>
          <w:p w14:paraId="4609DB53">
            <w:pPr>
              <w:numPr>
                <w:ilvl w:val="0"/>
                <w:numId w:val="8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安装国产操作系统（openEuler/麒麟），配置内核参数（透明大页、CPU隔离、I/O调度器），NTP时间同步。</w:t>
            </w:r>
          </w:p>
          <w:p w14:paraId="032FCCB6">
            <w:pPr>
              <w:numPr>
                <w:ilvl w:val="0"/>
                <w:numId w:val="8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安装AI处理器驱动、固件及异构计算架构软件包，验证8颗AI处理器/台、HBM容量、芯片间互联带宽。</w:t>
            </w:r>
          </w:p>
          <w:p w14:paraId="5BCD0628">
            <w:pPr>
              <w:numPr>
                <w:ilvl w:val="0"/>
                <w:numId w:val="8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部署容器运行时（Docker/containerd）及Kubernetes集群（K8s 1.28+），安装AI处理器设备插件和RDMA设备插件。</w:t>
            </w:r>
          </w:p>
          <w:p w14:paraId="08F81A96">
            <w:pPr>
              <w:numPr>
                <w:ilvl w:val="0"/>
                <w:numId w:val="8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安装PyTorch、TensorFlow、飞桨等框架，配置集合通信库和算子加速库，验证分布式训练正常启动。</w:t>
            </w:r>
          </w:p>
        </w:tc>
      </w:tr>
      <w:tr w14:paraId="7905F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88" w:type="dxa"/>
            <w:vAlign w:val="center"/>
          </w:tcPr>
          <w:p w14:paraId="4B35A3CF">
            <w:pPr>
              <w:pStyle w:val="13"/>
              <w:numPr>
                <w:ilvl w:val="0"/>
                <w:numId w:val="5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963" w:type="dxa"/>
            <w:vMerge w:val="continue"/>
            <w:vAlign w:val="center"/>
          </w:tcPr>
          <w:p w14:paraId="63DA1CDB">
            <w:pPr>
              <w:spacing w:line="360" w:lineRule="auto"/>
              <w:rPr>
                <w:highlight w:val="none"/>
              </w:rPr>
            </w:pPr>
          </w:p>
        </w:tc>
        <w:tc>
          <w:tcPr>
            <w:tcW w:w="1418" w:type="dxa"/>
            <w:noWrap/>
            <w:vAlign w:val="center"/>
          </w:tcPr>
          <w:p w14:paraId="4191E389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集群验证</w:t>
            </w:r>
          </w:p>
        </w:tc>
        <w:tc>
          <w:tcPr>
            <w:tcW w:w="4927" w:type="dxa"/>
            <w:vAlign w:val="center"/>
          </w:tcPr>
          <w:p w14:paraId="1D3A7499">
            <w:pPr>
              <w:numPr>
                <w:ilvl w:val="0"/>
                <w:numId w:val="9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高可用测试：模拟节点断电、电源模块故障、风扇失效，验证自动迁移及业务不中断。</w:t>
            </w:r>
          </w:p>
          <w:p w14:paraId="6697D17E">
            <w:pPr>
              <w:numPr>
                <w:ilvl w:val="0"/>
                <w:numId w:val="9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算力性能测试：运行ResNet-50混合精度训练，3节点线性度大于等于95%。</w:t>
            </w:r>
          </w:p>
          <w:p w14:paraId="14D2E0C7">
            <w:pPr>
              <w:numPr>
                <w:ilvl w:val="0"/>
                <w:numId w:val="9"/>
              </w:numPr>
              <w:spacing w:line="360" w:lineRule="auto"/>
              <w:rPr>
                <w:rFonts w:hint="eastAsia"/>
                <w:highlight w:val="none"/>
              </w:rPr>
            </w:pPr>
            <w:r>
              <w:rPr>
                <w:highlight w:val="none"/>
              </w:rPr>
              <w:t>存储联调：对接现有并行存储或对象存储，读写带宽达标。</w:t>
            </w:r>
          </w:p>
        </w:tc>
      </w:tr>
      <w:tr w14:paraId="33912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88" w:type="dxa"/>
            <w:vAlign w:val="center"/>
          </w:tcPr>
          <w:p w14:paraId="75AAE170">
            <w:pPr>
              <w:pStyle w:val="13"/>
              <w:numPr>
                <w:ilvl w:val="0"/>
                <w:numId w:val="5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963" w:type="dxa"/>
            <w:vMerge w:val="restart"/>
            <w:noWrap/>
            <w:vAlign w:val="center"/>
          </w:tcPr>
          <w:p w14:paraId="37977CC0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模型适配服务</w:t>
            </w:r>
          </w:p>
        </w:tc>
        <w:tc>
          <w:tcPr>
            <w:tcW w:w="1418" w:type="dxa"/>
            <w:noWrap/>
            <w:vAlign w:val="center"/>
          </w:tcPr>
          <w:p w14:paraId="49999D5A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模型迁移与优化</w:t>
            </w:r>
          </w:p>
        </w:tc>
        <w:tc>
          <w:tcPr>
            <w:tcW w:w="4927" w:type="dxa"/>
            <w:vAlign w:val="center"/>
          </w:tcPr>
          <w:p w14:paraId="7A42A237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完成医疗大模型在国产算力集群上的迁移、优化及业务集成。具体包括：</w:t>
            </w:r>
          </w:p>
          <w:p w14:paraId="695613E9">
            <w:pPr>
              <w:numPr>
                <w:ilvl w:val="0"/>
                <w:numId w:val="10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将院方提供的医疗大模型（至少BERT-base、GPT-7B、Med-PaLM 2）转换为目标AI处理器中间表示格式，不支持的算子须自定义或替代，转换后精度损失小于等于0.1%。</w:t>
            </w:r>
          </w:p>
          <w:p w14:paraId="2646BC1F">
            <w:pPr>
              <w:numPr>
                <w:ilvl w:val="0"/>
                <w:numId w:val="10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提供FP16（必须）及INT8（可选）量化，精度损失小于等于1%，显存占用降低大于等于50%。</w:t>
            </w:r>
          </w:p>
          <w:p w14:paraId="02ABA903">
            <w:pPr>
              <w:numPr>
                <w:ilvl w:val="0"/>
                <w:numId w:val="10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部署高性能推理服务框架，支持动态批处理（1~32）及模型并行（张量并行+流水线并行），实现3节点协同推理70B+参数模型。</w:t>
            </w:r>
          </w:p>
          <w:p w14:paraId="25366A1A">
            <w:pPr>
              <w:numPr>
                <w:ilvl w:val="0"/>
                <w:numId w:val="10"/>
              </w:numPr>
              <w:spacing w:line="360" w:lineRule="auto"/>
              <w:rPr>
                <w:rFonts w:hint="eastAsia"/>
                <w:highlight w:val="none"/>
              </w:rPr>
            </w:pPr>
            <w:r>
              <w:rPr>
                <w:highlight w:val="none"/>
              </w:rPr>
              <w:t>使用算子自动调优工具优化关键算子，单节点推理吞吐量大于等于1000 tokens/s，P99时延小于等于100ms。</w:t>
            </w:r>
          </w:p>
        </w:tc>
      </w:tr>
      <w:tr w14:paraId="145C8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88" w:type="dxa"/>
            <w:vAlign w:val="center"/>
          </w:tcPr>
          <w:p w14:paraId="630D0706">
            <w:pPr>
              <w:pStyle w:val="13"/>
              <w:numPr>
                <w:ilvl w:val="0"/>
                <w:numId w:val="5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963" w:type="dxa"/>
            <w:vMerge w:val="continue"/>
            <w:vAlign w:val="center"/>
          </w:tcPr>
          <w:p w14:paraId="05D34DDF">
            <w:pPr>
              <w:spacing w:line="360" w:lineRule="auto"/>
              <w:rPr>
                <w:highlight w:val="none"/>
              </w:rPr>
            </w:pPr>
          </w:p>
        </w:tc>
        <w:tc>
          <w:tcPr>
            <w:tcW w:w="1418" w:type="dxa"/>
            <w:noWrap/>
            <w:vAlign w:val="center"/>
          </w:tcPr>
          <w:p w14:paraId="165F0B94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医疗场景集成</w:t>
            </w:r>
          </w:p>
        </w:tc>
        <w:tc>
          <w:tcPr>
            <w:tcW w:w="4927" w:type="dxa"/>
            <w:vAlign w:val="center"/>
          </w:tcPr>
          <w:p w14:paraId="4FFF5E14">
            <w:pPr>
              <w:numPr>
                <w:ilvl w:val="0"/>
                <w:numId w:val="11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开发RESTful API及gRPC等接口，提供鉴权、流式输出、健康检查、监控指标。</w:t>
            </w:r>
          </w:p>
          <w:p w14:paraId="12C8FF1C">
            <w:pPr>
              <w:numPr>
                <w:ilvl w:val="0"/>
                <w:numId w:val="11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实现三个核心场景：病历质控、辅助诊疗、智能交互。</w:t>
            </w:r>
          </w:p>
          <w:p w14:paraId="43EF977C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病历质控：接收电子病历文本，返回问题类型、位置、修改建议、严重等级。</w:t>
            </w:r>
          </w:p>
          <w:p w14:paraId="5993405E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辅助诊疗：集成RAG检索知识库，返回鉴别诊断、治疗建议、循证依据。</w:t>
            </w:r>
          </w:p>
          <w:p w14:paraId="01194B91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智能交互：多轮对话（上下文大于等于8k），支持病历草稿生成、医学问答。</w:t>
            </w:r>
          </w:p>
          <w:p w14:paraId="574BDCA5">
            <w:pPr>
              <w:spacing w:line="360" w:lineRule="auto"/>
              <w:rPr>
                <w:rFonts w:hint="eastAsia"/>
                <w:highlight w:val="none"/>
              </w:rPr>
            </w:pPr>
            <w:r>
              <w:rPr>
                <w:highlight w:val="none"/>
              </w:rPr>
              <w:t>提供详细API文档，配合院方现有CIS、EMR、语音前端等系统联调。</w:t>
            </w:r>
          </w:p>
        </w:tc>
      </w:tr>
      <w:tr w14:paraId="2CC32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88" w:type="dxa"/>
            <w:vAlign w:val="center"/>
          </w:tcPr>
          <w:p w14:paraId="3C0388CD">
            <w:pPr>
              <w:pStyle w:val="13"/>
              <w:numPr>
                <w:ilvl w:val="0"/>
                <w:numId w:val="5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963" w:type="dxa"/>
            <w:vMerge w:val="continue"/>
            <w:vAlign w:val="center"/>
          </w:tcPr>
          <w:p w14:paraId="6EA40313">
            <w:pPr>
              <w:spacing w:line="360" w:lineRule="auto"/>
              <w:rPr>
                <w:highlight w:val="none"/>
              </w:rPr>
            </w:pPr>
          </w:p>
        </w:tc>
        <w:tc>
          <w:tcPr>
            <w:tcW w:w="1418" w:type="dxa"/>
            <w:noWrap/>
            <w:vAlign w:val="center"/>
          </w:tcPr>
          <w:p w14:paraId="2516F19B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性能与稳定性测试</w:t>
            </w:r>
          </w:p>
        </w:tc>
        <w:tc>
          <w:tcPr>
            <w:tcW w:w="4927" w:type="dxa"/>
            <w:vAlign w:val="center"/>
          </w:tcPr>
          <w:p w14:paraId="67A00E96">
            <w:pPr>
              <w:numPr>
                <w:ilvl w:val="0"/>
                <w:numId w:val="12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长稳测试：混合70%推理+30%模拟训练，连续7x24小时，错误率小于等于0.01%。</w:t>
            </w:r>
          </w:p>
          <w:p w14:paraId="025C884E">
            <w:pPr>
              <w:numPr>
                <w:ilvl w:val="0"/>
                <w:numId w:val="12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资源利用率优化：综合算力利用率大于等于80%（24小时均值）。</w:t>
            </w:r>
          </w:p>
          <w:p w14:paraId="7C3F8AF7">
            <w:pPr>
              <w:numPr>
                <w:ilvl w:val="0"/>
                <w:numId w:val="12"/>
              </w:numPr>
              <w:spacing w:line="360" w:lineRule="auto"/>
              <w:rPr>
                <w:rFonts w:hint="eastAsia"/>
                <w:highlight w:val="none"/>
              </w:rPr>
            </w:pPr>
            <w:r>
              <w:rPr>
                <w:highlight w:val="none"/>
              </w:rPr>
              <w:t>容错恢复：模拟单节点推理服务崩溃，请求自动转发，中断时间小于等于30秒。</w:t>
            </w:r>
          </w:p>
        </w:tc>
      </w:tr>
      <w:tr w14:paraId="31B87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88" w:type="dxa"/>
            <w:vAlign w:val="center"/>
          </w:tcPr>
          <w:p w14:paraId="55B2B213">
            <w:pPr>
              <w:pStyle w:val="13"/>
              <w:numPr>
                <w:ilvl w:val="0"/>
                <w:numId w:val="5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963" w:type="dxa"/>
            <w:vMerge w:val="restart"/>
            <w:noWrap/>
            <w:vAlign w:val="center"/>
          </w:tcPr>
          <w:p w14:paraId="43665553">
            <w:pPr>
              <w:spacing w:line="360" w:lineRule="auto"/>
              <w:jc w:val="both"/>
              <w:rPr>
                <w:highlight w:val="none"/>
              </w:rPr>
            </w:pPr>
            <w:r>
              <w:rPr>
                <w:highlight w:val="none"/>
              </w:rPr>
              <w:t>对接算力平台与训推平台服务</w:t>
            </w:r>
          </w:p>
        </w:tc>
        <w:tc>
          <w:tcPr>
            <w:tcW w:w="1418" w:type="dxa"/>
            <w:noWrap/>
            <w:vAlign w:val="center"/>
          </w:tcPr>
          <w:p w14:paraId="47E42380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算力平台对接</w:t>
            </w:r>
          </w:p>
        </w:tc>
        <w:tc>
          <w:tcPr>
            <w:tcW w:w="4927" w:type="dxa"/>
            <w:vAlign w:val="center"/>
          </w:tcPr>
          <w:p w14:paraId="1FCEF7E9">
            <w:pPr>
              <w:numPr>
                <w:ilvl w:val="0"/>
                <w:numId w:val="13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算力上报：周期性向统一算力调度平台上报集群资源（AI处理器数量、使用量、HBM容量等），支持Prometheus格式。</w:t>
            </w:r>
          </w:p>
          <w:p w14:paraId="6209700C">
            <w:pPr>
              <w:numPr>
                <w:ilvl w:val="0"/>
                <w:numId w:val="13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资源申请：接收算力平台的K8s API调用，动态创建命名空间、分配配额。</w:t>
            </w:r>
          </w:p>
          <w:p w14:paraId="1F1C645D">
            <w:pPr>
              <w:numPr>
                <w:ilvl w:val="0"/>
                <w:numId w:val="13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多租户隔离：通过K8s Namespace、ResourceQuota、NetworkPolicy实现科室级隔离。</w:t>
            </w:r>
          </w:p>
          <w:p w14:paraId="1632B0E1">
            <w:pPr>
              <w:numPr>
                <w:ilvl w:val="0"/>
                <w:numId w:val="13"/>
              </w:numPr>
              <w:spacing w:line="360" w:lineRule="auto"/>
              <w:rPr>
                <w:rFonts w:hint="eastAsia"/>
                <w:highlight w:val="none"/>
              </w:rPr>
            </w:pPr>
            <w:r>
              <w:rPr>
                <w:highlight w:val="none"/>
              </w:rPr>
              <w:t>算力计量：按租户/任务生成核时账单数据（CSV/JSON）。</w:t>
            </w:r>
          </w:p>
        </w:tc>
      </w:tr>
      <w:tr w14:paraId="4F140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88" w:type="dxa"/>
            <w:vAlign w:val="center"/>
          </w:tcPr>
          <w:p w14:paraId="4288CCFA">
            <w:pPr>
              <w:pStyle w:val="13"/>
              <w:numPr>
                <w:ilvl w:val="0"/>
                <w:numId w:val="5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963" w:type="dxa"/>
            <w:vMerge w:val="continue"/>
            <w:noWrap/>
            <w:vAlign w:val="center"/>
          </w:tcPr>
          <w:p w14:paraId="152C7A73">
            <w:pPr>
              <w:spacing w:line="360" w:lineRule="auto"/>
              <w:rPr>
                <w:highlight w:val="none"/>
              </w:rPr>
            </w:pPr>
          </w:p>
        </w:tc>
        <w:tc>
          <w:tcPr>
            <w:tcW w:w="1418" w:type="dxa"/>
            <w:noWrap/>
            <w:vAlign w:val="center"/>
          </w:tcPr>
          <w:p w14:paraId="66624945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训推平台对接</w:t>
            </w:r>
          </w:p>
        </w:tc>
        <w:tc>
          <w:tcPr>
            <w:tcW w:w="4927" w:type="dxa"/>
            <w:vAlign w:val="center"/>
          </w:tcPr>
          <w:p w14:paraId="00514385">
            <w:pPr>
              <w:numPr>
                <w:ilvl w:val="0"/>
                <w:numId w:val="14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训练任务对接：支持Kubeflow/Volcano调度器，接收PyTorchJob等CRD定义，自动调度分布式训练，训练结果模型保存至模型仓库，任务状态回调。</w:t>
            </w:r>
          </w:p>
          <w:p w14:paraId="4897FAD1">
            <w:pPr>
              <w:numPr>
                <w:ilvl w:val="0"/>
                <w:numId w:val="14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推理任务对接：将推理服务注册到训推平台服务目录，支持扩缩容指令（手动/HPA），支持金丝雀发布（流量权重切换）。</w:t>
            </w:r>
          </w:p>
          <w:p w14:paraId="63A1BE72">
            <w:pPr>
              <w:numPr>
                <w:ilvl w:val="0"/>
                <w:numId w:val="14"/>
              </w:numPr>
              <w:spacing w:line="360" w:lineRule="auto"/>
              <w:rPr>
                <w:rFonts w:hint="eastAsia"/>
                <w:highlight w:val="none"/>
              </w:rPr>
            </w:pPr>
            <w:r>
              <w:rPr>
                <w:highlight w:val="none"/>
              </w:rPr>
              <w:t>监控与日志对接：推送容器日志至平台统一日志系统，暴露Prometheus指标供平台监控拉取。</w:t>
            </w:r>
          </w:p>
        </w:tc>
      </w:tr>
      <w:tr w14:paraId="03CC8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88" w:type="dxa"/>
            <w:vAlign w:val="center"/>
          </w:tcPr>
          <w:p w14:paraId="0CC32E4A">
            <w:pPr>
              <w:pStyle w:val="13"/>
              <w:numPr>
                <w:ilvl w:val="0"/>
                <w:numId w:val="5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963" w:type="dxa"/>
            <w:vMerge w:val="continue"/>
            <w:vAlign w:val="center"/>
          </w:tcPr>
          <w:p w14:paraId="36D3792B">
            <w:pPr>
              <w:spacing w:line="360" w:lineRule="auto"/>
              <w:rPr>
                <w:highlight w:val="none"/>
              </w:rPr>
            </w:pPr>
          </w:p>
        </w:tc>
        <w:tc>
          <w:tcPr>
            <w:tcW w:w="1418" w:type="dxa"/>
            <w:noWrap/>
            <w:vAlign w:val="center"/>
          </w:tcPr>
          <w:p w14:paraId="69DC2782">
            <w:p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交付对接方案及联调</w:t>
            </w:r>
          </w:p>
        </w:tc>
        <w:tc>
          <w:tcPr>
            <w:tcW w:w="4927" w:type="dxa"/>
            <w:vAlign w:val="center"/>
          </w:tcPr>
          <w:p w14:paraId="34362ACB">
            <w:pPr>
              <w:numPr>
                <w:ilvl w:val="0"/>
                <w:numId w:val="15"/>
              </w:numPr>
              <w:spacing w:line="360" w:lineRule="auto"/>
              <w:rPr>
                <w:highlight w:val="none"/>
              </w:rPr>
            </w:pPr>
            <w:r>
              <w:rPr>
                <w:highlight w:val="none"/>
              </w:rPr>
              <w:t>提供《算力平台对接方案》和《训推平台对接方案》。</w:t>
            </w:r>
          </w:p>
          <w:p w14:paraId="3DE48B9B">
            <w:pPr>
              <w:numPr>
                <w:ilvl w:val="0"/>
                <w:numId w:val="15"/>
              </w:numPr>
              <w:spacing w:line="360" w:lineRule="auto"/>
              <w:rPr>
                <w:rFonts w:hint="eastAsia"/>
                <w:highlight w:val="none"/>
              </w:rPr>
            </w:pPr>
            <w:r>
              <w:rPr>
                <w:highlight w:val="none"/>
              </w:rPr>
              <w:t>完成与院方指定平台的联调测试，提交联调报告。</w:t>
            </w:r>
          </w:p>
        </w:tc>
      </w:tr>
    </w:tbl>
    <w:p w14:paraId="1C154F03">
      <w:pPr>
        <w:pStyle w:val="2"/>
        <w:numPr>
          <w:ilvl w:val="0"/>
          <w:numId w:val="2"/>
        </w:numPr>
        <w:ind w:left="420" w:hanging="420"/>
        <w:rPr>
          <w:rFonts w:ascii="宋体" w:hAnsi="宋体" w:eastAsia="宋体"/>
          <w:highlight w:val="none"/>
        </w:rPr>
      </w:pPr>
      <w:r>
        <w:rPr>
          <w:rFonts w:hint="eastAsia" w:ascii="宋体" w:hAnsi="宋体" w:eastAsia="宋体"/>
          <w:highlight w:val="none"/>
        </w:rPr>
        <w:t>项目工期及实施要求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2463"/>
        <w:gridCol w:w="5323"/>
      </w:tblGrid>
      <w:tr w14:paraId="1DA62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32" w:type="pct"/>
          </w:tcPr>
          <w:p w14:paraId="7884EE05">
            <w:pPr>
              <w:spacing w:line="360" w:lineRule="auto"/>
              <w:rPr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</w:rPr>
              <w:t>序号</w:t>
            </w:r>
          </w:p>
        </w:tc>
        <w:tc>
          <w:tcPr>
            <w:tcW w:w="1445" w:type="pct"/>
          </w:tcPr>
          <w:p w14:paraId="1EAC1E0B">
            <w:pPr>
              <w:spacing w:line="360" w:lineRule="auto"/>
              <w:rPr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</w:rPr>
              <w:t>内容</w:t>
            </w:r>
          </w:p>
        </w:tc>
        <w:tc>
          <w:tcPr>
            <w:tcW w:w="3123" w:type="pct"/>
          </w:tcPr>
          <w:p w14:paraId="4C0958F2">
            <w:pPr>
              <w:spacing w:line="360" w:lineRule="auto"/>
              <w:rPr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</w:rPr>
              <w:t>实施标准</w:t>
            </w:r>
          </w:p>
        </w:tc>
      </w:tr>
      <w:tr w14:paraId="11977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32" w:type="pct"/>
            <w:vAlign w:val="center"/>
          </w:tcPr>
          <w:p w14:paraId="0ABF5AB5">
            <w:pPr>
              <w:pStyle w:val="13"/>
              <w:numPr>
                <w:ilvl w:val="0"/>
                <w:numId w:val="16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szCs w:val="32"/>
                <w:highlight w:val="none"/>
              </w:rPr>
            </w:pPr>
          </w:p>
        </w:tc>
        <w:tc>
          <w:tcPr>
            <w:tcW w:w="1445" w:type="pct"/>
            <w:vAlign w:val="center"/>
          </w:tcPr>
          <w:p w14:paraId="6A0785E7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项目实施过程控制</w:t>
            </w:r>
          </w:p>
        </w:tc>
        <w:tc>
          <w:tcPr>
            <w:tcW w:w="3123" w:type="pct"/>
            <w:vAlign w:val="center"/>
          </w:tcPr>
          <w:p w14:paraId="3DA8D8F1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软件到货、安装、调试、验收工作，严格按照技术要求文件和合同的工期要求完成项目实施。</w:t>
            </w:r>
          </w:p>
        </w:tc>
      </w:tr>
      <w:tr w14:paraId="3230B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32" w:type="pct"/>
            <w:vAlign w:val="center"/>
          </w:tcPr>
          <w:p w14:paraId="79B8BF93">
            <w:pPr>
              <w:pStyle w:val="13"/>
              <w:numPr>
                <w:ilvl w:val="0"/>
                <w:numId w:val="16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szCs w:val="32"/>
                <w:highlight w:val="none"/>
              </w:rPr>
            </w:pPr>
          </w:p>
        </w:tc>
        <w:tc>
          <w:tcPr>
            <w:tcW w:w="1445" w:type="pct"/>
            <w:vAlign w:val="center"/>
          </w:tcPr>
          <w:p w14:paraId="3F9A6330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项目实施过程文档管理</w:t>
            </w:r>
          </w:p>
        </w:tc>
        <w:tc>
          <w:tcPr>
            <w:tcW w:w="3123" w:type="pct"/>
            <w:vAlign w:val="center"/>
          </w:tcPr>
          <w:p w14:paraId="20DBFAC9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提供各个阶段过程文档类别、文档管理措施等。</w:t>
            </w:r>
          </w:p>
        </w:tc>
      </w:tr>
      <w:tr w14:paraId="26061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32" w:type="pct"/>
            <w:vAlign w:val="center"/>
          </w:tcPr>
          <w:p w14:paraId="12B8648F">
            <w:pPr>
              <w:pStyle w:val="13"/>
              <w:numPr>
                <w:ilvl w:val="0"/>
                <w:numId w:val="16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szCs w:val="32"/>
                <w:highlight w:val="none"/>
              </w:rPr>
            </w:pPr>
          </w:p>
        </w:tc>
        <w:tc>
          <w:tcPr>
            <w:tcW w:w="1445" w:type="pct"/>
            <w:vAlign w:val="center"/>
          </w:tcPr>
          <w:p w14:paraId="46F66AB6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项目实施组织架构</w:t>
            </w:r>
          </w:p>
        </w:tc>
        <w:tc>
          <w:tcPr>
            <w:tcW w:w="3123" w:type="pct"/>
            <w:vAlign w:val="center"/>
          </w:tcPr>
          <w:p w14:paraId="76689AC3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提供项目组织架构、职责分工、参与成员能力等内容。</w:t>
            </w:r>
          </w:p>
        </w:tc>
      </w:tr>
      <w:tr w14:paraId="7656B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32" w:type="pct"/>
            <w:vAlign w:val="center"/>
          </w:tcPr>
          <w:p w14:paraId="51F0E1BC">
            <w:pPr>
              <w:pStyle w:val="13"/>
              <w:numPr>
                <w:ilvl w:val="0"/>
                <w:numId w:val="16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szCs w:val="32"/>
                <w:highlight w:val="none"/>
              </w:rPr>
            </w:pPr>
          </w:p>
        </w:tc>
        <w:tc>
          <w:tcPr>
            <w:tcW w:w="1445" w:type="pct"/>
            <w:vAlign w:val="center"/>
          </w:tcPr>
          <w:p w14:paraId="2110B9EC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项目实施进度安排</w:t>
            </w:r>
          </w:p>
        </w:tc>
        <w:tc>
          <w:tcPr>
            <w:tcW w:w="3123" w:type="pct"/>
            <w:vAlign w:val="center"/>
          </w:tcPr>
          <w:p w14:paraId="19B9574C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提供实施进度计划和控制措施，确保按期完成</w:t>
            </w:r>
          </w:p>
        </w:tc>
      </w:tr>
      <w:tr w14:paraId="15827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32" w:type="pct"/>
            <w:vAlign w:val="center"/>
          </w:tcPr>
          <w:p w14:paraId="7822DA57">
            <w:pPr>
              <w:pStyle w:val="13"/>
              <w:numPr>
                <w:ilvl w:val="0"/>
                <w:numId w:val="16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szCs w:val="32"/>
                <w:highlight w:val="none"/>
              </w:rPr>
            </w:pPr>
          </w:p>
        </w:tc>
        <w:tc>
          <w:tcPr>
            <w:tcW w:w="1445" w:type="pct"/>
            <w:vAlign w:val="center"/>
          </w:tcPr>
          <w:p w14:paraId="6C1F38F5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项目安装过程安排</w:t>
            </w:r>
          </w:p>
        </w:tc>
        <w:tc>
          <w:tcPr>
            <w:tcW w:w="3123" w:type="pct"/>
            <w:vAlign w:val="center"/>
          </w:tcPr>
          <w:p w14:paraId="04D90ADD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提供项目服务整体方案，含服务技术能力和服务质量及服务保证措施。</w:t>
            </w:r>
          </w:p>
        </w:tc>
      </w:tr>
      <w:tr w14:paraId="2BF5A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32" w:type="pct"/>
            <w:vAlign w:val="center"/>
          </w:tcPr>
          <w:p w14:paraId="4A1580B3">
            <w:pPr>
              <w:pStyle w:val="13"/>
              <w:numPr>
                <w:ilvl w:val="0"/>
                <w:numId w:val="16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szCs w:val="32"/>
                <w:highlight w:val="none"/>
              </w:rPr>
            </w:pPr>
          </w:p>
        </w:tc>
        <w:tc>
          <w:tcPr>
            <w:tcW w:w="1445" w:type="pct"/>
            <w:vAlign w:val="center"/>
          </w:tcPr>
          <w:p w14:paraId="35F72DC4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项目验收安排</w:t>
            </w:r>
          </w:p>
        </w:tc>
        <w:tc>
          <w:tcPr>
            <w:tcW w:w="3123" w:type="pct"/>
            <w:vAlign w:val="center"/>
          </w:tcPr>
          <w:p w14:paraId="66A390C4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提供项目测试和验收方案，验收后项目文档交付方案。</w:t>
            </w:r>
          </w:p>
        </w:tc>
      </w:tr>
      <w:tr w14:paraId="41B9C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32" w:type="pct"/>
            <w:vAlign w:val="center"/>
          </w:tcPr>
          <w:p w14:paraId="099C4E5F">
            <w:pPr>
              <w:pStyle w:val="13"/>
              <w:numPr>
                <w:ilvl w:val="0"/>
                <w:numId w:val="16"/>
              </w:numPr>
              <w:spacing w:line="360" w:lineRule="auto"/>
              <w:ind w:firstLineChars="0"/>
              <w:rPr>
                <w:rFonts w:ascii="宋体" w:hAnsi="宋体" w:eastAsia="宋体"/>
                <w:sz w:val="24"/>
                <w:szCs w:val="32"/>
                <w:highlight w:val="none"/>
              </w:rPr>
            </w:pPr>
          </w:p>
        </w:tc>
        <w:tc>
          <w:tcPr>
            <w:tcW w:w="1445" w:type="pct"/>
            <w:vAlign w:val="center"/>
          </w:tcPr>
          <w:p w14:paraId="4C775A5E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项目培训安排</w:t>
            </w:r>
          </w:p>
        </w:tc>
        <w:tc>
          <w:tcPr>
            <w:tcW w:w="3123" w:type="pct"/>
            <w:vAlign w:val="center"/>
          </w:tcPr>
          <w:p w14:paraId="19D2A968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提供完善培训方案。</w:t>
            </w:r>
          </w:p>
        </w:tc>
      </w:tr>
    </w:tbl>
    <w:p w14:paraId="0FCB78B3">
      <w:pPr>
        <w:pStyle w:val="2"/>
        <w:numPr>
          <w:ilvl w:val="0"/>
          <w:numId w:val="2"/>
        </w:numPr>
        <w:ind w:left="420" w:hanging="420"/>
        <w:rPr>
          <w:rFonts w:ascii="宋体" w:hAnsi="宋体" w:eastAsia="宋体"/>
          <w:highlight w:val="none"/>
        </w:rPr>
      </w:pPr>
      <w:r>
        <w:rPr>
          <w:rFonts w:hint="eastAsia" w:ascii="宋体" w:hAnsi="宋体" w:eastAsia="宋体"/>
          <w:highlight w:val="none"/>
        </w:rPr>
        <w:t>集成技术及实施</w:t>
      </w:r>
      <w:r>
        <w:rPr>
          <w:rFonts w:ascii="宋体" w:hAnsi="宋体" w:eastAsia="宋体"/>
          <w:highlight w:val="none"/>
        </w:rPr>
        <w:t>服务要求</w:t>
      </w:r>
    </w:p>
    <w:tbl>
      <w:tblPr>
        <w:tblStyle w:val="10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7450"/>
      </w:tblGrid>
      <w:tr w14:paraId="4AD39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2119E">
            <w:pPr>
              <w:snapToGrid w:val="0"/>
              <w:spacing w:line="360" w:lineRule="auto"/>
              <w:jc w:val="center"/>
              <w:rPr>
                <w:b/>
                <w:szCs w:val="21"/>
                <w:highlight w:val="none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序号</w:t>
            </w:r>
          </w:p>
        </w:tc>
        <w:tc>
          <w:tcPr>
            <w:tcW w:w="4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AA2C7">
            <w:pPr>
              <w:snapToGrid w:val="0"/>
              <w:spacing w:line="360" w:lineRule="auto"/>
              <w:jc w:val="center"/>
              <w:rPr>
                <w:b/>
                <w:szCs w:val="21"/>
                <w:highlight w:val="none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服务要求</w:t>
            </w:r>
          </w:p>
        </w:tc>
      </w:tr>
      <w:tr w14:paraId="04110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9B952">
            <w:pPr>
              <w:numPr>
                <w:ilvl w:val="0"/>
                <w:numId w:val="17"/>
              </w:numPr>
              <w:spacing w:line="360" w:lineRule="auto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4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7496C">
            <w:pPr>
              <w:spacing w:line="360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(一)供应商须在院方支付合同首款后的30个工作日内向院方提交采购清单中的物品。</w:t>
            </w:r>
          </w:p>
          <w:p w14:paraId="3258646A">
            <w:pPr>
              <w:spacing w:line="360" w:lineRule="auto"/>
              <w:rPr>
                <w:bCs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(二)交货日期以货物到达院方指定货运详细地址的日期为准。</w:t>
            </w:r>
          </w:p>
        </w:tc>
      </w:tr>
      <w:tr w14:paraId="1C024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F3C97">
            <w:pPr>
              <w:numPr>
                <w:ilvl w:val="0"/>
                <w:numId w:val="17"/>
              </w:numPr>
              <w:spacing w:line="360" w:lineRule="auto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4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42187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(一)供应商应按时将货物送至院方指定货运详细地址。</w:t>
            </w:r>
          </w:p>
          <w:p w14:paraId="48C72C7B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(二)交货完成的有效证明：供应商送货人，必须随货物提交交货签收单给院方收货人，交货签收单必须有院方、供应商两方的签字方有效。</w:t>
            </w:r>
          </w:p>
        </w:tc>
      </w:tr>
      <w:tr w14:paraId="15FBD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84882">
            <w:pPr>
              <w:numPr>
                <w:ilvl w:val="0"/>
                <w:numId w:val="17"/>
              </w:numPr>
              <w:spacing w:line="360" w:lineRule="auto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4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25CFF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(一)供应商负责合同内设备的安装调试。</w:t>
            </w:r>
          </w:p>
          <w:p w14:paraId="31567E33">
            <w:pPr>
              <w:spacing w:line="360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(二)供应商应按院方指定的安装日期、安装要求进行安装工作。</w:t>
            </w:r>
          </w:p>
          <w:p w14:paraId="5E344304">
            <w:pPr>
              <w:spacing w:line="360" w:lineRule="auto"/>
              <w:rPr>
                <w:b/>
                <w:bCs/>
                <w:highlight w:val="none"/>
              </w:rPr>
            </w:pPr>
            <w:r>
              <w:rPr>
                <w:rFonts w:hint="eastAsia"/>
                <w:highlight w:val="none"/>
              </w:rPr>
              <w:t>(三)供应商需根据院方的详细需求，提交项目产品的安装、调试及培训实施方案，方案得到院方确认后实施，保证系统按时、正常地投入运行。</w:t>
            </w:r>
          </w:p>
        </w:tc>
      </w:tr>
    </w:tbl>
    <w:p w14:paraId="7A862EA5">
      <w:pPr>
        <w:pStyle w:val="2"/>
        <w:numPr>
          <w:ilvl w:val="0"/>
          <w:numId w:val="2"/>
        </w:numPr>
        <w:ind w:left="420" w:hanging="420"/>
        <w:rPr>
          <w:rFonts w:ascii="宋体" w:hAnsi="宋体" w:eastAsia="宋体"/>
          <w:highlight w:val="none"/>
        </w:rPr>
      </w:pPr>
      <w:r>
        <w:rPr>
          <w:rFonts w:hint="eastAsia" w:ascii="宋体" w:hAnsi="宋体" w:eastAsia="宋体"/>
          <w:highlight w:val="none"/>
        </w:rPr>
        <w:t>保修要求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747"/>
        <w:gridCol w:w="5906"/>
      </w:tblGrid>
      <w:tr w14:paraId="1BDA9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510" w:type="pct"/>
            <w:vAlign w:val="center"/>
          </w:tcPr>
          <w:p w14:paraId="08B85DCA">
            <w:pPr>
              <w:snapToGrid w:val="0"/>
              <w:spacing w:line="360" w:lineRule="auto"/>
              <w:jc w:val="center"/>
              <w:rPr>
                <w:b/>
                <w:szCs w:val="21"/>
                <w:highlight w:val="none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序号</w:t>
            </w:r>
          </w:p>
        </w:tc>
        <w:tc>
          <w:tcPr>
            <w:tcW w:w="1025" w:type="pct"/>
            <w:vAlign w:val="center"/>
          </w:tcPr>
          <w:p w14:paraId="23F2CCCD">
            <w:pPr>
              <w:snapToGrid w:val="0"/>
              <w:spacing w:line="360" w:lineRule="auto"/>
              <w:jc w:val="center"/>
              <w:rPr>
                <w:b/>
                <w:szCs w:val="21"/>
                <w:highlight w:val="none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内容</w:t>
            </w:r>
          </w:p>
        </w:tc>
        <w:tc>
          <w:tcPr>
            <w:tcW w:w="3465" w:type="pct"/>
            <w:vAlign w:val="center"/>
          </w:tcPr>
          <w:p w14:paraId="34A793B7">
            <w:pPr>
              <w:snapToGrid w:val="0"/>
              <w:spacing w:line="360" w:lineRule="auto"/>
              <w:jc w:val="center"/>
              <w:rPr>
                <w:b/>
                <w:szCs w:val="21"/>
                <w:highlight w:val="none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服务要求标准</w:t>
            </w:r>
          </w:p>
        </w:tc>
      </w:tr>
      <w:tr w14:paraId="252C4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510" w:type="pct"/>
            <w:vAlign w:val="center"/>
          </w:tcPr>
          <w:p w14:paraId="2B38A281">
            <w:pPr>
              <w:numPr>
                <w:ilvl w:val="0"/>
                <w:numId w:val="18"/>
              </w:numPr>
              <w:spacing w:line="360" w:lineRule="auto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025" w:type="pct"/>
            <w:vAlign w:val="center"/>
          </w:tcPr>
          <w:p w14:paraId="36BEEB2E">
            <w:pPr>
              <w:spacing w:line="360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供应商售后服务承诺函</w:t>
            </w:r>
          </w:p>
        </w:tc>
        <w:tc>
          <w:tcPr>
            <w:tcW w:w="3465" w:type="pct"/>
            <w:vAlign w:val="center"/>
          </w:tcPr>
          <w:p w14:paraId="55512604">
            <w:pPr>
              <w:spacing w:line="360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供应商需承诺提供原厂商保修服务。</w:t>
            </w:r>
          </w:p>
        </w:tc>
      </w:tr>
      <w:tr w14:paraId="43216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510" w:type="pct"/>
            <w:vAlign w:val="center"/>
          </w:tcPr>
          <w:p w14:paraId="2F9D973A">
            <w:pPr>
              <w:numPr>
                <w:ilvl w:val="0"/>
                <w:numId w:val="18"/>
              </w:numPr>
              <w:spacing w:line="360" w:lineRule="auto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025" w:type="pct"/>
            <w:vAlign w:val="center"/>
          </w:tcPr>
          <w:p w14:paraId="4BBF5E44">
            <w:pPr>
              <w:spacing w:line="360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供应商服务标准</w:t>
            </w:r>
          </w:p>
        </w:tc>
        <w:tc>
          <w:tcPr>
            <w:tcW w:w="3465" w:type="pct"/>
            <w:vAlign w:val="center"/>
          </w:tcPr>
          <w:p w14:paraId="764FBAB8">
            <w:pPr>
              <w:numPr>
                <w:ilvl w:val="0"/>
                <w:numId w:val="19"/>
              </w:numPr>
              <w:spacing w:line="360" w:lineRule="auto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7x24小时原厂技术支持热线及专属群。</w:t>
            </w:r>
          </w:p>
          <w:p w14:paraId="6BBB1B0A">
            <w:pPr>
              <w:numPr>
                <w:ilvl w:val="0"/>
                <w:numId w:val="19"/>
              </w:numPr>
              <w:spacing w:line="360" w:lineRule="auto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紧急故障15分钟响应，2小时内提出解决方案；一般故障30分钟响应，4小时内解决。</w:t>
            </w:r>
          </w:p>
          <w:p w14:paraId="04095056">
            <w:pPr>
              <w:numPr>
                <w:ilvl w:val="0"/>
                <w:numId w:val="19"/>
              </w:numPr>
              <w:spacing w:line="360" w:lineRule="auto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紧急故障报修后4小时内工程师到场，12小时内无法排除故障则提供同性能备用设备替换。</w:t>
            </w:r>
          </w:p>
          <w:p w14:paraId="07903A83">
            <w:pPr>
              <w:numPr>
                <w:ilvl w:val="0"/>
                <w:numId w:val="19"/>
              </w:numPr>
              <w:spacing w:line="360" w:lineRule="auto"/>
              <w:rPr>
                <w:rFonts w:hint="eastAsia"/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每次现场服务后3个工作日内提交《故障处理报告》。</w:t>
            </w:r>
          </w:p>
        </w:tc>
      </w:tr>
      <w:tr w14:paraId="2D288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510" w:type="pct"/>
            <w:vAlign w:val="center"/>
          </w:tcPr>
          <w:p w14:paraId="39AE719C">
            <w:pPr>
              <w:numPr>
                <w:ilvl w:val="0"/>
                <w:numId w:val="18"/>
              </w:numPr>
              <w:spacing w:line="360" w:lineRule="auto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025" w:type="pct"/>
            <w:vAlign w:val="center"/>
          </w:tcPr>
          <w:p w14:paraId="744939AF">
            <w:pPr>
              <w:spacing w:line="360" w:lineRule="auto"/>
              <w:rPr>
                <w:rFonts w:hint="eastAsia"/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定期深度巡检（每季度一次）</w:t>
            </w:r>
          </w:p>
        </w:tc>
        <w:tc>
          <w:tcPr>
            <w:tcW w:w="3465" w:type="pct"/>
            <w:vAlign w:val="center"/>
          </w:tcPr>
          <w:p w14:paraId="6F947B92">
            <w:pPr>
              <w:numPr>
                <w:ilvl w:val="0"/>
                <w:numId w:val="20"/>
              </w:numPr>
              <w:spacing w:line="360" w:lineRule="auto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检查硬件健康（S.M.A.R.T.、ECC错误、RoCE误码率）、系统日志、软件版本、安全基线、性能基线。</w:t>
            </w:r>
          </w:p>
          <w:p w14:paraId="3836E629">
            <w:pPr>
              <w:numPr>
                <w:ilvl w:val="0"/>
                <w:numId w:val="20"/>
              </w:numPr>
              <w:spacing w:line="360" w:lineRule="auto"/>
              <w:rPr>
                <w:rFonts w:hint="eastAsia"/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巡检后3个工作日内提交《深度巡检报告》（含异常项、风险等级、整改计划）。</w:t>
            </w:r>
          </w:p>
        </w:tc>
      </w:tr>
      <w:tr w14:paraId="6C9DF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510" w:type="pct"/>
            <w:vAlign w:val="center"/>
          </w:tcPr>
          <w:p w14:paraId="732B4C77">
            <w:pPr>
              <w:numPr>
                <w:ilvl w:val="0"/>
                <w:numId w:val="18"/>
              </w:numPr>
              <w:spacing w:line="360" w:lineRule="auto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025" w:type="pct"/>
            <w:vAlign w:val="center"/>
          </w:tcPr>
          <w:p w14:paraId="5F217148">
            <w:pPr>
              <w:spacing w:line="360" w:lineRule="auto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升级与安全</w:t>
            </w:r>
          </w:p>
        </w:tc>
        <w:tc>
          <w:tcPr>
            <w:tcW w:w="3465" w:type="pct"/>
            <w:vAlign w:val="center"/>
          </w:tcPr>
          <w:p w14:paraId="53E7DDBB">
            <w:pPr>
              <w:numPr>
                <w:ilvl w:val="0"/>
                <w:numId w:val="21"/>
              </w:numPr>
              <w:spacing w:line="360" w:lineRule="auto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模型版本迭代：支持灰度发布（10%到50%到100%）及秒级回滚。</w:t>
            </w:r>
          </w:p>
          <w:p w14:paraId="01323597">
            <w:pPr>
              <w:numPr>
                <w:ilvl w:val="0"/>
                <w:numId w:val="21"/>
              </w:numPr>
              <w:spacing w:line="360" w:lineRule="auto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集群组件升级：每季度评估驱动、容器运行时、K8s等安全更新，提供兼容性测试及滚动升级方案，业务不中断。</w:t>
            </w:r>
          </w:p>
          <w:p w14:paraId="7E3E8F7C">
            <w:pPr>
              <w:numPr>
                <w:ilvl w:val="0"/>
                <w:numId w:val="21"/>
              </w:numPr>
              <w:spacing w:line="360" w:lineRule="auto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安全加固（等保三级）：K8s RBAC、NetworkPolicy、主机防火墙；审计日志保留大于等于180天；API传输TLS 1.2+，数据盘加密。</w:t>
            </w:r>
          </w:p>
          <w:p w14:paraId="281C9C1E">
            <w:pPr>
              <w:numPr>
                <w:ilvl w:val="0"/>
                <w:numId w:val="21"/>
              </w:numPr>
              <w:spacing w:line="360" w:lineRule="auto"/>
              <w:rPr>
                <w:rFonts w:hint="eastAsia"/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每季度漏洞扫描，高危7天内修复，中危30天内修复。</w:t>
            </w:r>
          </w:p>
        </w:tc>
      </w:tr>
      <w:tr w14:paraId="5D253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510" w:type="pct"/>
            <w:vAlign w:val="center"/>
          </w:tcPr>
          <w:p w14:paraId="02B034CA">
            <w:pPr>
              <w:numPr>
                <w:ilvl w:val="0"/>
                <w:numId w:val="18"/>
              </w:numPr>
              <w:spacing w:line="360" w:lineRule="auto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025" w:type="pct"/>
            <w:vAlign w:val="center"/>
          </w:tcPr>
          <w:p w14:paraId="3CE5CE53">
            <w:pPr>
              <w:spacing w:line="360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培训标准</w:t>
            </w:r>
          </w:p>
        </w:tc>
        <w:tc>
          <w:tcPr>
            <w:tcW w:w="3465" w:type="pct"/>
            <w:vAlign w:val="center"/>
          </w:tcPr>
          <w:p w14:paraId="3A11206D">
            <w:pPr>
              <w:spacing w:line="360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供应商需承诺提供不少于1天不少于3人的工程师安装配置等实操培训课程，场地、交通等与培训相关的费用均由供应商承担。</w:t>
            </w:r>
          </w:p>
          <w:p w14:paraId="08F59AAF">
            <w:pPr>
              <w:spacing w:line="360" w:lineRule="auto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培训内容：硬件维护、技术体系专有运维（npu-smi、驱动升级、算子调优）、集群运维（K8s命令、监控、故障排查）、模型部署。</w:t>
            </w:r>
          </w:p>
          <w:p w14:paraId="57290EAF">
            <w:pPr>
              <w:spacing w:line="360" w:lineRule="auto"/>
              <w:rPr>
                <w:rFonts w:hint="eastAsia"/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讲师须具备原厂认证讲师资质，提供课件、实验手册。</w:t>
            </w:r>
          </w:p>
        </w:tc>
      </w:tr>
    </w:tbl>
    <w:p w14:paraId="62B460A5">
      <w:pPr>
        <w:pStyle w:val="2"/>
        <w:numPr>
          <w:ilvl w:val="0"/>
          <w:numId w:val="2"/>
        </w:numPr>
        <w:ind w:left="420" w:hanging="420"/>
        <w:rPr>
          <w:rFonts w:ascii="宋体" w:hAnsi="宋体" w:eastAsia="宋体"/>
          <w:highlight w:val="none"/>
        </w:rPr>
      </w:pPr>
      <w:r>
        <w:rPr>
          <w:rFonts w:hint="eastAsia" w:ascii="宋体" w:hAnsi="宋体" w:eastAsia="宋体"/>
          <w:highlight w:val="none"/>
        </w:rPr>
        <w:t>其他要求</w:t>
      </w:r>
    </w:p>
    <w:p w14:paraId="471A214B">
      <w:pPr>
        <w:numPr>
          <w:ilvl w:val="0"/>
          <w:numId w:val="22"/>
        </w:numPr>
        <w:spacing w:before="100" w:beforeAutospacing="1" w:line="360" w:lineRule="auto"/>
        <w:rPr>
          <w:bCs/>
          <w:highlight w:val="none"/>
        </w:rPr>
      </w:pPr>
      <w:r>
        <w:rPr>
          <w:bCs/>
          <w:highlight w:val="none"/>
        </w:rPr>
        <w:t>供应商应提交服务承诺函（格式自拟），虚假响应，院方追究相应责；</w:t>
      </w:r>
    </w:p>
    <w:p w14:paraId="507C0ADE">
      <w:pPr>
        <w:numPr>
          <w:ilvl w:val="0"/>
          <w:numId w:val="22"/>
        </w:numPr>
        <w:spacing w:before="100" w:beforeAutospacing="1" w:line="360" w:lineRule="auto"/>
        <w:rPr>
          <w:bCs/>
          <w:highlight w:val="none"/>
        </w:rPr>
      </w:pPr>
      <w:r>
        <w:rPr>
          <w:bCs/>
          <w:highlight w:val="none"/>
        </w:rPr>
        <w:t xml:space="preserve">供应商未按约定要求完成服务时，直接从应付费用中扣除相应款项； </w:t>
      </w:r>
    </w:p>
    <w:p w14:paraId="41B9D192">
      <w:pPr>
        <w:numPr>
          <w:ilvl w:val="0"/>
          <w:numId w:val="22"/>
        </w:numPr>
        <w:spacing w:before="100" w:beforeAutospacing="1" w:line="360" w:lineRule="auto"/>
        <w:rPr>
          <w:bCs/>
          <w:highlight w:val="none"/>
        </w:rPr>
      </w:pPr>
      <w:r>
        <w:rPr>
          <w:bCs/>
          <w:highlight w:val="none"/>
        </w:rPr>
        <w:t>人员要求：拟派项目团队要求不少于3人，且具有相关专业本科或以上学历，需提供近3个月的社保证明或劳动合同复印件。（至少一人从业5年以上项目管理经验、至少一人从业2年级以上系统集成实施经验、至少一人从业2年及以上大模型应用开发/运维经验，所有人员均须通过院方组织的面试，面试合格后方可入场开展工作）</w:t>
      </w:r>
    </w:p>
    <w:p w14:paraId="7A583A8C">
      <w:pPr>
        <w:spacing w:before="100" w:beforeAutospacing="1"/>
        <w:rPr>
          <w:rFonts w:hint="eastAsia"/>
          <w:b/>
          <w:highlight w:val="none"/>
        </w:rPr>
      </w:pPr>
    </w:p>
    <w:bookmarkEnd w:id="0"/>
    <w:sectPr>
      <w:footerReference r:id="rId5" w:type="default"/>
      <w:pgSz w:w="11900" w:h="16840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16074722"/>
    </w:sdtPr>
    <w:sdtContent>
      <w:p w14:paraId="56D181B2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4475C7"/>
    <w:multiLevelType w:val="singleLevel"/>
    <w:tmpl w:val="9D4475C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9F81A041"/>
    <w:multiLevelType w:val="singleLevel"/>
    <w:tmpl w:val="9F81A04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A61A27D4"/>
    <w:multiLevelType w:val="singleLevel"/>
    <w:tmpl w:val="A61A27D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D172027B"/>
    <w:multiLevelType w:val="singleLevel"/>
    <w:tmpl w:val="D172027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F61B3BE2"/>
    <w:multiLevelType w:val="singleLevel"/>
    <w:tmpl w:val="F61B3BE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04820471"/>
    <w:multiLevelType w:val="singleLevel"/>
    <w:tmpl w:val="0482047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088FA19D"/>
    <w:multiLevelType w:val="singleLevel"/>
    <w:tmpl w:val="088FA19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0E8E02D5"/>
    <w:multiLevelType w:val="multilevel"/>
    <w:tmpl w:val="0E8E02D5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186C598"/>
    <w:multiLevelType w:val="singleLevel"/>
    <w:tmpl w:val="2186C59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28685416"/>
    <w:multiLevelType w:val="singleLevel"/>
    <w:tmpl w:val="2868541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29015205"/>
    <w:multiLevelType w:val="multilevel"/>
    <w:tmpl w:val="29015205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lvlText w:val="4.%2"/>
      <w:lvlJc w:val="left"/>
      <w:pPr>
        <w:ind w:left="576" w:hanging="576"/>
      </w:pPr>
      <w:rPr>
        <w:rFonts w:hint="eastAsia"/>
      </w:rPr>
    </w:lvl>
    <w:lvl w:ilvl="2" w:tentative="0">
      <w:start w:val="1"/>
      <w:numFmt w:val="decimal"/>
      <w:lvlText w:val="6.2.%3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lvlText w:val="5.1.1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5.1.1.1.%5"/>
      <w:lvlJc w:val="left"/>
      <w:pPr>
        <w:ind w:left="2142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11">
    <w:nsid w:val="32D8524C"/>
    <w:multiLevelType w:val="multilevel"/>
    <w:tmpl w:val="32D8524C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68540B2"/>
    <w:multiLevelType w:val="multilevel"/>
    <w:tmpl w:val="368540B2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3">
    <w:nsid w:val="3B36E11A"/>
    <w:multiLevelType w:val="singleLevel"/>
    <w:tmpl w:val="3B36E11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4">
    <w:nsid w:val="3F6D009D"/>
    <w:multiLevelType w:val="multilevel"/>
    <w:tmpl w:val="3F6D009D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20EB99D"/>
    <w:multiLevelType w:val="singleLevel"/>
    <w:tmpl w:val="420EB99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6">
    <w:nsid w:val="424A4138"/>
    <w:multiLevelType w:val="multilevel"/>
    <w:tmpl w:val="424A4138"/>
    <w:lvl w:ilvl="0" w:tentative="0">
      <w:start w:val="1"/>
      <w:numFmt w:val="chineseCountingThousand"/>
      <w:lvlText w:val="%1.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57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17">
    <w:nsid w:val="4E409F63"/>
    <w:multiLevelType w:val="singleLevel"/>
    <w:tmpl w:val="4E409F6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8">
    <w:nsid w:val="52B67AFD"/>
    <w:multiLevelType w:val="singleLevel"/>
    <w:tmpl w:val="52B67AF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9">
    <w:nsid w:val="52F37974"/>
    <w:multiLevelType w:val="multilevel"/>
    <w:tmpl w:val="52F37974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0">
    <w:nsid w:val="5386AD62"/>
    <w:multiLevelType w:val="singleLevel"/>
    <w:tmpl w:val="5386AD6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1">
    <w:nsid w:val="56401E27"/>
    <w:multiLevelType w:val="multilevel"/>
    <w:tmpl w:val="56401E2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0"/>
  </w:num>
  <w:num w:numId="2">
    <w:abstractNumId w:val="16"/>
  </w:num>
  <w:num w:numId="3">
    <w:abstractNumId w:val="19"/>
  </w:num>
  <w:num w:numId="4">
    <w:abstractNumId w:val="14"/>
  </w:num>
  <w:num w:numId="5">
    <w:abstractNumId w:val="11"/>
  </w:num>
  <w:num w:numId="6">
    <w:abstractNumId w:val="4"/>
  </w:num>
  <w:num w:numId="7">
    <w:abstractNumId w:val="13"/>
  </w:num>
  <w:num w:numId="8">
    <w:abstractNumId w:val="3"/>
  </w:num>
  <w:num w:numId="9">
    <w:abstractNumId w:val="1"/>
  </w:num>
  <w:num w:numId="10">
    <w:abstractNumId w:val="2"/>
  </w:num>
  <w:num w:numId="11">
    <w:abstractNumId w:val="6"/>
  </w:num>
  <w:num w:numId="12">
    <w:abstractNumId w:val="20"/>
  </w:num>
  <w:num w:numId="13">
    <w:abstractNumId w:val="0"/>
  </w:num>
  <w:num w:numId="14">
    <w:abstractNumId w:val="5"/>
  </w:num>
  <w:num w:numId="15">
    <w:abstractNumId w:val="17"/>
  </w:num>
  <w:num w:numId="16">
    <w:abstractNumId w:val="21"/>
  </w:num>
  <w:num w:numId="17">
    <w:abstractNumId w:val="12"/>
  </w:num>
  <w:num w:numId="18">
    <w:abstractNumId w:val="7"/>
  </w:num>
  <w:num w:numId="19">
    <w:abstractNumId w:val="9"/>
  </w:num>
  <w:num w:numId="20">
    <w:abstractNumId w:val="15"/>
  </w:num>
  <w:num w:numId="21">
    <w:abstractNumId w:val="18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documentProtection w:enforcement="0"/>
  <w:defaultTabStop w:val="420"/>
  <w:drawingGridHorizontalSpacing w:val="2"/>
  <w:drawingGridVerticalSpacing w:val="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YwY2UxNjVlNGJkMGIzYjJlY2FlN2ZmNGU5ZWU1ZjQifQ=="/>
  </w:docVars>
  <w:rsids>
    <w:rsidRoot w:val="006E4950"/>
    <w:rsid w:val="00001A30"/>
    <w:rsid w:val="00005886"/>
    <w:rsid w:val="00007C87"/>
    <w:rsid w:val="00016D56"/>
    <w:rsid w:val="00017029"/>
    <w:rsid w:val="00022B8B"/>
    <w:rsid w:val="00030D5D"/>
    <w:rsid w:val="000365D6"/>
    <w:rsid w:val="00036922"/>
    <w:rsid w:val="00037E53"/>
    <w:rsid w:val="00040B34"/>
    <w:rsid w:val="00042394"/>
    <w:rsid w:val="00042EF5"/>
    <w:rsid w:val="00043BB0"/>
    <w:rsid w:val="00044B8F"/>
    <w:rsid w:val="0004588D"/>
    <w:rsid w:val="00051148"/>
    <w:rsid w:val="00055B6A"/>
    <w:rsid w:val="0005653A"/>
    <w:rsid w:val="000567A1"/>
    <w:rsid w:val="00056CC4"/>
    <w:rsid w:val="000603E7"/>
    <w:rsid w:val="00066330"/>
    <w:rsid w:val="000704DD"/>
    <w:rsid w:val="00070968"/>
    <w:rsid w:val="000A004F"/>
    <w:rsid w:val="000A14B0"/>
    <w:rsid w:val="000A227B"/>
    <w:rsid w:val="000A3B5C"/>
    <w:rsid w:val="000A3BF0"/>
    <w:rsid w:val="000A7314"/>
    <w:rsid w:val="000B2261"/>
    <w:rsid w:val="000B2D62"/>
    <w:rsid w:val="000B6CEF"/>
    <w:rsid w:val="000C24E2"/>
    <w:rsid w:val="000C3621"/>
    <w:rsid w:val="000C43A8"/>
    <w:rsid w:val="000C67D4"/>
    <w:rsid w:val="000D03B4"/>
    <w:rsid w:val="000D0566"/>
    <w:rsid w:val="000D3B6D"/>
    <w:rsid w:val="000E1F56"/>
    <w:rsid w:val="000E5DAC"/>
    <w:rsid w:val="000E69C5"/>
    <w:rsid w:val="000F03DE"/>
    <w:rsid w:val="000F34A9"/>
    <w:rsid w:val="000F60DE"/>
    <w:rsid w:val="00105583"/>
    <w:rsid w:val="00105658"/>
    <w:rsid w:val="00111329"/>
    <w:rsid w:val="001129C5"/>
    <w:rsid w:val="00112ACC"/>
    <w:rsid w:val="0011421B"/>
    <w:rsid w:val="001221F0"/>
    <w:rsid w:val="001226F9"/>
    <w:rsid w:val="00126068"/>
    <w:rsid w:val="00131C75"/>
    <w:rsid w:val="00135636"/>
    <w:rsid w:val="0013754E"/>
    <w:rsid w:val="00141317"/>
    <w:rsid w:val="00141494"/>
    <w:rsid w:val="0014337F"/>
    <w:rsid w:val="001454DA"/>
    <w:rsid w:val="00152A24"/>
    <w:rsid w:val="00152FEC"/>
    <w:rsid w:val="00153454"/>
    <w:rsid w:val="00154A69"/>
    <w:rsid w:val="00155D04"/>
    <w:rsid w:val="00157E34"/>
    <w:rsid w:val="001607D9"/>
    <w:rsid w:val="0016421E"/>
    <w:rsid w:val="0016437A"/>
    <w:rsid w:val="00165C73"/>
    <w:rsid w:val="00166044"/>
    <w:rsid w:val="00167AB9"/>
    <w:rsid w:val="00180079"/>
    <w:rsid w:val="001831C5"/>
    <w:rsid w:val="00183F81"/>
    <w:rsid w:val="00185839"/>
    <w:rsid w:val="00186985"/>
    <w:rsid w:val="00187716"/>
    <w:rsid w:val="0019023B"/>
    <w:rsid w:val="00192D4B"/>
    <w:rsid w:val="001951CA"/>
    <w:rsid w:val="00196DD4"/>
    <w:rsid w:val="00196DF2"/>
    <w:rsid w:val="00197826"/>
    <w:rsid w:val="001A08EA"/>
    <w:rsid w:val="001A49F0"/>
    <w:rsid w:val="001A6DBE"/>
    <w:rsid w:val="001B21D3"/>
    <w:rsid w:val="001B4B48"/>
    <w:rsid w:val="001C05BC"/>
    <w:rsid w:val="001C7DD6"/>
    <w:rsid w:val="001D1518"/>
    <w:rsid w:val="001D5E5C"/>
    <w:rsid w:val="001D615E"/>
    <w:rsid w:val="001E39E3"/>
    <w:rsid w:val="001E6558"/>
    <w:rsid w:val="001E686A"/>
    <w:rsid w:val="001F0D98"/>
    <w:rsid w:val="001F4528"/>
    <w:rsid w:val="001F6D2F"/>
    <w:rsid w:val="002011C8"/>
    <w:rsid w:val="0020218F"/>
    <w:rsid w:val="00205DC1"/>
    <w:rsid w:val="002069C4"/>
    <w:rsid w:val="00206AEE"/>
    <w:rsid w:val="00211A01"/>
    <w:rsid w:val="00213943"/>
    <w:rsid w:val="00217481"/>
    <w:rsid w:val="00217D46"/>
    <w:rsid w:val="00220F05"/>
    <w:rsid w:val="002218DF"/>
    <w:rsid w:val="002222DE"/>
    <w:rsid w:val="00227273"/>
    <w:rsid w:val="002304BC"/>
    <w:rsid w:val="0023074A"/>
    <w:rsid w:val="00230E1E"/>
    <w:rsid w:val="00232958"/>
    <w:rsid w:val="00237B34"/>
    <w:rsid w:val="00244BE2"/>
    <w:rsid w:val="00246633"/>
    <w:rsid w:val="00261F0C"/>
    <w:rsid w:val="00263A4F"/>
    <w:rsid w:val="002656B4"/>
    <w:rsid w:val="00267E2B"/>
    <w:rsid w:val="002803DC"/>
    <w:rsid w:val="00282AF9"/>
    <w:rsid w:val="002874D2"/>
    <w:rsid w:val="00290C49"/>
    <w:rsid w:val="00292DBA"/>
    <w:rsid w:val="0029415E"/>
    <w:rsid w:val="00294D0D"/>
    <w:rsid w:val="00295B58"/>
    <w:rsid w:val="00296A95"/>
    <w:rsid w:val="002A0851"/>
    <w:rsid w:val="002A25EC"/>
    <w:rsid w:val="002A26F2"/>
    <w:rsid w:val="002A31E8"/>
    <w:rsid w:val="002A3892"/>
    <w:rsid w:val="002A4659"/>
    <w:rsid w:val="002B53AA"/>
    <w:rsid w:val="002B60A8"/>
    <w:rsid w:val="002B6A65"/>
    <w:rsid w:val="002B7BD2"/>
    <w:rsid w:val="002C4702"/>
    <w:rsid w:val="002D11F9"/>
    <w:rsid w:val="002D16C4"/>
    <w:rsid w:val="002D3930"/>
    <w:rsid w:val="002D4587"/>
    <w:rsid w:val="002D57A8"/>
    <w:rsid w:val="002D6E4A"/>
    <w:rsid w:val="002E151E"/>
    <w:rsid w:val="002E40F6"/>
    <w:rsid w:val="002E5F7E"/>
    <w:rsid w:val="002F1C39"/>
    <w:rsid w:val="002F4B0E"/>
    <w:rsid w:val="002F5DA0"/>
    <w:rsid w:val="002F5FA3"/>
    <w:rsid w:val="002F7BBE"/>
    <w:rsid w:val="002F7D21"/>
    <w:rsid w:val="002F7E42"/>
    <w:rsid w:val="0030454C"/>
    <w:rsid w:val="00304DAC"/>
    <w:rsid w:val="00311662"/>
    <w:rsid w:val="00312590"/>
    <w:rsid w:val="003170CC"/>
    <w:rsid w:val="003217AA"/>
    <w:rsid w:val="00324C95"/>
    <w:rsid w:val="00324F64"/>
    <w:rsid w:val="00327136"/>
    <w:rsid w:val="00332847"/>
    <w:rsid w:val="00337BD7"/>
    <w:rsid w:val="003412CF"/>
    <w:rsid w:val="00341446"/>
    <w:rsid w:val="00342D5A"/>
    <w:rsid w:val="003446F9"/>
    <w:rsid w:val="00346C90"/>
    <w:rsid w:val="0035258F"/>
    <w:rsid w:val="00355E20"/>
    <w:rsid w:val="0035710F"/>
    <w:rsid w:val="00360447"/>
    <w:rsid w:val="003631D6"/>
    <w:rsid w:val="00372D83"/>
    <w:rsid w:val="0037742E"/>
    <w:rsid w:val="003809DD"/>
    <w:rsid w:val="00386869"/>
    <w:rsid w:val="0038743E"/>
    <w:rsid w:val="00392A2D"/>
    <w:rsid w:val="00393CDC"/>
    <w:rsid w:val="00396214"/>
    <w:rsid w:val="00396B38"/>
    <w:rsid w:val="00397477"/>
    <w:rsid w:val="003A2C4F"/>
    <w:rsid w:val="003A3F68"/>
    <w:rsid w:val="003B63D5"/>
    <w:rsid w:val="003B6534"/>
    <w:rsid w:val="003C34F6"/>
    <w:rsid w:val="003C534E"/>
    <w:rsid w:val="003C618A"/>
    <w:rsid w:val="003C7399"/>
    <w:rsid w:val="003D3F73"/>
    <w:rsid w:val="003D5589"/>
    <w:rsid w:val="003D6376"/>
    <w:rsid w:val="003D7ECD"/>
    <w:rsid w:val="003E5E22"/>
    <w:rsid w:val="003E61A3"/>
    <w:rsid w:val="003E7041"/>
    <w:rsid w:val="003F01CF"/>
    <w:rsid w:val="003F2EEF"/>
    <w:rsid w:val="003F6240"/>
    <w:rsid w:val="004006A7"/>
    <w:rsid w:val="004052C2"/>
    <w:rsid w:val="0040587C"/>
    <w:rsid w:val="00406026"/>
    <w:rsid w:val="00410784"/>
    <w:rsid w:val="004129E7"/>
    <w:rsid w:val="00417BCD"/>
    <w:rsid w:val="0042331E"/>
    <w:rsid w:val="00426CC0"/>
    <w:rsid w:val="00426D96"/>
    <w:rsid w:val="00430D33"/>
    <w:rsid w:val="004318FD"/>
    <w:rsid w:val="00431B5A"/>
    <w:rsid w:val="00435D70"/>
    <w:rsid w:val="004362A7"/>
    <w:rsid w:val="0044120A"/>
    <w:rsid w:val="00441AA5"/>
    <w:rsid w:val="00443EFA"/>
    <w:rsid w:val="00444E72"/>
    <w:rsid w:val="00451877"/>
    <w:rsid w:val="004567DD"/>
    <w:rsid w:val="00461DF7"/>
    <w:rsid w:val="00462217"/>
    <w:rsid w:val="004628CC"/>
    <w:rsid w:val="00467D2D"/>
    <w:rsid w:val="00473A06"/>
    <w:rsid w:val="00476D9C"/>
    <w:rsid w:val="00476DFF"/>
    <w:rsid w:val="00480EB1"/>
    <w:rsid w:val="00483888"/>
    <w:rsid w:val="00486903"/>
    <w:rsid w:val="004A12C6"/>
    <w:rsid w:val="004A6346"/>
    <w:rsid w:val="004B1680"/>
    <w:rsid w:val="004B18B3"/>
    <w:rsid w:val="004B679E"/>
    <w:rsid w:val="004B7961"/>
    <w:rsid w:val="004C06EA"/>
    <w:rsid w:val="004C0E8D"/>
    <w:rsid w:val="004D1E2A"/>
    <w:rsid w:val="004D4C2C"/>
    <w:rsid w:val="004D4F5A"/>
    <w:rsid w:val="004D7B3A"/>
    <w:rsid w:val="004E0C59"/>
    <w:rsid w:val="004E11B1"/>
    <w:rsid w:val="004E4018"/>
    <w:rsid w:val="004E5E02"/>
    <w:rsid w:val="004F7EBD"/>
    <w:rsid w:val="00501BB0"/>
    <w:rsid w:val="0050767B"/>
    <w:rsid w:val="00511771"/>
    <w:rsid w:val="00513F2D"/>
    <w:rsid w:val="005274B3"/>
    <w:rsid w:val="0052770E"/>
    <w:rsid w:val="005335B4"/>
    <w:rsid w:val="00537313"/>
    <w:rsid w:val="005420CF"/>
    <w:rsid w:val="005434EA"/>
    <w:rsid w:val="00544F95"/>
    <w:rsid w:val="00545C9B"/>
    <w:rsid w:val="0055205A"/>
    <w:rsid w:val="00555D82"/>
    <w:rsid w:val="005567B2"/>
    <w:rsid w:val="00561157"/>
    <w:rsid w:val="00561390"/>
    <w:rsid w:val="00563992"/>
    <w:rsid w:val="00572E86"/>
    <w:rsid w:val="005809BE"/>
    <w:rsid w:val="00582CB9"/>
    <w:rsid w:val="00583E8C"/>
    <w:rsid w:val="00586DF6"/>
    <w:rsid w:val="005900D5"/>
    <w:rsid w:val="00592BD1"/>
    <w:rsid w:val="00593912"/>
    <w:rsid w:val="0059484A"/>
    <w:rsid w:val="005950B6"/>
    <w:rsid w:val="005A378B"/>
    <w:rsid w:val="005B089F"/>
    <w:rsid w:val="005B1AAA"/>
    <w:rsid w:val="005B1F37"/>
    <w:rsid w:val="005B278A"/>
    <w:rsid w:val="005B5546"/>
    <w:rsid w:val="005B7342"/>
    <w:rsid w:val="005B7869"/>
    <w:rsid w:val="005C0731"/>
    <w:rsid w:val="005C28BE"/>
    <w:rsid w:val="005C5AC5"/>
    <w:rsid w:val="005C6922"/>
    <w:rsid w:val="005C7A27"/>
    <w:rsid w:val="005D0ACB"/>
    <w:rsid w:val="005D2C44"/>
    <w:rsid w:val="005D3C40"/>
    <w:rsid w:val="005D77A8"/>
    <w:rsid w:val="005E2054"/>
    <w:rsid w:val="005E2917"/>
    <w:rsid w:val="005E2A87"/>
    <w:rsid w:val="005E47DB"/>
    <w:rsid w:val="005E7481"/>
    <w:rsid w:val="006017C3"/>
    <w:rsid w:val="006029D0"/>
    <w:rsid w:val="006123A3"/>
    <w:rsid w:val="00613EDD"/>
    <w:rsid w:val="00614830"/>
    <w:rsid w:val="00615929"/>
    <w:rsid w:val="00615C42"/>
    <w:rsid w:val="00616E8A"/>
    <w:rsid w:val="006236FA"/>
    <w:rsid w:val="00623AA5"/>
    <w:rsid w:val="0062542D"/>
    <w:rsid w:val="0063247C"/>
    <w:rsid w:val="00633D8A"/>
    <w:rsid w:val="00634E9E"/>
    <w:rsid w:val="00637942"/>
    <w:rsid w:val="00642AC2"/>
    <w:rsid w:val="0065109F"/>
    <w:rsid w:val="00661757"/>
    <w:rsid w:val="0066482C"/>
    <w:rsid w:val="0066482F"/>
    <w:rsid w:val="0066563A"/>
    <w:rsid w:val="00665971"/>
    <w:rsid w:val="00665BF7"/>
    <w:rsid w:val="00672A83"/>
    <w:rsid w:val="00674DF9"/>
    <w:rsid w:val="00676E2F"/>
    <w:rsid w:val="00680A9E"/>
    <w:rsid w:val="0068112D"/>
    <w:rsid w:val="00683AA9"/>
    <w:rsid w:val="00684C2C"/>
    <w:rsid w:val="00685276"/>
    <w:rsid w:val="00686149"/>
    <w:rsid w:val="00691CB4"/>
    <w:rsid w:val="006940B3"/>
    <w:rsid w:val="00696A02"/>
    <w:rsid w:val="006A5EF4"/>
    <w:rsid w:val="006B1181"/>
    <w:rsid w:val="006B44A7"/>
    <w:rsid w:val="006B4794"/>
    <w:rsid w:val="006C50C1"/>
    <w:rsid w:val="006C5925"/>
    <w:rsid w:val="006C6E02"/>
    <w:rsid w:val="006D159E"/>
    <w:rsid w:val="006D21D2"/>
    <w:rsid w:val="006D3ED0"/>
    <w:rsid w:val="006D7C63"/>
    <w:rsid w:val="006E04F4"/>
    <w:rsid w:val="006E0B22"/>
    <w:rsid w:val="006E269B"/>
    <w:rsid w:val="006E46D8"/>
    <w:rsid w:val="006E4950"/>
    <w:rsid w:val="006E76CA"/>
    <w:rsid w:val="006F0857"/>
    <w:rsid w:val="006F2719"/>
    <w:rsid w:val="006F3D3D"/>
    <w:rsid w:val="006F3D85"/>
    <w:rsid w:val="0070298F"/>
    <w:rsid w:val="00712056"/>
    <w:rsid w:val="0071728F"/>
    <w:rsid w:val="0072127F"/>
    <w:rsid w:val="00724EC4"/>
    <w:rsid w:val="007257BE"/>
    <w:rsid w:val="00734498"/>
    <w:rsid w:val="007353C2"/>
    <w:rsid w:val="0073690F"/>
    <w:rsid w:val="00737980"/>
    <w:rsid w:val="0074731B"/>
    <w:rsid w:val="00757EF9"/>
    <w:rsid w:val="007608D7"/>
    <w:rsid w:val="00760A28"/>
    <w:rsid w:val="007627D3"/>
    <w:rsid w:val="00762EB2"/>
    <w:rsid w:val="00763846"/>
    <w:rsid w:val="007661CF"/>
    <w:rsid w:val="00766BF7"/>
    <w:rsid w:val="0077278E"/>
    <w:rsid w:val="007764A2"/>
    <w:rsid w:val="00776AEB"/>
    <w:rsid w:val="0078020F"/>
    <w:rsid w:val="0078413E"/>
    <w:rsid w:val="007847D2"/>
    <w:rsid w:val="00786F1C"/>
    <w:rsid w:val="00791242"/>
    <w:rsid w:val="007930A2"/>
    <w:rsid w:val="00794E43"/>
    <w:rsid w:val="0079798B"/>
    <w:rsid w:val="007A04E8"/>
    <w:rsid w:val="007A3578"/>
    <w:rsid w:val="007A6B5F"/>
    <w:rsid w:val="007B266A"/>
    <w:rsid w:val="007B50F3"/>
    <w:rsid w:val="007B7B06"/>
    <w:rsid w:val="007C6B33"/>
    <w:rsid w:val="007D5150"/>
    <w:rsid w:val="007E065A"/>
    <w:rsid w:val="007E6B60"/>
    <w:rsid w:val="007F1CB0"/>
    <w:rsid w:val="007F4A92"/>
    <w:rsid w:val="007F4EFD"/>
    <w:rsid w:val="007F50D4"/>
    <w:rsid w:val="007F77F3"/>
    <w:rsid w:val="00806617"/>
    <w:rsid w:val="00807136"/>
    <w:rsid w:val="00807200"/>
    <w:rsid w:val="00811A4B"/>
    <w:rsid w:val="00817080"/>
    <w:rsid w:val="00824E95"/>
    <w:rsid w:val="00834B4F"/>
    <w:rsid w:val="00834B91"/>
    <w:rsid w:val="008371A0"/>
    <w:rsid w:val="00843387"/>
    <w:rsid w:val="00845AAF"/>
    <w:rsid w:val="008501E7"/>
    <w:rsid w:val="00850F89"/>
    <w:rsid w:val="00854694"/>
    <w:rsid w:val="00857BB0"/>
    <w:rsid w:val="008649B7"/>
    <w:rsid w:val="0086615E"/>
    <w:rsid w:val="00873BA7"/>
    <w:rsid w:val="00874E09"/>
    <w:rsid w:val="00874E10"/>
    <w:rsid w:val="008758EF"/>
    <w:rsid w:val="008778FF"/>
    <w:rsid w:val="008827CA"/>
    <w:rsid w:val="00886F55"/>
    <w:rsid w:val="00894A1E"/>
    <w:rsid w:val="00894DC1"/>
    <w:rsid w:val="00896937"/>
    <w:rsid w:val="008A06ED"/>
    <w:rsid w:val="008A36E3"/>
    <w:rsid w:val="008B1D58"/>
    <w:rsid w:val="008B4281"/>
    <w:rsid w:val="008C1448"/>
    <w:rsid w:val="008C6E46"/>
    <w:rsid w:val="008D7831"/>
    <w:rsid w:val="008E10CE"/>
    <w:rsid w:val="008E4BB5"/>
    <w:rsid w:val="008E683F"/>
    <w:rsid w:val="008F6B22"/>
    <w:rsid w:val="0090052F"/>
    <w:rsid w:val="009025FD"/>
    <w:rsid w:val="00903AC4"/>
    <w:rsid w:val="009054B4"/>
    <w:rsid w:val="009070DE"/>
    <w:rsid w:val="0091441F"/>
    <w:rsid w:val="00916A2A"/>
    <w:rsid w:val="00917D0D"/>
    <w:rsid w:val="0092337C"/>
    <w:rsid w:val="00926018"/>
    <w:rsid w:val="009272CB"/>
    <w:rsid w:val="00927783"/>
    <w:rsid w:val="00927E7D"/>
    <w:rsid w:val="00931EA0"/>
    <w:rsid w:val="00933AA4"/>
    <w:rsid w:val="009359BD"/>
    <w:rsid w:val="0093694C"/>
    <w:rsid w:val="009412D8"/>
    <w:rsid w:val="009428FF"/>
    <w:rsid w:val="00953434"/>
    <w:rsid w:val="0095393A"/>
    <w:rsid w:val="009543E1"/>
    <w:rsid w:val="00954BED"/>
    <w:rsid w:val="00961355"/>
    <w:rsid w:val="009654A4"/>
    <w:rsid w:val="0097514C"/>
    <w:rsid w:val="00980865"/>
    <w:rsid w:val="00983CBF"/>
    <w:rsid w:val="00984306"/>
    <w:rsid w:val="00987211"/>
    <w:rsid w:val="00993A55"/>
    <w:rsid w:val="00996873"/>
    <w:rsid w:val="009978DE"/>
    <w:rsid w:val="009A1889"/>
    <w:rsid w:val="009A4FF1"/>
    <w:rsid w:val="009A5344"/>
    <w:rsid w:val="009B0D08"/>
    <w:rsid w:val="009B4E62"/>
    <w:rsid w:val="009B5B63"/>
    <w:rsid w:val="009B783E"/>
    <w:rsid w:val="009D2D49"/>
    <w:rsid w:val="009D3ADF"/>
    <w:rsid w:val="009D75D2"/>
    <w:rsid w:val="009E5326"/>
    <w:rsid w:val="009E65DE"/>
    <w:rsid w:val="009E7FF4"/>
    <w:rsid w:val="009F0401"/>
    <w:rsid w:val="009F0ACE"/>
    <w:rsid w:val="009F0C0E"/>
    <w:rsid w:val="009F1D41"/>
    <w:rsid w:val="009F5EEA"/>
    <w:rsid w:val="009F6A56"/>
    <w:rsid w:val="00A0435B"/>
    <w:rsid w:val="00A11A99"/>
    <w:rsid w:val="00A144A2"/>
    <w:rsid w:val="00A31306"/>
    <w:rsid w:val="00A32D0D"/>
    <w:rsid w:val="00A3577D"/>
    <w:rsid w:val="00A3599E"/>
    <w:rsid w:val="00A42C9C"/>
    <w:rsid w:val="00A4353A"/>
    <w:rsid w:val="00A46DA5"/>
    <w:rsid w:val="00A4757E"/>
    <w:rsid w:val="00A551EF"/>
    <w:rsid w:val="00A5565F"/>
    <w:rsid w:val="00A60D7C"/>
    <w:rsid w:val="00A639F5"/>
    <w:rsid w:val="00A6551B"/>
    <w:rsid w:val="00A65BD1"/>
    <w:rsid w:val="00A67701"/>
    <w:rsid w:val="00A721BC"/>
    <w:rsid w:val="00A75638"/>
    <w:rsid w:val="00A82F87"/>
    <w:rsid w:val="00A83DA2"/>
    <w:rsid w:val="00A85EF3"/>
    <w:rsid w:val="00A87AC0"/>
    <w:rsid w:val="00A9627B"/>
    <w:rsid w:val="00AA08CB"/>
    <w:rsid w:val="00AA2CEF"/>
    <w:rsid w:val="00AA33A1"/>
    <w:rsid w:val="00AA457F"/>
    <w:rsid w:val="00AA4C97"/>
    <w:rsid w:val="00AB07D9"/>
    <w:rsid w:val="00AB0814"/>
    <w:rsid w:val="00AB2712"/>
    <w:rsid w:val="00AB39F8"/>
    <w:rsid w:val="00AB54C1"/>
    <w:rsid w:val="00AB6BB2"/>
    <w:rsid w:val="00AB7D16"/>
    <w:rsid w:val="00AC0587"/>
    <w:rsid w:val="00AC15CF"/>
    <w:rsid w:val="00AC19C2"/>
    <w:rsid w:val="00AC4FCF"/>
    <w:rsid w:val="00AD72F7"/>
    <w:rsid w:val="00AE1AE1"/>
    <w:rsid w:val="00AE2311"/>
    <w:rsid w:val="00AE5844"/>
    <w:rsid w:val="00AE599E"/>
    <w:rsid w:val="00AE7031"/>
    <w:rsid w:val="00AF15AA"/>
    <w:rsid w:val="00AF375E"/>
    <w:rsid w:val="00B0524B"/>
    <w:rsid w:val="00B10EC8"/>
    <w:rsid w:val="00B12188"/>
    <w:rsid w:val="00B20A70"/>
    <w:rsid w:val="00B22752"/>
    <w:rsid w:val="00B30974"/>
    <w:rsid w:val="00B31BA7"/>
    <w:rsid w:val="00B34C55"/>
    <w:rsid w:val="00B40AD5"/>
    <w:rsid w:val="00B41B72"/>
    <w:rsid w:val="00B443AA"/>
    <w:rsid w:val="00B50F84"/>
    <w:rsid w:val="00B547E5"/>
    <w:rsid w:val="00B54E84"/>
    <w:rsid w:val="00B564DF"/>
    <w:rsid w:val="00B57DEA"/>
    <w:rsid w:val="00B60880"/>
    <w:rsid w:val="00B632E0"/>
    <w:rsid w:val="00B65BEB"/>
    <w:rsid w:val="00B66DF0"/>
    <w:rsid w:val="00B66EBD"/>
    <w:rsid w:val="00B6763F"/>
    <w:rsid w:val="00B71466"/>
    <w:rsid w:val="00B80445"/>
    <w:rsid w:val="00B85FA4"/>
    <w:rsid w:val="00B9397A"/>
    <w:rsid w:val="00B93CC0"/>
    <w:rsid w:val="00B94470"/>
    <w:rsid w:val="00B94DEE"/>
    <w:rsid w:val="00B952A1"/>
    <w:rsid w:val="00BA03B9"/>
    <w:rsid w:val="00BA0D2C"/>
    <w:rsid w:val="00BB5324"/>
    <w:rsid w:val="00BC23BD"/>
    <w:rsid w:val="00BC3427"/>
    <w:rsid w:val="00BC59A2"/>
    <w:rsid w:val="00BC7FA2"/>
    <w:rsid w:val="00BD5504"/>
    <w:rsid w:val="00BD5BBF"/>
    <w:rsid w:val="00BD651D"/>
    <w:rsid w:val="00BE11B0"/>
    <w:rsid w:val="00BE466D"/>
    <w:rsid w:val="00BE5BDB"/>
    <w:rsid w:val="00BF0F49"/>
    <w:rsid w:val="00BF6BFA"/>
    <w:rsid w:val="00C00EDA"/>
    <w:rsid w:val="00C0783E"/>
    <w:rsid w:val="00C10EEA"/>
    <w:rsid w:val="00C12BF3"/>
    <w:rsid w:val="00C16883"/>
    <w:rsid w:val="00C201B5"/>
    <w:rsid w:val="00C2753C"/>
    <w:rsid w:val="00C349C2"/>
    <w:rsid w:val="00C35C98"/>
    <w:rsid w:val="00C364F9"/>
    <w:rsid w:val="00C52846"/>
    <w:rsid w:val="00C578FD"/>
    <w:rsid w:val="00C61FBF"/>
    <w:rsid w:val="00C632B7"/>
    <w:rsid w:val="00C6366F"/>
    <w:rsid w:val="00C657FF"/>
    <w:rsid w:val="00C659B0"/>
    <w:rsid w:val="00C7032A"/>
    <w:rsid w:val="00C741AA"/>
    <w:rsid w:val="00C7515C"/>
    <w:rsid w:val="00C75829"/>
    <w:rsid w:val="00C85C09"/>
    <w:rsid w:val="00C87D0D"/>
    <w:rsid w:val="00C91A9A"/>
    <w:rsid w:val="00C93531"/>
    <w:rsid w:val="00C9355E"/>
    <w:rsid w:val="00C9396D"/>
    <w:rsid w:val="00C9433C"/>
    <w:rsid w:val="00C9512F"/>
    <w:rsid w:val="00C95288"/>
    <w:rsid w:val="00CA3950"/>
    <w:rsid w:val="00CA3E72"/>
    <w:rsid w:val="00CB2289"/>
    <w:rsid w:val="00CB78FD"/>
    <w:rsid w:val="00CC0A11"/>
    <w:rsid w:val="00CC4D65"/>
    <w:rsid w:val="00CC6086"/>
    <w:rsid w:val="00CD0A37"/>
    <w:rsid w:val="00CD2BCC"/>
    <w:rsid w:val="00CD3F1F"/>
    <w:rsid w:val="00CD6672"/>
    <w:rsid w:val="00CE07FB"/>
    <w:rsid w:val="00CE655F"/>
    <w:rsid w:val="00CF0AED"/>
    <w:rsid w:val="00CF5E9B"/>
    <w:rsid w:val="00CF7012"/>
    <w:rsid w:val="00CF761C"/>
    <w:rsid w:val="00D00B5C"/>
    <w:rsid w:val="00D00FC0"/>
    <w:rsid w:val="00D0126E"/>
    <w:rsid w:val="00D01D81"/>
    <w:rsid w:val="00D03305"/>
    <w:rsid w:val="00D061DD"/>
    <w:rsid w:val="00D06B4F"/>
    <w:rsid w:val="00D10486"/>
    <w:rsid w:val="00D10630"/>
    <w:rsid w:val="00D14599"/>
    <w:rsid w:val="00D15858"/>
    <w:rsid w:val="00D15868"/>
    <w:rsid w:val="00D22B27"/>
    <w:rsid w:val="00D23A31"/>
    <w:rsid w:val="00D243E7"/>
    <w:rsid w:val="00D27476"/>
    <w:rsid w:val="00D3142B"/>
    <w:rsid w:val="00D363FE"/>
    <w:rsid w:val="00D3644B"/>
    <w:rsid w:val="00D44E37"/>
    <w:rsid w:val="00D5366E"/>
    <w:rsid w:val="00D55177"/>
    <w:rsid w:val="00D619BF"/>
    <w:rsid w:val="00D77B24"/>
    <w:rsid w:val="00D87EBB"/>
    <w:rsid w:val="00D91A9D"/>
    <w:rsid w:val="00DA3290"/>
    <w:rsid w:val="00DA4819"/>
    <w:rsid w:val="00DA60A7"/>
    <w:rsid w:val="00DA773E"/>
    <w:rsid w:val="00DA7A08"/>
    <w:rsid w:val="00DB00DD"/>
    <w:rsid w:val="00DB43E5"/>
    <w:rsid w:val="00DC10A4"/>
    <w:rsid w:val="00DC1B4A"/>
    <w:rsid w:val="00DC5964"/>
    <w:rsid w:val="00DC6222"/>
    <w:rsid w:val="00DD0A36"/>
    <w:rsid w:val="00DD1206"/>
    <w:rsid w:val="00DE0047"/>
    <w:rsid w:val="00DF23FF"/>
    <w:rsid w:val="00DF36DD"/>
    <w:rsid w:val="00DF52F6"/>
    <w:rsid w:val="00E1001F"/>
    <w:rsid w:val="00E126EA"/>
    <w:rsid w:val="00E13127"/>
    <w:rsid w:val="00E15158"/>
    <w:rsid w:val="00E17D8B"/>
    <w:rsid w:val="00E2572D"/>
    <w:rsid w:val="00E27A08"/>
    <w:rsid w:val="00E322EA"/>
    <w:rsid w:val="00E36689"/>
    <w:rsid w:val="00E417DB"/>
    <w:rsid w:val="00E561C8"/>
    <w:rsid w:val="00E563FB"/>
    <w:rsid w:val="00E660E4"/>
    <w:rsid w:val="00E67572"/>
    <w:rsid w:val="00E67C64"/>
    <w:rsid w:val="00E74662"/>
    <w:rsid w:val="00E81018"/>
    <w:rsid w:val="00E861F8"/>
    <w:rsid w:val="00E86B99"/>
    <w:rsid w:val="00E9277F"/>
    <w:rsid w:val="00E979C4"/>
    <w:rsid w:val="00EA1DE3"/>
    <w:rsid w:val="00EA3373"/>
    <w:rsid w:val="00EA54F6"/>
    <w:rsid w:val="00EA5D96"/>
    <w:rsid w:val="00EA5DB5"/>
    <w:rsid w:val="00EB2C12"/>
    <w:rsid w:val="00EB4866"/>
    <w:rsid w:val="00EB48CC"/>
    <w:rsid w:val="00EC028D"/>
    <w:rsid w:val="00EC0A94"/>
    <w:rsid w:val="00EC4F8F"/>
    <w:rsid w:val="00EC6F99"/>
    <w:rsid w:val="00EC73A2"/>
    <w:rsid w:val="00EE34DF"/>
    <w:rsid w:val="00EE359B"/>
    <w:rsid w:val="00EE510E"/>
    <w:rsid w:val="00EE516D"/>
    <w:rsid w:val="00EE6B6D"/>
    <w:rsid w:val="00EF477C"/>
    <w:rsid w:val="00EF4BD5"/>
    <w:rsid w:val="00EF4C75"/>
    <w:rsid w:val="00EF51F0"/>
    <w:rsid w:val="00EF5447"/>
    <w:rsid w:val="00EF7877"/>
    <w:rsid w:val="00F03CE8"/>
    <w:rsid w:val="00F06ECF"/>
    <w:rsid w:val="00F1176C"/>
    <w:rsid w:val="00F174DD"/>
    <w:rsid w:val="00F17E71"/>
    <w:rsid w:val="00F215F9"/>
    <w:rsid w:val="00F230B0"/>
    <w:rsid w:val="00F25966"/>
    <w:rsid w:val="00F35A5F"/>
    <w:rsid w:val="00F36C4E"/>
    <w:rsid w:val="00F36EB8"/>
    <w:rsid w:val="00F37FEB"/>
    <w:rsid w:val="00F42119"/>
    <w:rsid w:val="00F42DAF"/>
    <w:rsid w:val="00F430F7"/>
    <w:rsid w:val="00F47D98"/>
    <w:rsid w:val="00F5011C"/>
    <w:rsid w:val="00F54C5A"/>
    <w:rsid w:val="00F55C8C"/>
    <w:rsid w:val="00F625B4"/>
    <w:rsid w:val="00F6398D"/>
    <w:rsid w:val="00F67C65"/>
    <w:rsid w:val="00F70381"/>
    <w:rsid w:val="00F70D01"/>
    <w:rsid w:val="00F77DA5"/>
    <w:rsid w:val="00F800FE"/>
    <w:rsid w:val="00F819C0"/>
    <w:rsid w:val="00F83797"/>
    <w:rsid w:val="00F85EAF"/>
    <w:rsid w:val="00F86164"/>
    <w:rsid w:val="00F914E1"/>
    <w:rsid w:val="00F920EB"/>
    <w:rsid w:val="00FA0682"/>
    <w:rsid w:val="00FA2FF7"/>
    <w:rsid w:val="00FA3D67"/>
    <w:rsid w:val="00FA5A9F"/>
    <w:rsid w:val="00FA7A45"/>
    <w:rsid w:val="00FB0DA7"/>
    <w:rsid w:val="00FB0F35"/>
    <w:rsid w:val="00FB147F"/>
    <w:rsid w:val="00FB2150"/>
    <w:rsid w:val="00FB3F60"/>
    <w:rsid w:val="00FB6922"/>
    <w:rsid w:val="00FC1A17"/>
    <w:rsid w:val="00FC3E46"/>
    <w:rsid w:val="00FD41F5"/>
    <w:rsid w:val="00FD4F97"/>
    <w:rsid w:val="00FD64B0"/>
    <w:rsid w:val="00FE0FFE"/>
    <w:rsid w:val="00FE254D"/>
    <w:rsid w:val="00FE58C3"/>
    <w:rsid w:val="00FE5DEA"/>
    <w:rsid w:val="00FE6D48"/>
    <w:rsid w:val="00FF1DBA"/>
    <w:rsid w:val="00FF3AE3"/>
    <w:rsid w:val="042B127B"/>
    <w:rsid w:val="1B7C5E2D"/>
    <w:rsid w:val="2303758E"/>
    <w:rsid w:val="2391041B"/>
    <w:rsid w:val="27953A28"/>
    <w:rsid w:val="27CA6908"/>
    <w:rsid w:val="2A233575"/>
    <w:rsid w:val="2F2F2BF7"/>
    <w:rsid w:val="38F41EC9"/>
    <w:rsid w:val="43A7203E"/>
    <w:rsid w:val="47ED5D24"/>
    <w:rsid w:val="47F55B98"/>
    <w:rsid w:val="4C3B12F1"/>
    <w:rsid w:val="4D503867"/>
    <w:rsid w:val="4F1B56B0"/>
    <w:rsid w:val="52165069"/>
    <w:rsid w:val="539E4723"/>
    <w:rsid w:val="55954B24"/>
    <w:rsid w:val="57D02FF1"/>
    <w:rsid w:val="57F51E26"/>
    <w:rsid w:val="61F36E5B"/>
    <w:rsid w:val="693422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numPr>
        <w:ilvl w:val="0"/>
        <w:numId w:val="1"/>
      </w:numPr>
      <w:spacing w:before="340" w:after="330" w:line="578" w:lineRule="auto"/>
      <w:jc w:val="both"/>
      <w:outlineLvl w:val="0"/>
    </w:pPr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widowControl w:val="0"/>
      <w:spacing w:before="260" w:after="260" w:line="416" w:lineRule="auto"/>
      <w:jc w:val="both"/>
      <w:outlineLvl w:val="1"/>
    </w:pPr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link w:val="24"/>
    <w:qFormat/>
    <w:uiPriority w:val="0"/>
    <w:pPr>
      <w:ind w:firstLine="420"/>
    </w:pPr>
    <w:rPr>
      <w:rFonts w:ascii="Times New Roman" w:hAnsi="Times New Roman" w:cs="Times New Roman"/>
      <w:sz w:val="20"/>
      <w:szCs w:val="20"/>
    </w:rPr>
  </w:style>
  <w:style w:type="paragraph" w:styleId="6">
    <w:name w:val="Balloon Text"/>
    <w:basedOn w:val="1"/>
    <w:link w:val="17"/>
    <w:semiHidden/>
    <w:unhideWhenUsed/>
    <w:qFormat/>
    <w:uiPriority w:val="99"/>
    <w:pPr>
      <w:widowControl w:val="0"/>
      <w:jc w:val="both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table" w:styleId="11">
    <w:name w:val="Table Grid"/>
    <w:basedOn w:val="10"/>
    <w:qFormat/>
    <w:uiPriority w:val="0"/>
    <w:rPr>
      <w:rFonts w:ascii="Times New Roman" w:hAnsi="Times New Roman" w:eastAsia="宋体" w:cs="Times New Roman"/>
      <w:sz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List Paragraph"/>
    <w:basedOn w:val="1"/>
    <w:link w:val="18"/>
    <w:qFormat/>
    <w:uiPriority w:val="99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</w:rPr>
  </w:style>
  <w:style w:type="character" w:customStyle="1" w:styleId="14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2"/>
    <w:link w:val="7"/>
    <w:qFormat/>
    <w:uiPriority w:val="99"/>
    <w:rPr>
      <w:sz w:val="18"/>
      <w:szCs w:val="18"/>
    </w:rPr>
  </w:style>
  <w:style w:type="paragraph" w:customStyle="1" w:styleId="16">
    <w:name w:val="a1"/>
    <w:basedOn w:val="1"/>
    <w:qFormat/>
    <w:uiPriority w:val="0"/>
    <w:pPr>
      <w:spacing w:before="100" w:beforeAutospacing="1" w:after="100" w:afterAutospacing="1"/>
    </w:pPr>
  </w:style>
  <w:style w:type="character" w:customStyle="1" w:styleId="17">
    <w:name w:val="批注框文本 字符"/>
    <w:basedOn w:val="12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列表段落 字符"/>
    <w:link w:val="13"/>
    <w:qFormat/>
    <w:uiPriority w:val="99"/>
    <w:rPr>
      <w:kern w:val="2"/>
      <w:sz w:val="21"/>
      <w:szCs w:val="24"/>
    </w:rPr>
  </w:style>
  <w:style w:type="paragraph" w:customStyle="1" w:styleId="19">
    <w:name w:val="_Style 16"/>
    <w:basedOn w:val="1"/>
    <w:next w:val="13"/>
    <w:qFormat/>
    <w:uiPriority w:val="34"/>
    <w:pPr>
      <w:widowControl w:val="0"/>
      <w:ind w:firstLine="420" w:firstLineChars="200"/>
      <w:jc w:val="both"/>
    </w:pPr>
    <w:rPr>
      <w:rFonts w:ascii="等线" w:hAnsi="等线" w:eastAsia="等线" w:cs="Times New Roman"/>
      <w:kern w:val="2"/>
      <w:sz w:val="21"/>
      <w:szCs w:val="22"/>
      <w:lang w:val="zh-CN"/>
    </w:rPr>
  </w:style>
  <w:style w:type="paragraph" w:customStyle="1" w:styleId="20">
    <w:name w:val="修订1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1">
    <w:name w:val="标题 2 字符"/>
    <w:basedOn w:val="12"/>
    <w:link w:val="3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2">
    <w:name w:val="标题 3 字符"/>
    <w:basedOn w:val="12"/>
    <w:link w:val="4"/>
    <w:qFormat/>
    <w:uiPriority w:val="9"/>
    <w:rPr>
      <w:rFonts w:ascii="宋体" w:hAnsi="宋体" w:eastAsia="宋体" w:cs="宋体"/>
      <w:b/>
      <w:bCs/>
      <w:sz w:val="32"/>
      <w:szCs w:val="32"/>
    </w:rPr>
  </w:style>
  <w:style w:type="paragraph" w:customStyle="1" w:styleId="23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CN" w:bidi="ar-SA"/>
    </w:rPr>
  </w:style>
  <w:style w:type="character" w:customStyle="1" w:styleId="24">
    <w:name w:val="正文缩进 字符"/>
    <w:link w:val="5"/>
    <w:qFormat/>
    <w:locked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61E2A-06A3-4046-B993-928DF470AE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2795</Words>
  <Characters>3424</Characters>
  <Lines>35</Lines>
  <Paragraphs>10</Paragraphs>
  <TotalTime>0</TotalTime>
  <ScaleCrop>false</ScaleCrop>
  <LinksUpToDate>false</LinksUpToDate>
  <CharactersWithSpaces>3469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2026-05-27T06:35:00Z</dcterms:created>
  <dc:creator>zfj19910321@gmail.com</dc:creator>
  <cp:lastModifiedBy>睿</cp:lastModifiedBy>
  <dcterms:modified xsi:type="dcterms:W3CDTF">2026-06-10T07:16:02Z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F5C6C34B5C5D4F3DBC8689F09B82EFA1</vt:lpwstr>
  </property>
  <property fmtid="{D5CDD505-2E9C-101B-9397-08002B2CF9AE}" pid="4" name="_readonly">
    <vt:lpwstr/>
  </property>
  <property fmtid="{D5CDD505-2E9C-101B-9397-08002B2CF9AE}" pid="5" name="_change">
    <vt:lpwstr/>
  </property>
  <property fmtid="{D5CDD505-2E9C-101B-9397-08002B2CF9AE}" pid="6" name="_full-control">
    <vt:lpwstr/>
  </property>
  <property fmtid="{D5CDD505-2E9C-101B-9397-08002B2CF9AE}" pid="7" name="sflag">
    <vt:lpwstr>1720331959</vt:lpwstr>
  </property>
  <property fmtid="{D5CDD505-2E9C-101B-9397-08002B2CF9AE}" pid="8" name="_2015_ms_pID_725343">
    <vt:lpwstr>(3)orUllaSchXIfdHsqRzmvhecLUfexk7Fm14VkkmqDtcPBdRNLBwWfdOuJ2KfJB2/ySARqI/MW
/sJQz+HQE148gTLXL9O01C6uFxpHqIh+u5d9037LU6ZUHqe1c9h1qOKpVyGWgLg+t7j/PzsR
uSZJqvnwxIdl2u+lD3krI3/xBFJuuYY3IgAMi0VQ7eGFwvDd+Y24xds1L/LsnicSMSk23bQ/
DihlhYgiA1NBdE+RWz</vt:lpwstr>
  </property>
  <property fmtid="{D5CDD505-2E9C-101B-9397-08002B2CF9AE}" pid="9" name="_2015_ms_pID_7253431">
    <vt:lpwstr>pZ13kTlj02Zs7Mm4MM+NdngmThHUs8fZScjGeOcGt/HCOOtiNTEbNU
x+RfeYECXU5nst6wT/VG+CuGBBWVBWrrWYKD50Pk2hvwltmrILUekSFIueRUOX9wQzfbUyAm
tPLs1Ccqq3E8LYBhz97dvYNj7DoLtiJwGn0JmLhJvWId8O5lEYWIs+8q1wARKLKoGFjHVo8Z
kjK32TGxrVwg74Rty69BIwehlRdi82tCuGU5</vt:lpwstr>
  </property>
  <property fmtid="{D5CDD505-2E9C-101B-9397-08002B2CF9AE}" pid="10" name="_2015_ms_pID_7253432">
    <vt:lpwstr>LA==</vt:lpwstr>
  </property>
  <property fmtid="{D5CDD505-2E9C-101B-9397-08002B2CF9AE}" pid="11" name="KSOTemplateDocerSaveRecord">
    <vt:lpwstr>eyJoZGlkIjoiODZlNGZkNTM4MTU4MmQ2MjBjNWJkNGVjMTVmNWEwZTYiLCJ1c2VySWQiOiIyOTAwMTUwMTQifQ==</vt:lpwstr>
  </property>
</Properties>
</file>