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8AE5AB">
      <w:pPr>
        <w:pStyle w:val="3"/>
        <w:jc w:val="center"/>
        <w:rPr>
          <w:rFonts w:hint="eastAsia" w:ascii="宋体" w:hAnsi="宋体" w:cs="宋体"/>
          <w:spacing w:val="20"/>
          <w:sz w:val="21"/>
          <w:szCs w:val="21"/>
        </w:rPr>
      </w:pPr>
      <w:r>
        <w:rPr>
          <w:rFonts w:hint="eastAsia"/>
        </w:rPr>
        <w:t>用户需求书</w:t>
      </w:r>
    </w:p>
    <w:p w14:paraId="54E74956">
      <w:pPr>
        <w:spacing w:line="360" w:lineRule="auto"/>
        <w:jc w:val="left"/>
        <w:rPr>
          <w:rFonts w:hint="eastAsia" w:ascii="宋体" w:hAnsi="宋体" w:cs="宋体"/>
          <w:b/>
          <w:bCs/>
          <w:spacing w:val="20"/>
          <w:kern w:val="44"/>
          <w:sz w:val="21"/>
          <w:szCs w:val="21"/>
        </w:rPr>
      </w:pPr>
      <w:r>
        <w:rPr>
          <w:rFonts w:hint="eastAsia" w:ascii="宋体" w:hAnsi="宋体" w:cs="宋体"/>
          <w:b/>
          <w:bCs/>
          <w:spacing w:val="20"/>
          <w:kern w:val="44"/>
          <w:sz w:val="21"/>
          <w:szCs w:val="21"/>
        </w:rPr>
        <w:t>一．维保清单</w:t>
      </w:r>
      <w:bookmarkStart w:id="0" w:name="_GoBack"/>
      <w:bookmarkEnd w:id="0"/>
    </w:p>
    <w:tbl>
      <w:tblPr>
        <w:tblStyle w:val="6"/>
        <w:tblW w:w="614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5"/>
        <w:gridCol w:w="1121"/>
        <w:gridCol w:w="1623"/>
        <w:gridCol w:w="1671"/>
        <w:gridCol w:w="1685"/>
        <w:gridCol w:w="1300"/>
        <w:gridCol w:w="1971"/>
      </w:tblGrid>
      <w:tr w14:paraId="56529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527" w:type="pct"/>
            <w:shd w:val="clear" w:color="auto" w:fill="auto"/>
          </w:tcPr>
          <w:p w14:paraId="3CB25375">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所在机房</w:t>
            </w:r>
          </w:p>
        </w:tc>
        <w:tc>
          <w:tcPr>
            <w:tcW w:w="535" w:type="pct"/>
            <w:shd w:val="clear" w:color="auto" w:fill="auto"/>
          </w:tcPr>
          <w:p w14:paraId="2038805B">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设备名称</w:t>
            </w:r>
          </w:p>
        </w:tc>
        <w:tc>
          <w:tcPr>
            <w:tcW w:w="774" w:type="pct"/>
            <w:shd w:val="clear" w:color="auto" w:fill="auto"/>
          </w:tcPr>
          <w:p w14:paraId="32A0D629">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品牌型号</w:t>
            </w:r>
          </w:p>
        </w:tc>
        <w:tc>
          <w:tcPr>
            <w:tcW w:w="797" w:type="pct"/>
          </w:tcPr>
          <w:p w14:paraId="58D6B967">
            <w:pPr>
              <w:pStyle w:val="8"/>
              <w:spacing w:after="156" w:line="360" w:lineRule="auto"/>
              <w:ind w:firstLine="0" w:firstLineChars="0"/>
              <w:jc w:val="center"/>
              <w:rPr>
                <w:rFonts w:hint="eastAsia" w:ascii="宋体" w:hAnsi="宋体" w:cs="宋体"/>
                <w:sz w:val="21"/>
                <w:szCs w:val="21"/>
                <w:lang w:val="en-US" w:eastAsia="zh-CN"/>
              </w:rPr>
            </w:pPr>
            <w:r>
              <w:rPr>
                <w:rFonts w:hint="eastAsia" w:ascii="宋体" w:hAnsi="宋体" w:cs="宋体"/>
                <w:sz w:val="21"/>
                <w:szCs w:val="21"/>
              </w:rPr>
              <w:t>设备</w:t>
            </w:r>
            <w:r>
              <w:rPr>
                <w:rFonts w:hint="eastAsia" w:ascii="宋体" w:hAnsi="宋体" w:cs="宋体"/>
                <w:sz w:val="21"/>
                <w:szCs w:val="21"/>
                <w:lang w:val="en-US" w:eastAsia="zh-CN"/>
              </w:rPr>
              <w:t>数量</w:t>
            </w:r>
          </w:p>
          <w:p w14:paraId="4B55BBDE">
            <w:pPr>
              <w:pStyle w:val="8"/>
              <w:spacing w:after="156" w:line="360" w:lineRule="auto"/>
              <w:ind w:firstLine="0" w:firstLineChars="0"/>
              <w:jc w:val="center"/>
              <w:rPr>
                <w:rFonts w:hint="eastAsia" w:ascii="宋体" w:hAnsi="宋体" w:eastAsia="宋体" w:cs="宋体"/>
                <w:sz w:val="21"/>
                <w:szCs w:val="21"/>
                <w:lang w:eastAsia="zh-CN"/>
              </w:rPr>
            </w:pPr>
          </w:p>
        </w:tc>
        <w:tc>
          <w:tcPr>
            <w:tcW w:w="804" w:type="pct"/>
            <w:shd w:val="clear" w:color="auto" w:fill="auto"/>
            <w:vAlign w:val="top"/>
          </w:tcPr>
          <w:p w14:paraId="41B9B11F">
            <w:pPr>
              <w:pStyle w:val="8"/>
              <w:spacing w:after="156" w:line="360" w:lineRule="auto"/>
              <w:ind w:firstLine="0" w:firstLineChars="0"/>
              <w:jc w:val="center"/>
              <w:rPr>
                <w:rFonts w:hint="eastAsia" w:ascii="宋体" w:hAnsi="宋体" w:eastAsia="宋体" w:cs="宋体"/>
                <w:kern w:val="2"/>
                <w:sz w:val="21"/>
                <w:szCs w:val="21"/>
                <w:lang w:val="en-US" w:eastAsia="zh-CN" w:bidi="ar-SA"/>
              </w:rPr>
            </w:pPr>
            <w:r>
              <w:rPr>
                <w:rFonts w:hint="eastAsia" w:ascii="宋体" w:hAnsi="宋体" w:cs="宋体"/>
                <w:sz w:val="21"/>
                <w:szCs w:val="21"/>
              </w:rPr>
              <w:t>存储空间</w:t>
            </w:r>
          </w:p>
        </w:tc>
        <w:tc>
          <w:tcPr>
            <w:tcW w:w="620" w:type="pct"/>
            <w:shd w:val="clear" w:color="auto" w:fill="auto"/>
          </w:tcPr>
          <w:p w14:paraId="10BA08B5">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维保结束</w:t>
            </w:r>
          </w:p>
          <w:p w14:paraId="6A5711FC">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时间</w:t>
            </w:r>
          </w:p>
        </w:tc>
        <w:tc>
          <w:tcPr>
            <w:tcW w:w="940" w:type="pct"/>
            <w:shd w:val="clear" w:color="auto" w:fill="auto"/>
          </w:tcPr>
          <w:p w14:paraId="2959E344">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续保时间</w:t>
            </w:r>
          </w:p>
        </w:tc>
      </w:tr>
      <w:tr w14:paraId="3F240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527" w:type="pct"/>
            <w:shd w:val="clear" w:color="auto" w:fill="auto"/>
            <w:vAlign w:val="center"/>
          </w:tcPr>
          <w:p w14:paraId="09EDDF4F">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南翔机房</w:t>
            </w:r>
          </w:p>
        </w:tc>
        <w:tc>
          <w:tcPr>
            <w:tcW w:w="535" w:type="pct"/>
            <w:shd w:val="clear" w:color="auto" w:fill="auto"/>
            <w:vAlign w:val="center"/>
          </w:tcPr>
          <w:p w14:paraId="059C8AEE">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NAS存储</w:t>
            </w:r>
          </w:p>
        </w:tc>
        <w:tc>
          <w:tcPr>
            <w:tcW w:w="774" w:type="pct"/>
            <w:shd w:val="clear" w:color="auto" w:fill="auto"/>
            <w:vAlign w:val="center"/>
          </w:tcPr>
          <w:p w14:paraId="618A8CE6">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华为0ceanStor5610</w:t>
            </w:r>
          </w:p>
        </w:tc>
        <w:tc>
          <w:tcPr>
            <w:tcW w:w="797" w:type="pct"/>
            <w:vAlign w:val="center"/>
          </w:tcPr>
          <w:p w14:paraId="4CA46433">
            <w:pPr>
              <w:pStyle w:val="8"/>
              <w:spacing w:after="156" w:line="360" w:lineRule="auto"/>
              <w:ind w:firstLine="0" w:firstLineChars="0"/>
              <w:jc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1套(7台设备)</w:t>
            </w:r>
          </w:p>
        </w:tc>
        <w:tc>
          <w:tcPr>
            <w:tcW w:w="804" w:type="pct"/>
            <w:shd w:val="clear" w:color="auto" w:fill="auto"/>
            <w:vAlign w:val="center"/>
          </w:tcPr>
          <w:p w14:paraId="6470AD04">
            <w:pPr>
              <w:pStyle w:val="8"/>
              <w:spacing w:after="156" w:line="360" w:lineRule="auto"/>
              <w:ind w:firstLine="0" w:firstLineChars="0"/>
              <w:jc w:val="center"/>
              <w:rPr>
                <w:rFonts w:hint="eastAsia" w:ascii="宋体" w:hAnsi="宋体" w:eastAsia="宋体" w:cs="宋体"/>
                <w:kern w:val="2"/>
                <w:sz w:val="21"/>
                <w:szCs w:val="21"/>
                <w:lang w:val="en-US" w:eastAsia="zh-CN" w:bidi="ar-SA"/>
              </w:rPr>
            </w:pPr>
            <w:r>
              <w:rPr>
                <w:rFonts w:hint="eastAsia" w:ascii="宋体" w:hAnsi="宋体" w:cs="宋体"/>
                <w:sz w:val="21"/>
                <w:szCs w:val="21"/>
              </w:rPr>
              <w:t xml:space="preserve">0ceanStor5610  724T  </w:t>
            </w:r>
          </w:p>
        </w:tc>
        <w:tc>
          <w:tcPr>
            <w:tcW w:w="620" w:type="pct"/>
            <w:shd w:val="clear" w:color="auto" w:fill="auto"/>
            <w:vAlign w:val="center"/>
          </w:tcPr>
          <w:p w14:paraId="5F376E5D">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2025年11月24日</w:t>
            </w:r>
          </w:p>
        </w:tc>
        <w:tc>
          <w:tcPr>
            <w:tcW w:w="940" w:type="pct"/>
            <w:shd w:val="clear" w:color="auto" w:fill="auto"/>
            <w:vAlign w:val="center"/>
          </w:tcPr>
          <w:p w14:paraId="6C91DC78">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3年原厂维保，维保时间:2025/11/25至2028/11/24(满8年)</w:t>
            </w:r>
          </w:p>
        </w:tc>
      </w:tr>
      <w:tr w14:paraId="692F5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527" w:type="pct"/>
            <w:shd w:val="clear" w:color="auto" w:fill="auto"/>
            <w:vAlign w:val="center"/>
          </w:tcPr>
          <w:p w14:paraId="30301BB5">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南翔机房</w:t>
            </w:r>
          </w:p>
        </w:tc>
        <w:tc>
          <w:tcPr>
            <w:tcW w:w="535" w:type="pct"/>
            <w:shd w:val="clear" w:color="auto" w:fill="auto"/>
            <w:vAlign w:val="center"/>
          </w:tcPr>
          <w:p w14:paraId="45237745">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分布式存储</w:t>
            </w:r>
          </w:p>
        </w:tc>
        <w:tc>
          <w:tcPr>
            <w:tcW w:w="774" w:type="pct"/>
            <w:shd w:val="clear" w:color="auto" w:fill="auto"/>
            <w:vAlign w:val="center"/>
          </w:tcPr>
          <w:p w14:paraId="0D6F1257">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华为0ceanStor9000</w:t>
            </w:r>
          </w:p>
        </w:tc>
        <w:tc>
          <w:tcPr>
            <w:tcW w:w="797" w:type="pct"/>
          </w:tcPr>
          <w:p w14:paraId="18388463">
            <w:pPr>
              <w:pStyle w:val="8"/>
              <w:spacing w:after="156" w:line="360" w:lineRule="auto"/>
              <w:ind w:firstLine="0" w:firstLineChars="0"/>
              <w:jc w:val="center"/>
              <w:rPr>
                <w:rFonts w:hint="eastAsia" w:ascii="宋体" w:hAnsi="宋体" w:eastAsia="宋体" w:cs="宋体"/>
                <w:sz w:val="21"/>
                <w:szCs w:val="21"/>
                <w:lang w:val="en-US" w:eastAsia="zh-CN"/>
              </w:rPr>
            </w:pPr>
          </w:p>
          <w:p w14:paraId="22413C2B">
            <w:pPr>
              <w:pStyle w:val="8"/>
              <w:spacing w:after="156" w:line="360" w:lineRule="auto"/>
              <w:ind w:firstLine="0" w:firstLineChars="0"/>
              <w:jc w:val="center"/>
              <w:rPr>
                <w:rFonts w:hint="eastAsia" w:ascii="宋体" w:hAnsi="宋体" w:eastAsia="宋体" w:cs="宋体"/>
                <w:sz w:val="21"/>
                <w:szCs w:val="21"/>
                <w:lang w:eastAsia="zh-CN"/>
              </w:rPr>
            </w:pPr>
            <w:r>
              <w:rPr>
                <w:rFonts w:hint="eastAsia" w:ascii="宋体" w:hAnsi="宋体" w:eastAsia="宋体" w:cs="宋体"/>
                <w:sz w:val="21"/>
                <w:szCs w:val="21"/>
                <w:lang w:val="en-US" w:eastAsia="zh-CN"/>
              </w:rPr>
              <w:t>1套(7台设备)</w:t>
            </w:r>
          </w:p>
        </w:tc>
        <w:tc>
          <w:tcPr>
            <w:tcW w:w="804" w:type="pct"/>
            <w:shd w:val="clear" w:color="auto" w:fill="auto"/>
            <w:vAlign w:val="center"/>
          </w:tcPr>
          <w:p w14:paraId="6A909DEA">
            <w:pPr>
              <w:pStyle w:val="8"/>
              <w:spacing w:after="156" w:line="360" w:lineRule="auto"/>
              <w:ind w:firstLine="0" w:firstLineChars="0"/>
              <w:jc w:val="center"/>
              <w:rPr>
                <w:rFonts w:hint="eastAsia" w:ascii="宋体" w:hAnsi="宋体" w:eastAsia="宋体" w:cs="宋体"/>
                <w:kern w:val="2"/>
                <w:sz w:val="21"/>
                <w:szCs w:val="21"/>
                <w:lang w:val="en-US" w:eastAsia="zh-CN" w:bidi="ar-SA"/>
              </w:rPr>
            </w:pPr>
            <w:r>
              <w:rPr>
                <w:rFonts w:hint="eastAsia" w:ascii="宋体" w:hAnsi="宋体" w:cs="宋体"/>
                <w:sz w:val="21"/>
                <w:szCs w:val="21"/>
              </w:rPr>
              <w:t>0ceanStor9000  588T</w:t>
            </w:r>
          </w:p>
        </w:tc>
        <w:tc>
          <w:tcPr>
            <w:tcW w:w="620" w:type="pct"/>
            <w:shd w:val="clear" w:color="auto" w:fill="auto"/>
            <w:vAlign w:val="center"/>
          </w:tcPr>
          <w:p w14:paraId="0BDBBDE5">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2025年9月13日</w:t>
            </w:r>
          </w:p>
        </w:tc>
        <w:tc>
          <w:tcPr>
            <w:tcW w:w="940" w:type="pct"/>
            <w:shd w:val="clear" w:color="auto" w:fill="auto"/>
            <w:vAlign w:val="center"/>
          </w:tcPr>
          <w:p w14:paraId="0B506237">
            <w:pPr>
              <w:pStyle w:val="8"/>
              <w:spacing w:after="156" w:line="360" w:lineRule="auto"/>
              <w:ind w:firstLine="0" w:firstLineChars="0"/>
              <w:jc w:val="center"/>
              <w:rPr>
                <w:rFonts w:hint="eastAsia" w:ascii="宋体" w:hAnsi="宋体" w:cs="宋体"/>
                <w:sz w:val="21"/>
                <w:szCs w:val="21"/>
              </w:rPr>
            </w:pPr>
            <w:r>
              <w:rPr>
                <w:rFonts w:hint="eastAsia" w:ascii="宋体" w:hAnsi="宋体" w:cs="宋体"/>
                <w:sz w:val="21"/>
                <w:szCs w:val="21"/>
              </w:rPr>
              <w:t>3年原厂维保，维保时间:2025/9/14至2028/9/13(满8年)</w:t>
            </w:r>
          </w:p>
        </w:tc>
      </w:tr>
    </w:tbl>
    <w:p w14:paraId="783DBE98"/>
    <w:p w14:paraId="43C913FB">
      <w:pPr>
        <w:spacing w:line="360" w:lineRule="auto"/>
        <w:jc w:val="left"/>
        <w:rPr>
          <w:rFonts w:hint="eastAsia" w:ascii="宋体" w:hAnsi="宋体" w:cs="宋体"/>
          <w:b/>
          <w:bCs/>
          <w:spacing w:val="20"/>
          <w:kern w:val="44"/>
          <w:sz w:val="21"/>
          <w:szCs w:val="21"/>
        </w:rPr>
      </w:pPr>
    </w:p>
    <w:p w14:paraId="2728F9E0">
      <w:pPr>
        <w:spacing w:line="360" w:lineRule="auto"/>
        <w:jc w:val="left"/>
        <w:rPr>
          <w:rFonts w:hint="eastAsia" w:ascii="宋体" w:hAnsi="宋体" w:cs="宋体"/>
          <w:b/>
          <w:bCs/>
          <w:spacing w:val="20"/>
          <w:kern w:val="44"/>
          <w:sz w:val="21"/>
          <w:szCs w:val="21"/>
        </w:rPr>
      </w:pPr>
      <w:r>
        <w:rPr>
          <w:rFonts w:hint="eastAsia" w:ascii="宋体" w:hAnsi="宋体" w:cs="宋体"/>
          <w:b/>
          <w:bCs/>
          <w:spacing w:val="20"/>
          <w:kern w:val="44"/>
          <w:sz w:val="21"/>
          <w:szCs w:val="21"/>
        </w:rPr>
        <w:t>二．维保服务内容要求</w:t>
      </w:r>
    </w:p>
    <w:p w14:paraId="12F6E52A">
      <w:pPr>
        <w:spacing w:line="360" w:lineRule="auto"/>
        <w:rPr>
          <w:rFonts w:hint="eastAsia" w:ascii="宋体" w:hAnsi="宋体" w:cs="宋体"/>
          <w:bCs/>
          <w:sz w:val="21"/>
          <w:szCs w:val="21"/>
        </w:rPr>
      </w:pPr>
      <w:r>
        <w:rPr>
          <w:rFonts w:hint="eastAsia" w:ascii="宋体" w:hAnsi="宋体" w:cs="宋体"/>
          <w:bCs/>
          <w:sz w:val="21"/>
          <w:szCs w:val="21"/>
        </w:rPr>
        <w:t>（一）原厂服务内容</w:t>
      </w:r>
    </w:p>
    <w:tbl>
      <w:tblPr>
        <w:tblStyle w:val="6"/>
        <w:tblW w:w="5000" w:type="pct"/>
        <w:jc w:val="center"/>
        <w:tblLayout w:type="autofit"/>
        <w:tblCellMar>
          <w:top w:w="0" w:type="dxa"/>
          <w:left w:w="108" w:type="dxa"/>
          <w:bottom w:w="0" w:type="dxa"/>
          <w:right w:w="108" w:type="dxa"/>
        </w:tblCellMar>
      </w:tblPr>
      <w:tblGrid>
        <w:gridCol w:w="670"/>
        <w:gridCol w:w="2393"/>
        <w:gridCol w:w="5459"/>
      </w:tblGrid>
      <w:tr w14:paraId="548D4438">
        <w:tblPrEx>
          <w:tblCellMar>
            <w:top w:w="0" w:type="dxa"/>
            <w:left w:w="108" w:type="dxa"/>
            <w:bottom w:w="0" w:type="dxa"/>
            <w:right w:w="108" w:type="dxa"/>
          </w:tblCellMar>
        </w:tblPrEx>
        <w:trPr>
          <w:trHeight w:val="575" w:hRule="atLeast"/>
          <w:jc w:val="center"/>
        </w:trPr>
        <w:tc>
          <w:tcPr>
            <w:tcW w:w="393" w:type="pct"/>
            <w:tcBorders>
              <w:top w:val="single" w:color="auto" w:sz="4" w:space="0"/>
              <w:left w:val="single" w:color="auto" w:sz="4" w:space="0"/>
              <w:bottom w:val="single" w:color="auto" w:sz="4" w:space="0"/>
              <w:right w:val="single" w:color="auto" w:sz="4" w:space="0"/>
            </w:tcBorders>
            <w:vAlign w:val="center"/>
          </w:tcPr>
          <w:p w14:paraId="06C35597">
            <w:pPr>
              <w:spacing w:line="360" w:lineRule="auto"/>
              <w:jc w:val="center"/>
              <w:rPr>
                <w:rFonts w:hint="eastAsia" w:ascii="宋体" w:hAnsi="宋体" w:cs="宋体"/>
                <w:b/>
                <w:color w:val="000000"/>
                <w:sz w:val="21"/>
                <w:szCs w:val="21"/>
              </w:rPr>
            </w:pPr>
            <w:r>
              <w:rPr>
                <w:rFonts w:hint="eastAsia" w:ascii="宋体" w:hAnsi="宋体" w:cs="宋体"/>
                <w:b/>
                <w:color w:val="000000"/>
                <w:sz w:val="21"/>
                <w:szCs w:val="21"/>
              </w:rPr>
              <w:t>序号</w:t>
            </w:r>
          </w:p>
        </w:tc>
        <w:tc>
          <w:tcPr>
            <w:tcW w:w="1404" w:type="pct"/>
            <w:tcBorders>
              <w:top w:val="single" w:color="auto" w:sz="4" w:space="0"/>
              <w:left w:val="single" w:color="auto" w:sz="4" w:space="0"/>
              <w:bottom w:val="single" w:color="auto" w:sz="4" w:space="0"/>
              <w:right w:val="single" w:color="auto" w:sz="4" w:space="0"/>
            </w:tcBorders>
            <w:vAlign w:val="center"/>
          </w:tcPr>
          <w:p w14:paraId="5331DB03">
            <w:pPr>
              <w:spacing w:line="360" w:lineRule="auto"/>
              <w:jc w:val="center"/>
              <w:rPr>
                <w:rFonts w:hint="eastAsia" w:ascii="宋体" w:hAnsi="宋体" w:cs="宋体"/>
                <w:b/>
                <w:color w:val="000000"/>
                <w:sz w:val="21"/>
                <w:szCs w:val="21"/>
              </w:rPr>
            </w:pPr>
            <w:r>
              <w:rPr>
                <w:rFonts w:hint="eastAsia" w:ascii="宋体" w:hAnsi="宋体" w:cs="宋体"/>
                <w:b/>
                <w:color w:val="000000"/>
                <w:sz w:val="21"/>
                <w:szCs w:val="21"/>
              </w:rPr>
              <w:t>服务内容</w:t>
            </w:r>
          </w:p>
        </w:tc>
        <w:tc>
          <w:tcPr>
            <w:tcW w:w="3203" w:type="pct"/>
            <w:tcBorders>
              <w:top w:val="single" w:color="auto" w:sz="4" w:space="0"/>
              <w:left w:val="nil"/>
              <w:bottom w:val="single" w:color="auto" w:sz="4" w:space="0"/>
              <w:right w:val="single" w:color="auto" w:sz="4" w:space="0"/>
            </w:tcBorders>
            <w:vAlign w:val="center"/>
          </w:tcPr>
          <w:p w14:paraId="39726D4F">
            <w:pPr>
              <w:spacing w:line="360" w:lineRule="auto"/>
              <w:jc w:val="center"/>
              <w:rPr>
                <w:rFonts w:hint="eastAsia" w:ascii="宋体" w:hAnsi="宋体" w:cs="宋体"/>
                <w:b/>
                <w:color w:val="000000"/>
                <w:sz w:val="21"/>
                <w:szCs w:val="21"/>
              </w:rPr>
            </w:pPr>
            <w:r>
              <w:rPr>
                <w:rFonts w:hint="eastAsia" w:ascii="宋体" w:hAnsi="宋体" w:cs="宋体"/>
                <w:b/>
                <w:color w:val="000000"/>
                <w:sz w:val="21"/>
                <w:szCs w:val="21"/>
              </w:rPr>
              <w:t>服务内容描述</w:t>
            </w:r>
          </w:p>
        </w:tc>
      </w:tr>
      <w:tr w14:paraId="6475FC9D">
        <w:tblPrEx>
          <w:tblCellMar>
            <w:top w:w="0" w:type="dxa"/>
            <w:left w:w="108" w:type="dxa"/>
            <w:bottom w:w="0" w:type="dxa"/>
            <w:right w:w="108" w:type="dxa"/>
          </w:tblCellMar>
        </w:tblPrEx>
        <w:trPr>
          <w:trHeight w:val="449" w:hRule="atLeast"/>
          <w:jc w:val="center"/>
        </w:trPr>
        <w:tc>
          <w:tcPr>
            <w:tcW w:w="393" w:type="pct"/>
            <w:tcBorders>
              <w:top w:val="nil"/>
              <w:left w:val="single" w:color="auto" w:sz="4" w:space="0"/>
              <w:bottom w:val="single" w:color="auto" w:sz="4" w:space="0"/>
              <w:right w:val="single" w:color="auto" w:sz="4" w:space="0"/>
            </w:tcBorders>
            <w:vAlign w:val="center"/>
          </w:tcPr>
          <w:p w14:paraId="6724EED2">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1</w:t>
            </w:r>
          </w:p>
        </w:tc>
        <w:tc>
          <w:tcPr>
            <w:tcW w:w="1404" w:type="pct"/>
            <w:tcBorders>
              <w:top w:val="nil"/>
              <w:left w:val="single" w:color="auto" w:sz="4" w:space="0"/>
              <w:bottom w:val="single" w:color="auto" w:sz="4" w:space="0"/>
              <w:right w:val="single" w:color="auto" w:sz="4" w:space="0"/>
            </w:tcBorders>
            <w:vAlign w:val="center"/>
          </w:tcPr>
          <w:p w14:paraId="542F2ADF">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原厂服务热线电话</w:t>
            </w:r>
          </w:p>
        </w:tc>
        <w:tc>
          <w:tcPr>
            <w:tcW w:w="3203" w:type="pct"/>
            <w:tcBorders>
              <w:top w:val="nil"/>
              <w:left w:val="nil"/>
              <w:bottom w:val="single" w:color="auto" w:sz="4" w:space="0"/>
              <w:right w:val="single" w:color="auto" w:sz="4" w:space="0"/>
            </w:tcBorders>
            <w:vAlign w:val="center"/>
          </w:tcPr>
          <w:p w14:paraId="014D8DF0">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7×24</w:t>
            </w:r>
            <w:r>
              <w:rPr>
                <w:rFonts w:hint="eastAsia" w:ascii="宋体" w:hAnsi="宋体" w:cs="宋体"/>
                <w:sz w:val="21"/>
                <w:szCs w:val="21"/>
                <w:lang w:bidi="ar"/>
              </w:rPr>
              <w:t>小时</w:t>
            </w:r>
            <w:r>
              <w:rPr>
                <w:rFonts w:hint="eastAsia" w:ascii="宋体" w:hAnsi="宋体" w:cs="宋体"/>
                <w:color w:val="000000"/>
                <w:sz w:val="21"/>
                <w:szCs w:val="21"/>
              </w:rPr>
              <w:t>覆盖，实时响应</w:t>
            </w:r>
          </w:p>
        </w:tc>
      </w:tr>
      <w:tr w14:paraId="64D6F6CD">
        <w:tblPrEx>
          <w:tblCellMar>
            <w:top w:w="0" w:type="dxa"/>
            <w:left w:w="108" w:type="dxa"/>
            <w:bottom w:w="0" w:type="dxa"/>
            <w:right w:w="108" w:type="dxa"/>
          </w:tblCellMar>
        </w:tblPrEx>
        <w:trPr>
          <w:trHeight w:val="530" w:hRule="atLeast"/>
          <w:jc w:val="center"/>
        </w:trPr>
        <w:tc>
          <w:tcPr>
            <w:tcW w:w="393" w:type="pct"/>
            <w:tcBorders>
              <w:top w:val="nil"/>
              <w:left w:val="single" w:color="auto" w:sz="4" w:space="0"/>
              <w:bottom w:val="nil"/>
              <w:right w:val="single" w:color="auto" w:sz="4" w:space="0"/>
            </w:tcBorders>
            <w:vAlign w:val="center"/>
          </w:tcPr>
          <w:p w14:paraId="3E09764B">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2</w:t>
            </w:r>
          </w:p>
        </w:tc>
        <w:tc>
          <w:tcPr>
            <w:tcW w:w="1404" w:type="pct"/>
            <w:tcBorders>
              <w:top w:val="nil"/>
              <w:left w:val="single" w:color="auto" w:sz="4" w:space="0"/>
              <w:bottom w:val="nil"/>
              <w:right w:val="single" w:color="auto" w:sz="4" w:space="0"/>
            </w:tcBorders>
            <w:vAlign w:val="center"/>
          </w:tcPr>
          <w:p w14:paraId="4A86C315">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远程问题处理</w:t>
            </w:r>
          </w:p>
        </w:tc>
        <w:tc>
          <w:tcPr>
            <w:tcW w:w="3203" w:type="pct"/>
            <w:tcBorders>
              <w:top w:val="nil"/>
              <w:left w:val="nil"/>
              <w:bottom w:val="single" w:color="auto" w:sz="4" w:space="0"/>
              <w:right w:val="single" w:color="auto" w:sz="4" w:space="0"/>
            </w:tcBorders>
            <w:vAlign w:val="center"/>
          </w:tcPr>
          <w:p w14:paraId="58D367CE">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7×24</w:t>
            </w:r>
            <w:r>
              <w:rPr>
                <w:rFonts w:hint="eastAsia" w:ascii="宋体" w:hAnsi="宋体" w:cs="宋体"/>
                <w:sz w:val="21"/>
                <w:szCs w:val="21"/>
                <w:lang w:bidi="ar"/>
              </w:rPr>
              <w:t>小时</w:t>
            </w:r>
            <w:r>
              <w:rPr>
                <w:rFonts w:hint="eastAsia" w:ascii="宋体" w:hAnsi="宋体" w:cs="宋体"/>
                <w:color w:val="000000"/>
                <w:sz w:val="21"/>
                <w:szCs w:val="21"/>
              </w:rPr>
              <w:t>覆盖</w:t>
            </w:r>
          </w:p>
        </w:tc>
      </w:tr>
      <w:tr w14:paraId="6ADC10DF">
        <w:tblPrEx>
          <w:tblCellMar>
            <w:top w:w="0" w:type="dxa"/>
            <w:left w:w="108" w:type="dxa"/>
            <w:bottom w:w="0" w:type="dxa"/>
            <w:right w:w="108" w:type="dxa"/>
          </w:tblCellMar>
        </w:tblPrEx>
        <w:trPr>
          <w:trHeight w:val="440" w:hRule="atLeast"/>
          <w:jc w:val="center"/>
        </w:trPr>
        <w:tc>
          <w:tcPr>
            <w:tcW w:w="393" w:type="pct"/>
            <w:tcBorders>
              <w:top w:val="single" w:color="auto" w:sz="4" w:space="0"/>
              <w:left w:val="single" w:color="auto" w:sz="4" w:space="0"/>
              <w:bottom w:val="nil"/>
              <w:right w:val="single" w:color="auto" w:sz="4" w:space="0"/>
            </w:tcBorders>
            <w:vAlign w:val="center"/>
          </w:tcPr>
          <w:p w14:paraId="4C7CF13D">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3</w:t>
            </w:r>
          </w:p>
        </w:tc>
        <w:tc>
          <w:tcPr>
            <w:tcW w:w="1404" w:type="pct"/>
            <w:tcBorders>
              <w:top w:val="single" w:color="auto" w:sz="4" w:space="0"/>
              <w:left w:val="single" w:color="auto" w:sz="4" w:space="0"/>
              <w:bottom w:val="nil"/>
              <w:right w:val="single" w:color="auto" w:sz="4" w:space="0"/>
            </w:tcBorders>
            <w:vAlign w:val="center"/>
          </w:tcPr>
          <w:p w14:paraId="42FE7723">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在线技术支持</w:t>
            </w:r>
          </w:p>
        </w:tc>
        <w:tc>
          <w:tcPr>
            <w:tcW w:w="3203" w:type="pct"/>
            <w:tcBorders>
              <w:top w:val="nil"/>
              <w:left w:val="nil"/>
              <w:bottom w:val="single" w:color="auto" w:sz="4" w:space="0"/>
              <w:right w:val="single" w:color="auto" w:sz="4" w:space="0"/>
            </w:tcBorders>
            <w:vAlign w:val="center"/>
          </w:tcPr>
          <w:p w14:paraId="04DD513B">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技术信息共享和补丁下载</w:t>
            </w:r>
          </w:p>
        </w:tc>
      </w:tr>
      <w:tr w14:paraId="1A667009">
        <w:tblPrEx>
          <w:tblCellMar>
            <w:top w:w="0" w:type="dxa"/>
            <w:left w:w="108" w:type="dxa"/>
            <w:bottom w:w="0" w:type="dxa"/>
            <w:right w:w="108" w:type="dxa"/>
          </w:tblCellMar>
        </w:tblPrEx>
        <w:trPr>
          <w:trHeight w:val="521" w:hRule="atLeast"/>
          <w:jc w:val="center"/>
        </w:trPr>
        <w:tc>
          <w:tcPr>
            <w:tcW w:w="393" w:type="pct"/>
            <w:tcBorders>
              <w:top w:val="single" w:color="auto" w:sz="4" w:space="0"/>
              <w:left w:val="single" w:color="auto" w:sz="4" w:space="0"/>
              <w:bottom w:val="single" w:color="auto" w:sz="4" w:space="0"/>
              <w:right w:val="single" w:color="auto" w:sz="4" w:space="0"/>
            </w:tcBorders>
            <w:vAlign w:val="center"/>
          </w:tcPr>
          <w:p w14:paraId="045EF697">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4</w:t>
            </w:r>
          </w:p>
        </w:tc>
        <w:tc>
          <w:tcPr>
            <w:tcW w:w="1404" w:type="pct"/>
            <w:tcBorders>
              <w:top w:val="single" w:color="auto" w:sz="4" w:space="0"/>
              <w:left w:val="single" w:color="auto" w:sz="4" w:space="0"/>
              <w:bottom w:val="single" w:color="auto" w:sz="4" w:space="0"/>
              <w:right w:val="single" w:color="auto" w:sz="4" w:space="0"/>
            </w:tcBorders>
            <w:vAlign w:val="center"/>
          </w:tcPr>
          <w:p w14:paraId="607BF8F7">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软件更新授权</w:t>
            </w:r>
          </w:p>
        </w:tc>
        <w:tc>
          <w:tcPr>
            <w:tcW w:w="3203" w:type="pct"/>
            <w:tcBorders>
              <w:top w:val="nil"/>
              <w:left w:val="nil"/>
              <w:bottom w:val="single" w:color="auto" w:sz="4" w:space="0"/>
              <w:right w:val="single" w:color="auto" w:sz="4" w:space="0"/>
            </w:tcBorders>
            <w:vAlign w:val="center"/>
          </w:tcPr>
          <w:p w14:paraId="339DC281">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提供主机版本软件的维护版本(补丁和小版本)</w:t>
            </w:r>
          </w:p>
        </w:tc>
      </w:tr>
      <w:tr w14:paraId="1385F874">
        <w:tblPrEx>
          <w:tblCellMar>
            <w:top w:w="0" w:type="dxa"/>
            <w:left w:w="108" w:type="dxa"/>
            <w:bottom w:w="0" w:type="dxa"/>
            <w:right w:w="108" w:type="dxa"/>
          </w:tblCellMar>
        </w:tblPrEx>
        <w:trPr>
          <w:trHeight w:val="459" w:hRule="atLeast"/>
          <w:jc w:val="center"/>
        </w:trPr>
        <w:tc>
          <w:tcPr>
            <w:tcW w:w="393" w:type="pct"/>
            <w:tcBorders>
              <w:top w:val="single" w:color="auto" w:sz="4" w:space="0"/>
              <w:left w:val="single" w:color="auto" w:sz="4" w:space="0"/>
              <w:bottom w:val="single" w:color="auto" w:sz="4" w:space="0"/>
              <w:right w:val="single" w:color="auto" w:sz="4" w:space="0"/>
            </w:tcBorders>
            <w:vAlign w:val="center"/>
          </w:tcPr>
          <w:p w14:paraId="25AF6BD5">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5</w:t>
            </w:r>
          </w:p>
        </w:tc>
        <w:tc>
          <w:tcPr>
            <w:tcW w:w="1404" w:type="pct"/>
            <w:tcBorders>
              <w:top w:val="single" w:color="auto" w:sz="4" w:space="0"/>
              <w:left w:val="single" w:color="auto" w:sz="4" w:space="0"/>
              <w:bottom w:val="single" w:color="auto" w:sz="4" w:space="0"/>
              <w:right w:val="single" w:color="auto" w:sz="4" w:space="0"/>
            </w:tcBorders>
            <w:vAlign w:val="center"/>
          </w:tcPr>
          <w:p w14:paraId="1878AAFD">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备件先行</w:t>
            </w:r>
          </w:p>
        </w:tc>
        <w:tc>
          <w:tcPr>
            <w:tcW w:w="3203" w:type="pct"/>
            <w:vMerge w:val="restart"/>
            <w:tcBorders>
              <w:top w:val="single" w:color="auto" w:sz="4" w:space="0"/>
              <w:left w:val="nil"/>
              <w:bottom w:val="single" w:color="auto" w:sz="4" w:space="0"/>
              <w:right w:val="single" w:color="auto" w:sz="4" w:space="0"/>
            </w:tcBorders>
            <w:vAlign w:val="center"/>
          </w:tcPr>
          <w:p w14:paraId="543FB01B">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按照维保设备清单中续保说明要求的现场服务时间和备件到达时间执行</w:t>
            </w:r>
          </w:p>
        </w:tc>
      </w:tr>
      <w:tr w14:paraId="219D3754">
        <w:tblPrEx>
          <w:tblCellMar>
            <w:top w:w="0" w:type="dxa"/>
            <w:left w:w="108" w:type="dxa"/>
            <w:bottom w:w="0" w:type="dxa"/>
            <w:right w:w="108" w:type="dxa"/>
          </w:tblCellMar>
        </w:tblPrEx>
        <w:trPr>
          <w:trHeight w:val="565" w:hRule="atLeast"/>
          <w:jc w:val="center"/>
        </w:trPr>
        <w:tc>
          <w:tcPr>
            <w:tcW w:w="393" w:type="pct"/>
            <w:tcBorders>
              <w:top w:val="single" w:color="auto" w:sz="4" w:space="0"/>
              <w:left w:val="single" w:color="auto" w:sz="4" w:space="0"/>
              <w:bottom w:val="single" w:color="auto" w:sz="4" w:space="0"/>
              <w:right w:val="single" w:color="auto" w:sz="4" w:space="0"/>
            </w:tcBorders>
            <w:vAlign w:val="center"/>
          </w:tcPr>
          <w:p w14:paraId="3879159B">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6</w:t>
            </w:r>
          </w:p>
        </w:tc>
        <w:tc>
          <w:tcPr>
            <w:tcW w:w="1404" w:type="pct"/>
            <w:tcBorders>
              <w:top w:val="single" w:color="auto" w:sz="4" w:space="0"/>
              <w:left w:val="single" w:color="auto" w:sz="4" w:space="0"/>
              <w:bottom w:val="single" w:color="auto" w:sz="4" w:space="0"/>
              <w:right w:val="single" w:color="auto" w:sz="4" w:space="0"/>
            </w:tcBorders>
            <w:vAlign w:val="center"/>
          </w:tcPr>
          <w:p w14:paraId="17DE8118">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现场工程师硬件更换</w:t>
            </w:r>
          </w:p>
        </w:tc>
        <w:tc>
          <w:tcPr>
            <w:tcW w:w="3203" w:type="pct"/>
            <w:vMerge w:val="continue"/>
            <w:tcBorders>
              <w:top w:val="single" w:color="auto" w:sz="4" w:space="0"/>
              <w:left w:val="nil"/>
              <w:bottom w:val="single" w:color="auto" w:sz="4" w:space="0"/>
              <w:right w:val="single" w:color="auto" w:sz="4" w:space="0"/>
            </w:tcBorders>
            <w:vAlign w:val="center"/>
          </w:tcPr>
          <w:p w14:paraId="5F197A24">
            <w:pPr>
              <w:spacing w:line="360" w:lineRule="auto"/>
              <w:jc w:val="center"/>
              <w:rPr>
                <w:rFonts w:hint="eastAsia" w:ascii="宋体" w:hAnsi="宋体" w:cs="宋体"/>
                <w:color w:val="000000"/>
                <w:sz w:val="21"/>
                <w:szCs w:val="21"/>
              </w:rPr>
            </w:pPr>
          </w:p>
        </w:tc>
      </w:tr>
      <w:tr w14:paraId="6C803D96">
        <w:tblPrEx>
          <w:tblCellMar>
            <w:top w:w="0" w:type="dxa"/>
            <w:left w:w="108" w:type="dxa"/>
            <w:bottom w:w="0" w:type="dxa"/>
            <w:right w:w="108" w:type="dxa"/>
          </w:tblCellMar>
        </w:tblPrEx>
        <w:trPr>
          <w:trHeight w:val="521" w:hRule="atLeast"/>
          <w:jc w:val="center"/>
        </w:trPr>
        <w:tc>
          <w:tcPr>
            <w:tcW w:w="393" w:type="pct"/>
            <w:tcBorders>
              <w:top w:val="single" w:color="auto" w:sz="4" w:space="0"/>
              <w:left w:val="single" w:color="auto" w:sz="4" w:space="0"/>
              <w:bottom w:val="single" w:color="auto" w:sz="4" w:space="0"/>
              <w:right w:val="single" w:color="auto" w:sz="4" w:space="0"/>
            </w:tcBorders>
            <w:vAlign w:val="center"/>
          </w:tcPr>
          <w:p w14:paraId="131E49B2">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7</w:t>
            </w:r>
          </w:p>
        </w:tc>
        <w:tc>
          <w:tcPr>
            <w:tcW w:w="1404" w:type="pct"/>
            <w:tcBorders>
              <w:top w:val="single" w:color="auto" w:sz="4" w:space="0"/>
              <w:left w:val="single" w:color="auto" w:sz="4" w:space="0"/>
              <w:bottom w:val="single" w:color="auto" w:sz="4" w:space="0"/>
              <w:right w:val="single" w:color="auto" w:sz="4" w:space="0"/>
            </w:tcBorders>
            <w:vAlign w:val="center"/>
          </w:tcPr>
          <w:p w14:paraId="36CC7698">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现场问题处理</w:t>
            </w:r>
          </w:p>
        </w:tc>
        <w:tc>
          <w:tcPr>
            <w:tcW w:w="3203" w:type="pct"/>
            <w:vMerge w:val="continue"/>
            <w:tcBorders>
              <w:top w:val="single" w:color="auto" w:sz="4" w:space="0"/>
              <w:left w:val="nil"/>
              <w:bottom w:val="single" w:color="auto" w:sz="4" w:space="0"/>
              <w:right w:val="single" w:color="auto" w:sz="4" w:space="0"/>
            </w:tcBorders>
            <w:vAlign w:val="center"/>
          </w:tcPr>
          <w:p w14:paraId="672B2D08">
            <w:pPr>
              <w:spacing w:line="360" w:lineRule="auto"/>
              <w:jc w:val="center"/>
              <w:rPr>
                <w:rFonts w:hint="eastAsia" w:ascii="宋体" w:hAnsi="宋体" w:cs="宋体"/>
                <w:color w:val="000000"/>
                <w:sz w:val="21"/>
                <w:szCs w:val="21"/>
              </w:rPr>
            </w:pPr>
          </w:p>
        </w:tc>
      </w:tr>
      <w:tr w14:paraId="30AE2079">
        <w:tblPrEx>
          <w:tblCellMar>
            <w:top w:w="0" w:type="dxa"/>
            <w:left w:w="108" w:type="dxa"/>
            <w:bottom w:w="0" w:type="dxa"/>
            <w:right w:w="108" w:type="dxa"/>
          </w:tblCellMar>
        </w:tblPrEx>
        <w:trPr>
          <w:trHeight w:val="521" w:hRule="atLeast"/>
          <w:jc w:val="center"/>
        </w:trPr>
        <w:tc>
          <w:tcPr>
            <w:tcW w:w="393" w:type="pct"/>
            <w:tcBorders>
              <w:top w:val="single" w:color="auto" w:sz="4" w:space="0"/>
              <w:left w:val="single" w:color="auto" w:sz="4" w:space="0"/>
              <w:bottom w:val="single" w:color="auto" w:sz="4" w:space="0"/>
              <w:right w:val="single" w:color="auto" w:sz="4" w:space="0"/>
            </w:tcBorders>
            <w:vAlign w:val="center"/>
          </w:tcPr>
          <w:p w14:paraId="795932F4">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8</w:t>
            </w:r>
          </w:p>
        </w:tc>
        <w:tc>
          <w:tcPr>
            <w:tcW w:w="1404" w:type="pct"/>
            <w:tcBorders>
              <w:top w:val="single" w:color="auto" w:sz="4" w:space="0"/>
              <w:left w:val="single" w:color="auto" w:sz="4" w:space="0"/>
              <w:bottom w:val="single" w:color="auto" w:sz="4" w:space="0"/>
              <w:right w:val="single" w:color="auto" w:sz="4" w:space="0"/>
            </w:tcBorders>
            <w:vAlign w:val="center"/>
          </w:tcPr>
          <w:p w14:paraId="135CC403">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设备健康检查</w:t>
            </w:r>
          </w:p>
        </w:tc>
        <w:tc>
          <w:tcPr>
            <w:tcW w:w="3203" w:type="pct"/>
            <w:tcBorders>
              <w:top w:val="single" w:color="auto" w:sz="4" w:space="0"/>
              <w:left w:val="nil"/>
              <w:bottom w:val="single" w:color="auto" w:sz="4" w:space="0"/>
              <w:right w:val="single" w:color="auto" w:sz="4" w:space="0"/>
            </w:tcBorders>
            <w:vAlign w:val="center"/>
          </w:tcPr>
          <w:p w14:paraId="1C14E63D">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每年提供不少于2次健康检查</w:t>
            </w:r>
          </w:p>
        </w:tc>
      </w:tr>
    </w:tbl>
    <w:p w14:paraId="5652C2E2">
      <w:pPr>
        <w:spacing w:line="360" w:lineRule="auto"/>
        <w:ind w:firstLine="420" w:firstLineChars="200"/>
        <w:rPr>
          <w:rFonts w:hint="eastAsia" w:ascii="宋体" w:hAnsi="宋体" w:cs="宋体"/>
          <w:bCs/>
          <w:color w:val="000000"/>
          <w:sz w:val="21"/>
          <w:szCs w:val="21"/>
        </w:rPr>
      </w:pPr>
      <w:r>
        <w:rPr>
          <w:rFonts w:hint="eastAsia" w:ascii="宋体" w:hAnsi="宋体" w:cs="宋体"/>
          <w:bCs/>
          <w:color w:val="000000"/>
          <w:sz w:val="21"/>
          <w:szCs w:val="21"/>
        </w:rPr>
        <w:t>1、原厂服务热线电话</w:t>
      </w:r>
    </w:p>
    <w:p w14:paraId="707A0982">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中标人需专门设立</w:t>
      </w:r>
      <w:r>
        <w:rPr>
          <w:rFonts w:hint="eastAsia" w:ascii="宋体" w:hAnsi="宋体" w:cs="宋体"/>
          <w:sz w:val="21"/>
          <w:szCs w:val="21"/>
        </w:rPr>
        <w:t>原厂服务</w:t>
      </w:r>
      <w:r>
        <w:rPr>
          <w:rFonts w:hint="eastAsia" w:ascii="宋体" w:hAnsi="宋体" w:cs="宋体"/>
          <w:color w:val="000000"/>
          <w:sz w:val="21"/>
          <w:szCs w:val="21"/>
        </w:rPr>
        <w:t>热线电话，为采购人提供24小时不间断的售后技术支持（故障申报、硬件报修等）、销售及购买咨询、服务政策咨询、投诉及建议等服务请求受理。</w:t>
      </w:r>
    </w:p>
    <w:p w14:paraId="6E047AB5">
      <w:pPr>
        <w:spacing w:line="360" w:lineRule="auto"/>
        <w:ind w:firstLine="420" w:firstLineChars="200"/>
        <w:rPr>
          <w:rFonts w:hint="eastAsia" w:ascii="宋体" w:hAnsi="宋体" w:cs="宋体"/>
          <w:bCs/>
          <w:color w:val="000000"/>
          <w:sz w:val="21"/>
          <w:szCs w:val="21"/>
        </w:rPr>
      </w:pPr>
      <w:r>
        <w:rPr>
          <w:rFonts w:hint="eastAsia" w:ascii="宋体" w:hAnsi="宋体" w:cs="宋体"/>
          <w:bCs/>
          <w:color w:val="000000"/>
          <w:sz w:val="21"/>
          <w:szCs w:val="21"/>
        </w:rPr>
        <w:t>2、远程问题处理</w:t>
      </w:r>
    </w:p>
    <w:p w14:paraId="46B6FEC2">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中标人工程师在接到网络或系统故障申报后，将首先进行远程故障分析与处理，及时排除故障。远程问题处理包括电话支持和远程接入。</w:t>
      </w:r>
    </w:p>
    <w:p w14:paraId="7D35B4F2">
      <w:pPr>
        <w:spacing w:line="360" w:lineRule="auto"/>
        <w:ind w:firstLine="420" w:firstLineChars="200"/>
        <w:rPr>
          <w:rFonts w:hint="eastAsia" w:ascii="宋体" w:hAnsi="宋体" w:cs="宋体"/>
          <w:bCs/>
          <w:color w:val="000000"/>
          <w:sz w:val="21"/>
          <w:szCs w:val="21"/>
        </w:rPr>
      </w:pPr>
      <w:r>
        <w:rPr>
          <w:rFonts w:hint="eastAsia" w:ascii="宋体" w:hAnsi="宋体" w:cs="宋体"/>
          <w:bCs/>
          <w:color w:val="000000"/>
          <w:sz w:val="21"/>
          <w:szCs w:val="21"/>
        </w:rPr>
        <w:t>1）电话支持</w:t>
      </w:r>
    </w:p>
    <w:p w14:paraId="6E34D006">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中标人接到服务请求后，将在服务等级规定的响应时间内通过电话支持进行响应，帮助采购人对问题进行分析、诊断以及定位，提供解决问题的方案，并引导采购人实施。</w:t>
      </w:r>
    </w:p>
    <w:p w14:paraId="676BE98B">
      <w:pPr>
        <w:spacing w:line="360" w:lineRule="auto"/>
        <w:ind w:firstLine="420" w:firstLineChars="200"/>
        <w:rPr>
          <w:rFonts w:hint="eastAsia" w:ascii="宋体" w:hAnsi="宋体" w:cs="宋体"/>
          <w:bCs/>
          <w:color w:val="000000"/>
          <w:sz w:val="21"/>
          <w:szCs w:val="21"/>
        </w:rPr>
      </w:pPr>
      <w:r>
        <w:rPr>
          <w:rFonts w:hint="eastAsia" w:ascii="宋体" w:hAnsi="宋体" w:cs="宋体"/>
          <w:bCs/>
          <w:color w:val="000000"/>
          <w:sz w:val="21"/>
          <w:szCs w:val="21"/>
        </w:rPr>
        <w:t>2）远程接入</w:t>
      </w:r>
    </w:p>
    <w:p w14:paraId="792EFA3C">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对于通过电话支持服务不能解决的故障或问题，中标人在征得采购人同意后，通过远程终端登陆到故障设备中调查和收集数据，分析故障原因，提出解决方案，指导采购人实施，必要时可以提供远程操作。</w:t>
      </w:r>
    </w:p>
    <w:p w14:paraId="6F7FA921">
      <w:pPr>
        <w:spacing w:line="360" w:lineRule="auto"/>
        <w:ind w:firstLine="420" w:firstLineChars="200"/>
        <w:rPr>
          <w:rFonts w:hint="eastAsia" w:ascii="宋体" w:hAnsi="宋体" w:cs="宋体"/>
          <w:bCs/>
          <w:color w:val="000000"/>
          <w:sz w:val="21"/>
          <w:szCs w:val="21"/>
        </w:rPr>
      </w:pPr>
      <w:r>
        <w:rPr>
          <w:rFonts w:hint="eastAsia" w:ascii="宋体" w:hAnsi="宋体" w:cs="宋体"/>
          <w:bCs/>
          <w:color w:val="000000"/>
          <w:sz w:val="21"/>
          <w:szCs w:val="21"/>
        </w:rPr>
        <w:t>3、在线技术支持</w:t>
      </w:r>
    </w:p>
    <w:p w14:paraId="6DD7CF91">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应为采购人开通设备原厂官网相应权限，使采购人可以访问设备原厂公司网站并下载相关资料，及时掌握最新的维护经验和技巧、获得最新的产品知识。设备原厂公司官网需提供大量的产品和技术资料，如产品手册、配置指南、组网案例、维护经验汇总等。</w:t>
      </w:r>
    </w:p>
    <w:p w14:paraId="3D539E38">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此外，网站提供智能问答服务，支持实时在线问题求助。</w:t>
      </w:r>
    </w:p>
    <w:p w14:paraId="1F2EAC32">
      <w:pPr>
        <w:spacing w:line="360" w:lineRule="auto"/>
        <w:ind w:firstLine="420" w:firstLineChars="200"/>
        <w:rPr>
          <w:rFonts w:hint="eastAsia" w:ascii="宋体" w:hAnsi="宋体" w:cs="宋体"/>
          <w:bCs/>
          <w:color w:val="000000"/>
          <w:sz w:val="21"/>
          <w:szCs w:val="21"/>
        </w:rPr>
      </w:pPr>
      <w:r>
        <w:rPr>
          <w:rFonts w:hint="eastAsia" w:ascii="宋体" w:hAnsi="宋体" w:cs="宋体"/>
          <w:bCs/>
          <w:color w:val="000000"/>
          <w:sz w:val="21"/>
          <w:szCs w:val="21"/>
        </w:rPr>
        <w:t>4、软件更新授权</w:t>
      </w:r>
    </w:p>
    <w:p w14:paraId="0423E914">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为确保采购人购买设备的稳定运行，中标人向采购人提供原厂软件修正补丁，由采购人自行安装。补丁是指对原授权软件所做的修正和补充，是此版本软件运行过程中已发现问题的解决措施，这些软件补丁都在实际应用环境或者模拟实验网中得到改进和验证，将对原授权软件起到消除运行隐患的作用。</w:t>
      </w:r>
    </w:p>
    <w:p w14:paraId="22978CEB">
      <w:pPr>
        <w:spacing w:line="360" w:lineRule="auto"/>
        <w:ind w:firstLine="422" w:firstLineChars="200"/>
        <w:rPr>
          <w:rFonts w:hint="eastAsia" w:ascii="宋体" w:hAnsi="宋体" w:cs="宋体"/>
          <w:b/>
          <w:color w:val="000000"/>
          <w:sz w:val="21"/>
          <w:szCs w:val="21"/>
        </w:rPr>
      </w:pPr>
      <w:r>
        <w:rPr>
          <w:rFonts w:hint="eastAsia" w:ascii="宋体" w:hAnsi="宋体" w:cs="宋体"/>
          <w:b/>
          <w:color w:val="000000"/>
          <w:sz w:val="21"/>
          <w:szCs w:val="21"/>
        </w:rPr>
        <w:t>注意：</w:t>
      </w:r>
    </w:p>
    <w:p w14:paraId="39CDDF29">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1）采购人可通过设备原厂技术支持网站获得软件修正补丁，更新实施由采购人完成。</w:t>
      </w:r>
    </w:p>
    <w:p w14:paraId="66D697DE">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2）新功能新特性的提供不在该服务的范围内。</w:t>
      </w:r>
    </w:p>
    <w:p w14:paraId="7140D62F">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3）此服务仅针对主机版本软件，不包含业务软件（如网管软件等）更新。</w:t>
      </w:r>
    </w:p>
    <w:p w14:paraId="593E0237">
      <w:pPr>
        <w:spacing w:line="360" w:lineRule="auto"/>
        <w:ind w:firstLine="420" w:firstLineChars="200"/>
        <w:rPr>
          <w:rFonts w:hint="eastAsia" w:ascii="宋体" w:hAnsi="宋体" w:cs="宋体"/>
          <w:bCs/>
          <w:color w:val="000000"/>
          <w:sz w:val="21"/>
          <w:szCs w:val="21"/>
        </w:rPr>
      </w:pPr>
      <w:r>
        <w:rPr>
          <w:rFonts w:hint="eastAsia" w:ascii="宋体" w:hAnsi="宋体" w:cs="宋体"/>
          <w:bCs/>
          <w:color w:val="000000"/>
          <w:sz w:val="21"/>
          <w:szCs w:val="21"/>
        </w:rPr>
        <w:t>5、备件更换服务</w:t>
      </w:r>
    </w:p>
    <w:p w14:paraId="2D316EC9">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采购人发现设备故障后联系中标人，由中标人提出故障诊断申请，判断设备为硬件故障后，中标人可在设备原厂的客户自助服务平台提交RMA申请。提交RMA提交审批后，需要在承诺的时限内将备件运抵到RMA申请中的指定地点。为了保证采购人获得相应的服务内容，需要提供包含但不限于以下信息：</w:t>
      </w:r>
    </w:p>
    <w:p w14:paraId="3EE18552">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w:t>
      </w:r>
      <w:r>
        <w:rPr>
          <w:rFonts w:hint="eastAsia" w:ascii="宋体" w:hAnsi="宋体" w:cs="宋体"/>
          <w:color w:val="000000"/>
          <w:sz w:val="21"/>
          <w:szCs w:val="21"/>
        </w:rPr>
        <w:tab/>
      </w:r>
      <w:r>
        <w:rPr>
          <w:rFonts w:hint="eastAsia" w:ascii="宋体" w:hAnsi="宋体" w:cs="宋体"/>
          <w:color w:val="000000"/>
          <w:sz w:val="21"/>
          <w:szCs w:val="21"/>
        </w:rPr>
        <w:t>客户服务ID号</w:t>
      </w:r>
    </w:p>
    <w:p w14:paraId="14C7A922">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w:t>
      </w:r>
      <w:r>
        <w:rPr>
          <w:rFonts w:hint="eastAsia" w:ascii="宋体" w:hAnsi="宋体" w:cs="宋体"/>
          <w:color w:val="000000"/>
          <w:sz w:val="21"/>
          <w:szCs w:val="21"/>
        </w:rPr>
        <w:tab/>
      </w:r>
      <w:r>
        <w:rPr>
          <w:rFonts w:hint="eastAsia" w:ascii="宋体" w:hAnsi="宋体" w:cs="宋体"/>
          <w:color w:val="000000"/>
          <w:sz w:val="21"/>
          <w:szCs w:val="21"/>
        </w:rPr>
        <w:t>设备的机箱/坏件序列号</w:t>
      </w:r>
    </w:p>
    <w:p w14:paraId="35706236">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w:t>
      </w:r>
      <w:r>
        <w:rPr>
          <w:rFonts w:hint="eastAsia" w:ascii="宋体" w:hAnsi="宋体" w:cs="宋体"/>
          <w:color w:val="000000"/>
          <w:sz w:val="21"/>
          <w:szCs w:val="21"/>
        </w:rPr>
        <w:tab/>
      </w:r>
      <w:r>
        <w:rPr>
          <w:rFonts w:hint="eastAsia" w:ascii="宋体" w:hAnsi="宋体" w:cs="宋体"/>
          <w:color w:val="000000"/>
          <w:sz w:val="21"/>
          <w:szCs w:val="21"/>
        </w:rPr>
        <w:t>设备安装地点详细地址</w:t>
      </w:r>
    </w:p>
    <w:p w14:paraId="7212CD42">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w:t>
      </w:r>
      <w:r>
        <w:rPr>
          <w:rFonts w:hint="eastAsia" w:ascii="宋体" w:hAnsi="宋体" w:cs="宋体"/>
          <w:color w:val="000000"/>
          <w:sz w:val="21"/>
          <w:szCs w:val="21"/>
        </w:rPr>
        <w:tab/>
      </w:r>
      <w:r>
        <w:rPr>
          <w:rFonts w:hint="eastAsia" w:ascii="宋体" w:hAnsi="宋体" w:cs="宋体"/>
          <w:color w:val="000000"/>
          <w:sz w:val="21"/>
          <w:szCs w:val="21"/>
        </w:rPr>
        <w:t>设备故障详细信息</w:t>
      </w:r>
    </w:p>
    <w:p w14:paraId="7DA21810">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应与多家专业的物流公司合作建立和拥有业界领先快速的备件物流体系，可向采购人提供及时周到的快速备件更换服务。具备全系列设备备件覆盖能力，备件种类和数量必须能够覆盖采购人本项目涉及的所有设备型号产品的全种类部件。如采购人需要也可以提供专业的故障件分析流程，中标人可向原厂提出申请故障分析报告，并可以向采购人提供硬件分析报告。投标人具备完善的备件供应和保障体系，所提供的备品备件质量应符合原厂技术标准，并提供原厂商证明函。</w:t>
      </w:r>
    </w:p>
    <w:p w14:paraId="0D114F4D">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投标人须承诺为本项目中的所有设备提供满足服务期限的备品备件，且承诺所有用于本项目中的备品备件必须全部来自于原厂商的100%原装备件。</w:t>
      </w:r>
    </w:p>
    <w:p w14:paraId="5AB93C0D">
      <w:pPr>
        <w:spacing w:line="360" w:lineRule="auto"/>
        <w:ind w:firstLine="420" w:firstLineChars="200"/>
        <w:rPr>
          <w:rFonts w:hint="eastAsia" w:ascii="宋体" w:hAnsi="宋体" w:cs="宋体"/>
          <w:bCs/>
          <w:color w:val="000000"/>
          <w:sz w:val="21"/>
          <w:szCs w:val="21"/>
        </w:rPr>
      </w:pPr>
      <w:r>
        <w:rPr>
          <w:rFonts w:hint="eastAsia" w:ascii="宋体" w:hAnsi="宋体" w:cs="宋体"/>
          <w:bCs/>
          <w:color w:val="000000"/>
          <w:sz w:val="21"/>
          <w:szCs w:val="21"/>
        </w:rPr>
        <w:t>6、现场工程师硬件更换服务</w:t>
      </w:r>
    </w:p>
    <w:p w14:paraId="59FDF7F8">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优先通过远程处理和解决问题，对于定位为需要硬件更换才能解决的问题，中标人需安排经验丰富的技术支持工程师在服务协议规定时间内赴采购人现场，进行现场硬件更换，排除故障使系统恢复正常运行。</w:t>
      </w:r>
    </w:p>
    <w:p w14:paraId="124F6FAC">
      <w:pPr>
        <w:spacing w:line="360" w:lineRule="auto"/>
        <w:ind w:firstLine="420" w:firstLineChars="200"/>
        <w:rPr>
          <w:rFonts w:hint="eastAsia" w:ascii="宋体" w:hAnsi="宋体" w:cs="宋体"/>
          <w:bCs/>
          <w:color w:val="000000"/>
          <w:sz w:val="21"/>
          <w:szCs w:val="21"/>
        </w:rPr>
      </w:pPr>
      <w:r>
        <w:rPr>
          <w:rFonts w:hint="eastAsia" w:ascii="宋体" w:hAnsi="宋体" w:cs="宋体"/>
          <w:bCs/>
          <w:color w:val="000000"/>
          <w:sz w:val="21"/>
          <w:szCs w:val="21"/>
        </w:rPr>
        <w:t>7、现场问题处理</w:t>
      </w:r>
    </w:p>
    <w:p w14:paraId="09007DB0">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优先通过远程处理和解决问题，如果遇到通过远程技术支持不能有效解决的设备问题，中标人需安排经验丰富的原厂技术支持工程师在服务协议规定时间内赴采购人现场，协助客户进行现场故障诊断、制定故障恢复方案并现场排除故障。</w:t>
      </w:r>
    </w:p>
    <w:p w14:paraId="5A53F6C3">
      <w:pPr>
        <w:spacing w:line="360" w:lineRule="auto"/>
        <w:ind w:firstLine="420" w:firstLineChars="200"/>
        <w:rPr>
          <w:rFonts w:hint="eastAsia" w:ascii="宋体" w:hAnsi="宋体" w:cs="宋体"/>
          <w:bCs/>
          <w:color w:val="000000"/>
          <w:sz w:val="21"/>
          <w:szCs w:val="21"/>
        </w:rPr>
      </w:pPr>
      <w:r>
        <w:rPr>
          <w:rFonts w:hint="eastAsia" w:ascii="宋体" w:hAnsi="宋体" w:cs="宋体"/>
          <w:bCs/>
          <w:color w:val="000000"/>
          <w:sz w:val="21"/>
          <w:szCs w:val="21"/>
        </w:rPr>
        <w:t>8、设备健康检查</w:t>
      </w:r>
    </w:p>
    <w:p w14:paraId="6397403A">
      <w:pPr>
        <w:spacing w:line="360" w:lineRule="auto"/>
        <w:ind w:firstLine="420" w:firstLineChars="200"/>
        <w:rPr>
          <w:rFonts w:hint="eastAsia" w:ascii="宋体" w:hAnsi="宋体" w:cs="宋体"/>
          <w:sz w:val="21"/>
          <w:szCs w:val="21"/>
        </w:rPr>
      </w:pPr>
      <w:r>
        <w:rPr>
          <w:rFonts w:hint="eastAsia" w:ascii="宋体" w:hAnsi="宋体" w:cs="宋体"/>
          <w:color w:val="000000"/>
          <w:sz w:val="21"/>
          <w:szCs w:val="21"/>
        </w:rPr>
        <w:t>根据计划对双方约定的网络中的设备的数据配置、运行状态等各项内容检查和分析，中标人发现设备运行中存在的问题和潜在风险，并对检查结果进行总结报告和提出相应的措施建议，保障采购人的网络安全、高效运行。</w:t>
      </w:r>
    </w:p>
    <w:p w14:paraId="04900EDD">
      <w:pPr>
        <w:spacing w:line="360" w:lineRule="auto"/>
        <w:rPr>
          <w:rFonts w:hint="eastAsia" w:ascii="宋体" w:hAnsi="宋体" w:cs="宋体"/>
          <w:bCs/>
          <w:sz w:val="21"/>
          <w:szCs w:val="21"/>
        </w:rPr>
      </w:pPr>
      <w:r>
        <w:rPr>
          <w:rFonts w:hint="eastAsia" w:ascii="宋体" w:hAnsi="宋体" w:cs="宋体"/>
          <w:bCs/>
          <w:sz w:val="21"/>
          <w:szCs w:val="21"/>
        </w:rPr>
        <w:t>（二）服务等级要求</w:t>
      </w:r>
    </w:p>
    <w:p w14:paraId="1AF05018">
      <w:pPr>
        <w:tabs>
          <w:tab w:val="left" w:pos="900"/>
        </w:tabs>
        <w:spacing w:line="360" w:lineRule="auto"/>
        <w:ind w:firstLine="420" w:firstLineChars="200"/>
        <w:rPr>
          <w:rFonts w:hint="eastAsia" w:ascii="宋体" w:hAnsi="宋体" w:cs="宋体"/>
          <w:sz w:val="21"/>
          <w:szCs w:val="21"/>
        </w:rPr>
      </w:pPr>
      <w:r>
        <w:rPr>
          <w:rFonts w:hint="eastAsia" w:ascii="宋体" w:hAnsi="宋体" w:cs="宋体"/>
          <w:sz w:val="21"/>
          <w:szCs w:val="21"/>
        </w:rPr>
        <w:t>1、故障级别定义</w:t>
      </w:r>
    </w:p>
    <w:tbl>
      <w:tblPr>
        <w:tblStyle w:val="6"/>
        <w:tblW w:w="4998" w:type="pct"/>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autofit"/>
        <w:tblCellMar>
          <w:top w:w="0" w:type="dxa"/>
          <w:left w:w="108" w:type="dxa"/>
          <w:bottom w:w="0" w:type="dxa"/>
          <w:right w:w="108" w:type="dxa"/>
        </w:tblCellMar>
      </w:tblPr>
      <w:tblGrid>
        <w:gridCol w:w="1714"/>
        <w:gridCol w:w="3625"/>
        <w:gridCol w:w="3180"/>
      </w:tblGrid>
      <w:tr w14:paraId="1963A9B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70" w:hRule="atLeast"/>
          <w:jc w:val="center"/>
        </w:trPr>
        <w:tc>
          <w:tcPr>
            <w:tcW w:w="1006" w:type="pct"/>
            <w:vAlign w:val="center"/>
          </w:tcPr>
          <w:p w14:paraId="7EB9731B">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服务项目</w:t>
            </w:r>
          </w:p>
        </w:tc>
        <w:tc>
          <w:tcPr>
            <w:tcW w:w="3993" w:type="pct"/>
            <w:gridSpan w:val="2"/>
            <w:vAlign w:val="center"/>
          </w:tcPr>
          <w:p w14:paraId="0692BFD0">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服务等级</w:t>
            </w:r>
          </w:p>
        </w:tc>
      </w:tr>
      <w:tr w14:paraId="73BD4E8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70" w:hRule="atLeast"/>
          <w:jc w:val="center"/>
        </w:trPr>
        <w:tc>
          <w:tcPr>
            <w:tcW w:w="1006" w:type="pct"/>
            <w:vAlign w:val="center"/>
          </w:tcPr>
          <w:p w14:paraId="041B5E65">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电话咨询服务</w:t>
            </w:r>
          </w:p>
        </w:tc>
        <w:tc>
          <w:tcPr>
            <w:tcW w:w="3993" w:type="pct"/>
            <w:gridSpan w:val="2"/>
            <w:vAlign w:val="center"/>
          </w:tcPr>
          <w:p w14:paraId="2EB9F53B">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1、受理时间：7x24</w:t>
            </w:r>
            <w:r>
              <w:rPr>
                <w:rFonts w:hint="eastAsia" w:ascii="宋体" w:hAnsi="宋体" w:cs="宋体"/>
                <w:sz w:val="21"/>
                <w:szCs w:val="21"/>
                <w:lang w:bidi="ar"/>
              </w:rPr>
              <w:t>小时</w:t>
            </w:r>
          </w:p>
          <w:p w14:paraId="4ABCB0D2">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2、响应时间：≤15分钟</w:t>
            </w:r>
          </w:p>
        </w:tc>
      </w:tr>
      <w:tr w14:paraId="6CF5367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90" w:hRule="atLeast"/>
          <w:jc w:val="center"/>
        </w:trPr>
        <w:tc>
          <w:tcPr>
            <w:tcW w:w="1006" w:type="pct"/>
            <w:vAlign w:val="center"/>
          </w:tcPr>
          <w:p w14:paraId="4218FA29">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电话支持服务</w:t>
            </w:r>
          </w:p>
        </w:tc>
        <w:tc>
          <w:tcPr>
            <w:tcW w:w="2127" w:type="pct"/>
            <w:vAlign w:val="center"/>
          </w:tcPr>
          <w:p w14:paraId="6BAA04CF">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响应时间：≤ 15分钟；</w:t>
            </w:r>
          </w:p>
        </w:tc>
        <w:tc>
          <w:tcPr>
            <w:tcW w:w="1865" w:type="pct"/>
            <w:vMerge w:val="restart"/>
            <w:vAlign w:val="center"/>
          </w:tcPr>
          <w:p w14:paraId="211199FF">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问题解决率：</w:t>
            </w:r>
          </w:p>
          <w:p w14:paraId="51A7D9E1">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一级问题：24小时内</w:t>
            </w:r>
          </w:p>
          <w:p w14:paraId="40C634DE">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二级问题：5个工作日内解决；</w:t>
            </w:r>
          </w:p>
          <w:p w14:paraId="30875E3E">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三级问题：10个工作日内解决。</w:t>
            </w:r>
          </w:p>
        </w:tc>
      </w:tr>
      <w:tr w14:paraId="4CE3F0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70" w:hRule="atLeast"/>
          <w:jc w:val="center"/>
        </w:trPr>
        <w:tc>
          <w:tcPr>
            <w:tcW w:w="1006" w:type="pct"/>
            <w:vAlign w:val="center"/>
          </w:tcPr>
          <w:p w14:paraId="5E8ED50F">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远程技术支持服务</w:t>
            </w:r>
          </w:p>
        </w:tc>
        <w:tc>
          <w:tcPr>
            <w:tcW w:w="2127" w:type="pct"/>
            <w:vAlign w:val="center"/>
          </w:tcPr>
          <w:p w14:paraId="1070E18A">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响应时间：≤ 15分钟；</w:t>
            </w:r>
          </w:p>
        </w:tc>
        <w:tc>
          <w:tcPr>
            <w:tcW w:w="1865" w:type="pct"/>
            <w:vMerge w:val="continue"/>
            <w:vAlign w:val="center"/>
          </w:tcPr>
          <w:p w14:paraId="30465F2C">
            <w:pPr>
              <w:spacing w:line="360" w:lineRule="auto"/>
              <w:ind w:firstLine="420" w:firstLineChars="200"/>
              <w:jc w:val="center"/>
              <w:rPr>
                <w:rFonts w:hint="eastAsia" w:ascii="宋体" w:hAnsi="宋体" w:cs="宋体"/>
                <w:color w:val="000000"/>
                <w:sz w:val="21"/>
                <w:szCs w:val="21"/>
              </w:rPr>
            </w:pPr>
          </w:p>
        </w:tc>
      </w:tr>
      <w:tr w14:paraId="7118EFE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70" w:hRule="atLeast"/>
          <w:jc w:val="center"/>
        </w:trPr>
        <w:tc>
          <w:tcPr>
            <w:tcW w:w="1006" w:type="pct"/>
            <w:vAlign w:val="center"/>
          </w:tcPr>
          <w:p w14:paraId="394E9F6E">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现场技术支持服务</w:t>
            </w:r>
          </w:p>
        </w:tc>
        <w:tc>
          <w:tcPr>
            <w:tcW w:w="2127" w:type="pct"/>
            <w:vAlign w:val="center"/>
          </w:tcPr>
          <w:p w14:paraId="45C42011">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1、到达现场时间：＜ 4小时</w:t>
            </w:r>
          </w:p>
        </w:tc>
        <w:tc>
          <w:tcPr>
            <w:tcW w:w="1865" w:type="pct"/>
            <w:vMerge w:val="continue"/>
            <w:vAlign w:val="center"/>
          </w:tcPr>
          <w:p w14:paraId="1EFDEA0E">
            <w:pPr>
              <w:spacing w:line="360" w:lineRule="auto"/>
              <w:ind w:firstLine="420" w:firstLineChars="200"/>
              <w:jc w:val="center"/>
              <w:rPr>
                <w:rFonts w:hint="eastAsia" w:ascii="宋体" w:hAnsi="宋体" w:cs="宋体"/>
                <w:color w:val="000000"/>
                <w:sz w:val="21"/>
                <w:szCs w:val="21"/>
              </w:rPr>
            </w:pPr>
          </w:p>
        </w:tc>
      </w:tr>
      <w:tr w14:paraId="6DB8361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70" w:hRule="atLeast"/>
          <w:jc w:val="center"/>
        </w:trPr>
        <w:tc>
          <w:tcPr>
            <w:tcW w:w="1006" w:type="pct"/>
            <w:vAlign w:val="center"/>
          </w:tcPr>
          <w:p w14:paraId="0D17A434">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紧急故障排除服务</w:t>
            </w:r>
          </w:p>
        </w:tc>
        <w:tc>
          <w:tcPr>
            <w:tcW w:w="3993" w:type="pct"/>
            <w:gridSpan w:val="2"/>
            <w:vAlign w:val="center"/>
          </w:tcPr>
          <w:p w14:paraId="19ABFDE2">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一级问题：</w:t>
            </w:r>
          </w:p>
          <w:p w14:paraId="16FA5E69">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电话响应时间：＜ 10分钟；</w:t>
            </w:r>
          </w:p>
          <w:p w14:paraId="2A537830">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远程接入响应时间：＜ 15分钟；</w:t>
            </w:r>
          </w:p>
          <w:p w14:paraId="34DF67E5">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到达现场时间：＜ 4小时。</w:t>
            </w:r>
          </w:p>
        </w:tc>
      </w:tr>
      <w:tr w14:paraId="34141C7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70" w:hRule="atLeast"/>
          <w:jc w:val="center"/>
        </w:trPr>
        <w:tc>
          <w:tcPr>
            <w:tcW w:w="1006" w:type="pct"/>
            <w:vAlign w:val="center"/>
          </w:tcPr>
          <w:p w14:paraId="568B550F">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设备巡检服务</w:t>
            </w:r>
          </w:p>
        </w:tc>
        <w:tc>
          <w:tcPr>
            <w:tcW w:w="3993" w:type="pct"/>
            <w:gridSpan w:val="2"/>
            <w:vAlign w:val="center"/>
          </w:tcPr>
          <w:p w14:paraId="4DDEB40D">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≥4次/年</w:t>
            </w:r>
          </w:p>
        </w:tc>
      </w:tr>
      <w:tr w14:paraId="36CA9B9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trHeight w:val="170" w:hRule="atLeast"/>
          <w:jc w:val="center"/>
        </w:trPr>
        <w:tc>
          <w:tcPr>
            <w:tcW w:w="1006" w:type="pct"/>
            <w:vAlign w:val="center"/>
          </w:tcPr>
          <w:p w14:paraId="3EF89EC4">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紧急备件支持服务</w:t>
            </w:r>
          </w:p>
        </w:tc>
        <w:tc>
          <w:tcPr>
            <w:tcW w:w="3993" w:type="pct"/>
            <w:gridSpan w:val="2"/>
            <w:vAlign w:val="center"/>
          </w:tcPr>
          <w:p w14:paraId="0EE8C52C">
            <w:pPr>
              <w:spacing w:line="360" w:lineRule="auto"/>
              <w:jc w:val="center"/>
              <w:rPr>
                <w:rFonts w:hint="eastAsia" w:ascii="宋体" w:hAnsi="宋体" w:cs="宋体"/>
                <w:color w:val="000000"/>
                <w:sz w:val="21"/>
                <w:szCs w:val="21"/>
              </w:rPr>
            </w:pPr>
            <w:r>
              <w:rPr>
                <w:rFonts w:hint="eastAsia" w:ascii="宋体" w:hAnsi="宋体" w:cs="宋体"/>
                <w:color w:val="000000"/>
                <w:sz w:val="21"/>
                <w:szCs w:val="21"/>
              </w:rPr>
              <w:t>4小时内备件到达现场</w:t>
            </w:r>
          </w:p>
        </w:tc>
      </w:tr>
    </w:tbl>
    <w:p w14:paraId="5A647EB6">
      <w:pPr>
        <w:tabs>
          <w:tab w:val="left" w:pos="690"/>
        </w:tabs>
        <w:spacing w:line="360" w:lineRule="auto"/>
        <w:ind w:firstLine="420" w:firstLineChars="200"/>
        <w:rPr>
          <w:rFonts w:hint="eastAsia" w:ascii="宋体" w:hAnsi="宋体" w:cs="宋体"/>
          <w:sz w:val="21"/>
          <w:szCs w:val="21"/>
        </w:rPr>
      </w:pPr>
      <w:r>
        <w:rPr>
          <w:rFonts w:hint="eastAsia" w:ascii="宋体" w:hAnsi="宋体" w:cs="宋体"/>
          <w:sz w:val="21"/>
          <w:szCs w:val="21"/>
        </w:rPr>
        <w:t>故障级别由出现问题对采购人最终用户的影响的大小来决定。所有申请的级别都将由采购人和中标人支持机构共同决定，并以最终用户业务为重。</w:t>
      </w:r>
    </w:p>
    <w:p w14:paraId="17B59638">
      <w:pPr>
        <w:tabs>
          <w:tab w:val="left" w:pos="690"/>
        </w:tabs>
        <w:spacing w:line="360" w:lineRule="auto"/>
        <w:ind w:firstLine="420" w:firstLineChars="200"/>
        <w:rPr>
          <w:rFonts w:hint="eastAsia" w:ascii="宋体" w:hAnsi="宋体" w:cs="宋体"/>
          <w:sz w:val="21"/>
          <w:szCs w:val="21"/>
        </w:rPr>
      </w:pPr>
      <w:r>
        <w:rPr>
          <w:rFonts w:hint="eastAsia" w:ascii="宋体" w:hAnsi="宋体" w:cs="宋体"/>
          <w:sz w:val="21"/>
          <w:szCs w:val="21"/>
        </w:rPr>
        <w:t>a)</w:t>
      </w:r>
      <w:r>
        <w:rPr>
          <w:rFonts w:hint="eastAsia" w:ascii="宋体" w:hAnsi="宋体" w:cs="宋体"/>
          <w:sz w:val="21"/>
          <w:szCs w:val="21"/>
        </w:rPr>
        <w:tab/>
      </w:r>
      <w:r>
        <w:rPr>
          <w:rFonts w:hint="eastAsia" w:ascii="宋体" w:hAnsi="宋体" w:cs="宋体"/>
          <w:sz w:val="21"/>
          <w:szCs w:val="21"/>
        </w:rPr>
        <w:t xml:space="preserve">一级故障 </w:t>
      </w:r>
    </w:p>
    <w:p w14:paraId="42FEE87A">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在商业、经济、技术、安全等方面给最终采购人造成重大损失的故障。</w:t>
      </w:r>
    </w:p>
    <w:p w14:paraId="229F2306">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严重影响整个或局部系统运行，系统功能，或系统可靠性的故障。</w:t>
      </w:r>
    </w:p>
    <w:p w14:paraId="0DFE4631">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严重影响最终采购人服务质量的故障。</w:t>
      </w:r>
    </w:p>
    <w:p w14:paraId="7DD79378">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例如：</w:t>
      </w:r>
    </w:p>
    <w:p w14:paraId="0CF9675C">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设备系统瘫痪，致使无法向采购人提供业务服务。</w:t>
      </w:r>
    </w:p>
    <w:p w14:paraId="01B7C5BE">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分节点故障，致使部分采购人无法使用业务服务，不能提供正常网络服务。</w:t>
      </w:r>
    </w:p>
    <w:p w14:paraId="0D5DF6B4">
      <w:pPr>
        <w:tabs>
          <w:tab w:val="left" w:pos="900"/>
        </w:tabs>
        <w:spacing w:line="360" w:lineRule="auto"/>
        <w:ind w:firstLine="420" w:firstLineChars="200"/>
        <w:rPr>
          <w:rFonts w:hint="eastAsia" w:ascii="宋体" w:hAnsi="宋体" w:cs="宋体"/>
          <w:sz w:val="21"/>
          <w:szCs w:val="21"/>
        </w:rPr>
      </w:pPr>
      <w:r>
        <w:rPr>
          <w:rFonts w:hint="eastAsia" w:ascii="宋体" w:hAnsi="宋体" w:cs="宋体"/>
          <w:color w:val="000000"/>
          <w:sz w:val="21"/>
          <w:szCs w:val="21"/>
        </w:rPr>
        <w:t>受到大面积的安全攻击，致使大量重要业务无法使用。</w:t>
      </w:r>
    </w:p>
    <w:p w14:paraId="4661B2E1">
      <w:pPr>
        <w:tabs>
          <w:tab w:val="left" w:pos="690"/>
        </w:tabs>
        <w:spacing w:line="360" w:lineRule="auto"/>
        <w:ind w:firstLine="420" w:firstLineChars="200"/>
        <w:rPr>
          <w:rFonts w:hint="eastAsia" w:ascii="宋体" w:hAnsi="宋体" w:cs="宋体"/>
          <w:sz w:val="21"/>
          <w:szCs w:val="21"/>
        </w:rPr>
      </w:pPr>
      <w:r>
        <w:rPr>
          <w:rFonts w:hint="eastAsia" w:ascii="宋体" w:hAnsi="宋体" w:cs="宋体"/>
          <w:sz w:val="21"/>
          <w:szCs w:val="21"/>
        </w:rPr>
        <w:t>b)</w:t>
      </w:r>
      <w:r>
        <w:rPr>
          <w:rFonts w:hint="eastAsia" w:ascii="宋体" w:hAnsi="宋体" w:cs="宋体"/>
          <w:sz w:val="21"/>
          <w:szCs w:val="21"/>
        </w:rPr>
        <w:tab/>
      </w:r>
      <w:r>
        <w:rPr>
          <w:rFonts w:hint="eastAsia" w:ascii="宋体" w:hAnsi="宋体" w:cs="宋体"/>
          <w:sz w:val="21"/>
          <w:szCs w:val="21"/>
        </w:rPr>
        <w:t xml:space="preserve">二级故障 </w:t>
      </w:r>
    </w:p>
    <w:p w14:paraId="26D463ED">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在商业、经济、技术、安全等方面给最终采购人造成较严重损失的故障。</w:t>
      </w:r>
    </w:p>
    <w:p w14:paraId="6E4017E6">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影响局部系统运行，系统功能，或系统可靠性的故障。</w:t>
      </w:r>
    </w:p>
    <w:p w14:paraId="1C8AEE5A">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影响最终采购人服务质量的故障。</w:t>
      </w:r>
    </w:p>
    <w:p w14:paraId="6DD77593">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例如：</w:t>
      </w:r>
    </w:p>
    <w:p w14:paraId="32D18F6F">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单台设备故障，致使失去冗余备份，系统整体的的可靠性降低。</w:t>
      </w:r>
    </w:p>
    <w:p w14:paraId="72D14422">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设备性能超负荷，致使最终采购人感受到业务性能下降。</w:t>
      </w:r>
    </w:p>
    <w:p w14:paraId="62F6B7E5">
      <w:pPr>
        <w:tabs>
          <w:tab w:val="left" w:pos="690"/>
        </w:tabs>
        <w:spacing w:line="360" w:lineRule="auto"/>
        <w:ind w:firstLine="420" w:firstLineChars="200"/>
        <w:rPr>
          <w:rFonts w:hint="eastAsia" w:ascii="宋体" w:hAnsi="宋体" w:cs="宋体"/>
          <w:sz w:val="21"/>
          <w:szCs w:val="21"/>
        </w:rPr>
      </w:pPr>
      <w:r>
        <w:rPr>
          <w:rFonts w:hint="eastAsia" w:ascii="宋体" w:hAnsi="宋体" w:cs="宋体"/>
          <w:sz w:val="21"/>
          <w:szCs w:val="21"/>
        </w:rPr>
        <w:t>c)</w:t>
      </w:r>
      <w:r>
        <w:rPr>
          <w:rFonts w:hint="eastAsia" w:ascii="宋体" w:hAnsi="宋体" w:cs="宋体"/>
          <w:sz w:val="21"/>
          <w:szCs w:val="21"/>
        </w:rPr>
        <w:tab/>
      </w:r>
      <w:r>
        <w:rPr>
          <w:rFonts w:hint="eastAsia" w:ascii="宋体" w:hAnsi="宋体" w:cs="宋体"/>
          <w:sz w:val="21"/>
          <w:szCs w:val="21"/>
        </w:rPr>
        <w:t>三级故障</w:t>
      </w:r>
    </w:p>
    <w:p w14:paraId="6F3BE442">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对最终采购人造成较轻微影响的故障。</w:t>
      </w:r>
    </w:p>
    <w:p w14:paraId="2389AC50">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对产品功能造成轻微影响的故障。</w:t>
      </w:r>
    </w:p>
    <w:p w14:paraId="64B54C14">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在商业、经济方面给最终采购人造成轻微损失的故障。</w:t>
      </w:r>
    </w:p>
    <w:p w14:paraId="07D2FBD5">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除紧急故障和严重故障外的其他问题。</w:t>
      </w:r>
    </w:p>
    <w:p w14:paraId="7C5DF476">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例如：</w:t>
      </w:r>
    </w:p>
    <w:p w14:paraId="066E2EC9">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一般节点故障，导致为部分采购人提供的服务质量较差。</w:t>
      </w:r>
    </w:p>
    <w:p w14:paraId="24F9DBD4">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显示错误。</w:t>
      </w:r>
    </w:p>
    <w:p w14:paraId="336BB473">
      <w:pPr>
        <w:tabs>
          <w:tab w:val="left" w:pos="690"/>
        </w:tabs>
        <w:spacing w:line="360" w:lineRule="auto"/>
        <w:ind w:firstLine="420" w:firstLineChars="200"/>
        <w:rPr>
          <w:rFonts w:hint="eastAsia" w:ascii="宋体" w:hAnsi="宋体" w:cs="宋体"/>
          <w:sz w:val="21"/>
          <w:szCs w:val="21"/>
        </w:rPr>
      </w:pPr>
      <w:r>
        <w:rPr>
          <w:rFonts w:hint="eastAsia" w:ascii="宋体" w:hAnsi="宋体" w:cs="宋体"/>
          <w:sz w:val="21"/>
          <w:szCs w:val="21"/>
        </w:rPr>
        <w:t>文件出错。</w:t>
      </w:r>
    </w:p>
    <w:p w14:paraId="29A97D4F">
      <w:pPr>
        <w:tabs>
          <w:tab w:val="left" w:pos="690"/>
        </w:tabs>
        <w:spacing w:line="360" w:lineRule="auto"/>
        <w:ind w:firstLine="420" w:firstLineChars="200"/>
        <w:rPr>
          <w:rFonts w:hint="eastAsia" w:ascii="宋体" w:hAnsi="宋体" w:cs="宋体"/>
          <w:sz w:val="21"/>
          <w:szCs w:val="21"/>
        </w:rPr>
      </w:pPr>
      <w:r>
        <w:rPr>
          <w:rFonts w:hint="eastAsia" w:ascii="宋体" w:hAnsi="宋体" w:cs="宋体"/>
          <w:sz w:val="21"/>
          <w:szCs w:val="21"/>
        </w:rPr>
        <w:t>2、故障处理服务规范</w:t>
      </w:r>
    </w:p>
    <w:p w14:paraId="434D5595">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采购人维护人员发现故障后，向中标人申告故障，中标人在收到采购人申告后为采购人进行故障处理服务，并根据采购人申告的故障级别提供相应的服务。</w:t>
      </w:r>
    </w:p>
    <w:p w14:paraId="2F312849">
      <w:pPr>
        <w:tabs>
          <w:tab w:val="left" w:pos="690"/>
        </w:tabs>
        <w:spacing w:line="360" w:lineRule="auto"/>
        <w:ind w:firstLine="420" w:firstLineChars="200"/>
        <w:rPr>
          <w:rFonts w:hint="eastAsia" w:ascii="宋体" w:hAnsi="宋体" w:cs="宋体"/>
          <w:sz w:val="21"/>
          <w:szCs w:val="21"/>
        </w:rPr>
      </w:pPr>
      <w:r>
        <w:rPr>
          <w:rFonts w:hint="eastAsia" w:ascii="宋体" w:hAnsi="宋体" w:cs="宋体"/>
          <w:sz w:val="21"/>
          <w:szCs w:val="21"/>
        </w:rPr>
        <w:t>a)</w:t>
      </w:r>
      <w:r>
        <w:rPr>
          <w:rFonts w:hint="eastAsia" w:ascii="宋体" w:hAnsi="宋体" w:cs="宋体"/>
          <w:sz w:val="21"/>
          <w:szCs w:val="21"/>
        </w:rPr>
        <w:tab/>
      </w:r>
      <w:r>
        <w:rPr>
          <w:rFonts w:hint="eastAsia" w:ascii="宋体" w:hAnsi="宋体" w:cs="宋体"/>
          <w:sz w:val="21"/>
          <w:szCs w:val="21"/>
        </w:rPr>
        <w:t>一级故障</w:t>
      </w:r>
    </w:p>
    <w:p w14:paraId="53B20D90">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中标人在收到采购人故障申告后，应立即联系相关工程师，中标人工程师在10分钟内给予采购人电话响应，15分钟内远程登陆网络。</w:t>
      </w:r>
    </w:p>
    <w:p w14:paraId="66195EBA">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如果需要到现场，中标人需在保证远程处理的同时增派驻点工程师到达现场，广州市120分钟内到达现场。</w:t>
      </w:r>
    </w:p>
    <w:p w14:paraId="57E43AFA">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中标人工程师需制定可行的临时应急方案，并在采购人许可后实施，在4小时内恢复业务基本运行，使网络恢复到不影响采购人重要业务的运行或最终采购人仅感受业务质量有轻微下降。</w:t>
      </w:r>
    </w:p>
    <w:p w14:paraId="0C40F8BF">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中标人工程师在24小时内解决全部故障，其中包括硬件提供和更换的时间。</w:t>
      </w:r>
    </w:p>
    <w:p w14:paraId="6A7914E9">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中标人工程师在故障最终解决后1个工作日内提供故障报告。</w:t>
      </w:r>
    </w:p>
    <w:p w14:paraId="1F9B2D36">
      <w:pPr>
        <w:tabs>
          <w:tab w:val="left" w:pos="690"/>
        </w:tabs>
        <w:spacing w:line="360" w:lineRule="auto"/>
        <w:ind w:firstLine="420" w:firstLineChars="200"/>
        <w:rPr>
          <w:rFonts w:hint="eastAsia" w:ascii="宋体" w:hAnsi="宋体" w:cs="宋体"/>
          <w:sz w:val="21"/>
          <w:szCs w:val="21"/>
        </w:rPr>
      </w:pPr>
      <w:r>
        <w:rPr>
          <w:rFonts w:hint="eastAsia" w:ascii="宋体" w:hAnsi="宋体" w:cs="宋体"/>
          <w:sz w:val="21"/>
          <w:szCs w:val="21"/>
        </w:rPr>
        <w:t>b)</w:t>
      </w:r>
      <w:r>
        <w:rPr>
          <w:rFonts w:hint="eastAsia" w:ascii="宋体" w:hAnsi="宋体" w:cs="宋体"/>
          <w:sz w:val="21"/>
          <w:szCs w:val="21"/>
        </w:rPr>
        <w:tab/>
      </w:r>
      <w:r>
        <w:rPr>
          <w:rFonts w:hint="eastAsia" w:ascii="宋体" w:hAnsi="宋体" w:cs="宋体"/>
          <w:sz w:val="21"/>
          <w:szCs w:val="21"/>
        </w:rPr>
        <w:t>二级故障</w:t>
      </w:r>
    </w:p>
    <w:p w14:paraId="16C7C660">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中标人在收到采购人故障申告后，应立即联系相关工程师，中标人工程师在10分钟内给予采购人电话响应，20分钟内远程登陆网络。</w:t>
      </w:r>
    </w:p>
    <w:p w14:paraId="2A88F85E">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如果需要到现场，中标人需在保证远程处理的同时增派驻点工程师到达现场，广州市2小时内到达现场，深圳、佛山等4小时内到达现场。</w:t>
      </w:r>
    </w:p>
    <w:p w14:paraId="7D8D269D">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中标人工程师需制定可行的临时应急方案，并在采购人许可后实施，在8小时内恢复业务基本运行，使设备或系统恢复到不影响采购人重要业务的运行或最终采购人仅感受业务质量有轻微下降。</w:t>
      </w:r>
    </w:p>
    <w:p w14:paraId="6BA4C886">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中标人工程师在5个工作日内解决全部故障，其中硬件更换的时间可在24小时内完成。</w:t>
      </w:r>
    </w:p>
    <w:p w14:paraId="0D5D332E">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中标人工程师在故障最终解决后1个工作日内提供故障报告。</w:t>
      </w:r>
    </w:p>
    <w:p w14:paraId="020FA536">
      <w:pPr>
        <w:tabs>
          <w:tab w:val="left" w:pos="690"/>
        </w:tabs>
        <w:spacing w:line="360" w:lineRule="auto"/>
        <w:ind w:firstLine="420" w:firstLineChars="200"/>
        <w:rPr>
          <w:rFonts w:hint="eastAsia" w:ascii="宋体" w:hAnsi="宋体" w:cs="宋体"/>
          <w:b/>
          <w:color w:val="000000"/>
          <w:sz w:val="21"/>
          <w:szCs w:val="21"/>
        </w:rPr>
      </w:pPr>
      <w:r>
        <w:rPr>
          <w:rFonts w:hint="eastAsia" w:ascii="宋体" w:hAnsi="宋体" w:cs="宋体"/>
          <w:sz w:val="21"/>
          <w:szCs w:val="21"/>
        </w:rPr>
        <w:t>c)</w:t>
      </w:r>
      <w:r>
        <w:rPr>
          <w:rFonts w:hint="eastAsia" w:ascii="宋体" w:hAnsi="宋体" w:cs="宋体"/>
          <w:sz w:val="21"/>
          <w:szCs w:val="21"/>
        </w:rPr>
        <w:tab/>
      </w:r>
      <w:r>
        <w:rPr>
          <w:rFonts w:hint="eastAsia" w:ascii="宋体" w:hAnsi="宋体" w:cs="宋体"/>
          <w:sz w:val="21"/>
          <w:szCs w:val="21"/>
        </w:rPr>
        <w:t>三级故障</w:t>
      </w:r>
    </w:p>
    <w:p w14:paraId="358B9800">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中标人在收到采购人故障申告后，应立即联系相关工程师，中标人工程师在30分钟内给予采购人电话响应，2小时内远程登陆网络。</w:t>
      </w:r>
    </w:p>
    <w:p w14:paraId="709080F4">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如果需要到现场，中标人派工程师在1个工作日内到达现场。</w:t>
      </w:r>
    </w:p>
    <w:p w14:paraId="6577B291">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中标人工程师需制定可行的临时应急方案，并在采购人许可后实施，在1个工作日内恢复业务基本运行，使网络恢复到不影响采购人重要业务的运行或最终采购人仅感受业务质量有轻微下降。</w:t>
      </w:r>
    </w:p>
    <w:p w14:paraId="067DA789">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中标人工程师在10个工作日内解决全部故障，其中硬件提供和更换的时间可在24小时内完成。</w:t>
      </w:r>
    </w:p>
    <w:p w14:paraId="4B4E08D9">
      <w:pPr>
        <w:spacing w:line="360" w:lineRule="auto"/>
        <w:ind w:firstLine="420" w:firstLineChars="200"/>
        <w:rPr>
          <w:rFonts w:hint="eastAsia" w:ascii="宋体" w:hAnsi="宋体" w:cs="宋体"/>
          <w:color w:val="000000"/>
          <w:sz w:val="21"/>
          <w:szCs w:val="21"/>
        </w:rPr>
      </w:pPr>
      <w:r>
        <w:rPr>
          <w:rFonts w:hint="eastAsia" w:ascii="宋体" w:hAnsi="宋体" w:cs="宋体"/>
          <w:color w:val="000000"/>
          <w:sz w:val="21"/>
          <w:szCs w:val="21"/>
        </w:rPr>
        <w:t>中标人工程师在故障最终解决后2个工作日内提供故障报告。</w:t>
      </w:r>
    </w:p>
    <w:p w14:paraId="485D53D4">
      <w:pPr>
        <w:spacing w:line="360" w:lineRule="auto"/>
        <w:ind w:firstLine="420" w:firstLineChars="200"/>
      </w:pPr>
      <w:r>
        <w:rPr>
          <w:rFonts w:hint="eastAsia" w:ascii="宋体" w:hAnsi="宋体" w:cs="宋体"/>
          <w:color w:val="000000"/>
          <w:sz w:val="21"/>
          <w:szCs w:val="21"/>
        </w:rPr>
        <w:t>要求通过先进、标准、可控的技术、工具和方法，安装系统，评估系统趋势，定位系统运行瓶颈，实现系统稳定运行、各项性能指标正常高效、故障响应和处理及时、提升系统运行质量。</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4056F04"/>
    <w:rsid w:val="001F767E"/>
    <w:rsid w:val="002A3958"/>
    <w:rsid w:val="00322461"/>
    <w:rsid w:val="007622D5"/>
    <w:rsid w:val="008F10B1"/>
    <w:rsid w:val="00C025D7"/>
    <w:rsid w:val="00C15F39"/>
    <w:rsid w:val="00C17B59"/>
    <w:rsid w:val="00C63851"/>
    <w:rsid w:val="00C6490D"/>
    <w:rsid w:val="00CE60FC"/>
    <w:rsid w:val="00D20EF3"/>
    <w:rsid w:val="00D23C25"/>
    <w:rsid w:val="00D835A5"/>
    <w:rsid w:val="00D906FD"/>
    <w:rsid w:val="00DB12AB"/>
    <w:rsid w:val="00EE04D5"/>
    <w:rsid w:val="00EF2657"/>
    <w:rsid w:val="00F64E83"/>
    <w:rsid w:val="060E0E99"/>
    <w:rsid w:val="07B90CB8"/>
    <w:rsid w:val="1BF9747E"/>
    <w:rsid w:val="21A612B9"/>
    <w:rsid w:val="220C0B6D"/>
    <w:rsid w:val="25940BDB"/>
    <w:rsid w:val="273852FE"/>
    <w:rsid w:val="2C33078A"/>
    <w:rsid w:val="2F9E174C"/>
    <w:rsid w:val="3614346C"/>
    <w:rsid w:val="39710710"/>
    <w:rsid w:val="3FB86E64"/>
    <w:rsid w:val="45310109"/>
    <w:rsid w:val="4A6861E9"/>
    <w:rsid w:val="559B3CF0"/>
    <w:rsid w:val="58711B6E"/>
    <w:rsid w:val="60E97D11"/>
    <w:rsid w:val="64056F04"/>
    <w:rsid w:val="7200488C"/>
    <w:rsid w:val="79704C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ahoma" w:hAnsi="Tahoma" w:eastAsia="宋体" w:cs="Times New Roman"/>
      <w:kern w:val="2"/>
      <w:sz w:val="24"/>
      <w:szCs w:val="24"/>
      <w:lang w:val="en-US" w:eastAsia="zh-CN" w:bidi="ar-SA"/>
    </w:rPr>
  </w:style>
  <w:style w:type="paragraph" w:styleId="3">
    <w:name w:val="heading 1"/>
    <w:basedOn w:val="1"/>
    <w:next w:val="1"/>
    <w:qFormat/>
    <w:uiPriority w:val="9"/>
    <w:pPr>
      <w:keepNext/>
      <w:keepLines/>
      <w:spacing w:before="340" w:after="330" w:line="578" w:lineRule="auto"/>
      <w:outlineLvl w:val="0"/>
    </w:pPr>
    <w:rPr>
      <w:b/>
      <w:bCs/>
      <w:kern w:val="44"/>
      <w:sz w:val="32"/>
      <w:szCs w:val="44"/>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2"/>
    <w:basedOn w:val="1"/>
    <w:next w:val="1"/>
    <w:qFormat/>
    <w:uiPriority w:val="0"/>
    <w:pPr>
      <w:ind w:left="420" w:leftChars="200"/>
    </w:pPr>
  </w:style>
  <w:style w:type="paragraph" w:styleId="4">
    <w:name w:val="footer"/>
    <w:basedOn w:val="1"/>
    <w:link w:val="10"/>
    <w:qFormat/>
    <w:uiPriority w:val="0"/>
    <w:pPr>
      <w:tabs>
        <w:tab w:val="center" w:pos="4153"/>
        <w:tab w:val="right" w:pos="8306"/>
      </w:tabs>
      <w:snapToGrid w:val="0"/>
      <w:jc w:val="left"/>
    </w:pPr>
    <w:rPr>
      <w:sz w:val="18"/>
      <w:szCs w:val="18"/>
    </w:rPr>
  </w:style>
  <w:style w:type="paragraph" w:styleId="5">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8">
    <w:name w:val="List Paragraph"/>
    <w:basedOn w:val="1"/>
    <w:unhideWhenUsed/>
    <w:qFormat/>
    <w:uiPriority w:val="34"/>
    <w:pPr>
      <w:ind w:firstLine="420" w:firstLineChars="200"/>
    </w:pPr>
  </w:style>
  <w:style w:type="character" w:customStyle="1" w:styleId="9">
    <w:name w:val="页眉 字符"/>
    <w:basedOn w:val="7"/>
    <w:link w:val="5"/>
    <w:qFormat/>
    <w:uiPriority w:val="0"/>
    <w:rPr>
      <w:rFonts w:ascii="Tahoma" w:hAnsi="Tahoma" w:eastAsia="宋体" w:cs="Times New Roman"/>
      <w:kern w:val="2"/>
      <w:sz w:val="18"/>
      <w:szCs w:val="18"/>
    </w:rPr>
  </w:style>
  <w:style w:type="character" w:customStyle="1" w:styleId="10">
    <w:name w:val="页脚 字符"/>
    <w:basedOn w:val="7"/>
    <w:link w:val="4"/>
    <w:qFormat/>
    <w:uiPriority w:val="0"/>
    <w:rPr>
      <w:rFonts w:ascii="Tahoma" w:hAnsi="Tahoma" w:eastAsia="宋体"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1853</Words>
  <Characters>1945</Characters>
  <Lines>28</Lines>
  <Paragraphs>7</Paragraphs>
  <TotalTime>10</TotalTime>
  <ScaleCrop>false</ScaleCrop>
  <LinksUpToDate>false</LinksUpToDate>
  <CharactersWithSpaces>1949</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2025-07-01T01:14:00Z</dcterms:created>
  <dc:creator>张哥</dc:creator>
  <cp:lastModifiedBy>gc</cp:lastModifiedBy>
  <dcterms:modified xsi:type="dcterms:W3CDTF">2025-07-01T07:20:18Z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D71BA527009646C899D0109395ED8A4E_11</vt:lpwstr>
  </property>
  <property fmtid="{D5CDD505-2E9C-101B-9397-08002B2CF9AE}" pid="4" name="KSOTemplateDocerSaveRecord">
    <vt:lpwstr>eyJoZGlkIjoiNjY5NTZlNzJjMmMyYWJjNzc1YWNlMTZjMTdhNzUxY2QiLCJ1c2VySWQiOiI0ODk2NDI3NjQifQ==</vt:lpwstr>
  </property>
  <property fmtid="{D5CDD505-2E9C-101B-9397-08002B2CF9AE}" pid="5" name="_readonly">
    <vt:lpwstr/>
  </property>
  <property fmtid="{D5CDD505-2E9C-101B-9397-08002B2CF9AE}" pid="6" name="_change">
    <vt:lpwstr/>
  </property>
  <property fmtid="{D5CDD505-2E9C-101B-9397-08002B2CF9AE}" pid="7" name="_full-control">
    <vt:lpwstr/>
  </property>
  <property fmtid="{D5CDD505-2E9C-101B-9397-08002B2CF9AE}" pid="8" name="sflag">
    <vt:lpwstr>1751163907</vt:lpwstr>
  </property>
</Properties>
</file>