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67687">
      <w:pPr>
        <w:ind w:left="420" w:hanging="420"/>
        <w:rPr>
          <w:color w:val="auto"/>
          <w:highlight w:val="none"/>
        </w:rPr>
      </w:pPr>
      <w:bookmarkStart w:id="0" w:name="_Toc328656275"/>
      <w:bookmarkStart w:id="1" w:name="_Toc337497084"/>
      <w:bookmarkStart w:id="2" w:name="_Toc58574789"/>
      <w:r>
        <w:rPr>
          <w:color w:val="auto"/>
          <w:highlight w:val="none"/>
        </w:rPr>
        <w:pict>
          <v:shape id="_x0000_s2050" o:spid="_x0000_s2050" o:spt="75" type="#_x0000_t75" style="position:absolute;left:0pt;margin-left:0pt;margin-top:6.5pt;height:41.8pt;width:142.8pt;z-index:251660288;mso-width-relative:page;mso-height-relative:page;" o:ole="t" fillcolor="#000000" filled="t" o:preferrelative="t" stroked="f" coordsize="21600,21600">
            <v:path/>
            <v:fill on="t" focussize="0,0"/>
            <v:stroke on="f" joinstyle="miter"/>
            <v:imagedata r:id="rId6" gain="172463f" blacklevel="-9175f" o:title=""/>
            <o:lock v:ext="edit" aspectratio="t"/>
          </v:shape>
          <o:OLEObject Type="Embed" ProgID="PBrush" ShapeID="_x0000_s2050" DrawAspect="Content" ObjectID="_1468075725" r:id="rId5">
            <o:LockedField>false</o:LockedField>
          </o:OLEObject>
        </w:pict>
      </w:r>
    </w:p>
    <w:p w14:paraId="17AE12A8">
      <w:pPr>
        <w:ind w:firstLine="480"/>
        <w:rPr>
          <w:color w:val="auto"/>
          <w:highlight w:val="none"/>
        </w:rPr>
      </w:pPr>
    </w:p>
    <w:p w14:paraId="0C0E6305">
      <w:pPr>
        <w:ind w:left="-619" w:leftChars="-295"/>
        <w:rPr>
          <w:color w:val="auto"/>
          <w:highlight w:val="none"/>
        </w:rPr>
      </w:pPr>
    </w:p>
    <w:p w14:paraId="1EF95BD5">
      <w:pPr>
        <w:ind w:left="-619" w:leftChars="-295"/>
        <w:jc w:val="center"/>
        <w:rPr>
          <w:rFonts w:hint="eastAsia" w:ascii="黑体" w:hAnsi="黑体" w:eastAsia="黑体" w:cs="黑体"/>
          <w:color w:val="auto"/>
          <w:sz w:val="44"/>
          <w:szCs w:val="44"/>
          <w:highlight w:val="none"/>
        </w:rPr>
      </w:pPr>
    </w:p>
    <w:p w14:paraId="5F44C9E0">
      <w:pPr>
        <w:pStyle w:val="19"/>
        <w:ind w:firstLine="0" w:firstLineChars="0"/>
        <w:jc w:val="center"/>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中国移动（浙江）创新研究院</w:t>
      </w:r>
      <w:r>
        <w:rPr>
          <w:rFonts w:hint="eastAsia" w:ascii="宋体" w:hAnsi="宋体" w:eastAsia="宋体" w:cs="宋体"/>
          <w:b/>
          <w:bCs/>
          <w:color w:val="auto"/>
          <w:sz w:val="44"/>
          <w:szCs w:val="44"/>
          <w:highlight w:val="none"/>
          <w:lang w:eastAsia="zh-CN"/>
        </w:rPr>
        <w:t>2026年网络安全智能运营体系技术支撑服务项目</w:t>
      </w:r>
    </w:p>
    <w:p w14:paraId="6D018BDC">
      <w:pPr>
        <w:pStyle w:val="19"/>
        <w:ind w:firstLine="139"/>
        <w:rPr>
          <w:rFonts w:hint="eastAsia"/>
          <w:color w:val="auto"/>
          <w:highlight w:val="none"/>
        </w:rPr>
      </w:pPr>
    </w:p>
    <w:p w14:paraId="6F5F6FEE">
      <w:pPr>
        <w:pStyle w:val="19"/>
        <w:ind w:firstLine="139"/>
        <w:rPr>
          <w:rFonts w:hint="eastAsia"/>
          <w:color w:val="auto"/>
          <w:highlight w:val="none"/>
        </w:rPr>
      </w:pPr>
    </w:p>
    <w:p w14:paraId="3B55E4CA">
      <w:pPr>
        <w:pStyle w:val="19"/>
        <w:ind w:firstLine="139"/>
        <w:rPr>
          <w:rFonts w:hint="eastAsia"/>
          <w:color w:val="auto"/>
          <w:highlight w:val="none"/>
        </w:rPr>
      </w:pPr>
    </w:p>
    <w:p w14:paraId="6936DF70">
      <w:pPr>
        <w:pStyle w:val="19"/>
        <w:ind w:firstLine="139"/>
        <w:rPr>
          <w:rFonts w:hint="eastAsia"/>
          <w:color w:val="auto"/>
          <w:highlight w:val="none"/>
        </w:rPr>
      </w:pPr>
    </w:p>
    <w:p w14:paraId="7926C585">
      <w:pPr>
        <w:snapToGrid w:val="0"/>
        <w:spacing w:after="93" w:afterLines="30"/>
        <w:ind w:left="-619" w:leftChars="-295"/>
        <w:jc w:val="center"/>
        <w:rPr>
          <w:rFonts w:hint="eastAsia" w:ascii="黑体" w:hAnsi="宋体" w:eastAsia="黑体" w:cs="Arial"/>
          <w:bCs/>
          <w:color w:val="auto"/>
          <w:sz w:val="100"/>
          <w:szCs w:val="100"/>
          <w:highlight w:val="none"/>
        </w:rPr>
      </w:pPr>
      <w:r>
        <w:rPr>
          <w:rFonts w:hint="eastAsia" w:ascii="黑体" w:hAnsi="宋体" w:eastAsia="黑体" w:cs="Arial"/>
          <w:bCs/>
          <w:color w:val="auto"/>
          <w:sz w:val="100"/>
          <w:szCs w:val="100"/>
          <w:highlight w:val="none"/>
        </w:rPr>
        <w:t>技术规范书</w:t>
      </w:r>
    </w:p>
    <w:p w14:paraId="5F74667E">
      <w:pPr>
        <w:ind w:left="-619" w:leftChars="-295"/>
        <w:rPr>
          <w:rFonts w:hint="eastAsia" w:ascii="黑体" w:hAnsi="宋体" w:eastAsia="黑体" w:cs="Arial"/>
          <w:bCs/>
          <w:color w:val="auto"/>
          <w:sz w:val="44"/>
          <w:szCs w:val="44"/>
          <w:highlight w:val="none"/>
        </w:rPr>
      </w:pPr>
    </w:p>
    <w:p w14:paraId="0F8CCE43">
      <w:pPr>
        <w:pStyle w:val="25"/>
        <w:ind w:firstLine="420"/>
        <w:rPr>
          <w:color w:val="auto"/>
          <w:highlight w:val="none"/>
        </w:rPr>
      </w:pPr>
    </w:p>
    <w:p w14:paraId="27D195B1">
      <w:pPr>
        <w:ind w:left="-619" w:leftChars="-295"/>
        <w:rPr>
          <w:color w:val="auto"/>
          <w:highlight w:val="none"/>
        </w:rPr>
      </w:pPr>
    </w:p>
    <w:p w14:paraId="2E68675E">
      <w:pPr>
        <w:ind w:left="-619" w:leftChars="-295"/>
        <w:rPr>
          <w:color w:val="auto"/>
          <w:highlight w:val="none"/>
        </w:rPr>
      </w:pPr>
    </w:p>
    <w:p w14:paraId="7652403C">
      <w:pPr>
        <w:pStyle w:val="19"/>
        <w:ind w:firstLine="139"/>
        <w:rPr>
          <w:rFonts w:hint="eastAsia"/>
          <w:color w:val="auto"/>
          <w:highlight w:val="none"/>
        </w:rPr>
      </w:pPr>
    </w:p>
    <w:p w14:paraId="4C773BC0">
      <w:pPr>
        <w:pStyle w:val="19"/>
        <w:ind w:firstLine="139"/>
        <w:rPr>
          <w:rFonts w:hint="eastAsia"/>
          <w:color w:val="auto"/>
          <w:highlight w:val="none"/>
        </w:rPr>
      </w:pPr>
    </w:p>
    <w:p w14:paraId="153C1BA1">
      <w:pPr>
        <w:rPr>
          <w:color w:val="auto"/>
          <w:highlight w:val="none"/>
        </w:rPr>
      </w:pPr>
    </w:p>
    <w:p w14:paraId="3DFCB206">
      <w:pPr>
        <w:ind w:left="-619" w:leftChars="-295"/>
        <w:rPr>
          <w:color w:val="auto"/>
          <w:highlight w:val="none"/>
        </w:rPr>
      </w:pPr>
    </w:p>
    <w:p w14:paraId="22467569">
      <w:pPr>
        <w:ind w:left="-619" w:leftChars="-295"/>
        <w:rPr>
          <w:color w:val="auto"/>
          <w:highlight w:val="none"/>
        </w:rPr>
      </w:pPr>
    </w:p>
    <w:p w14:paraId="0412FFD6">
      <w:pPr>
        <w:ind w:left="-619" w:leftChars="-295"/>
        <w:rPr>
          <w:color w:val="auto"/>
          <w:highlight w:val="none"/>
        </w:rPr>
      </w:pPr>
    </w:p>
    <w:p w14:paraId="67ED5B2E">
      <w:pPr>
        <w:tabs>
          <w:tab w:val="left" w:pos="540"/>
        </w:tabs>
        <w:spacing w:line="540" w:lineRule="auto"/>
        <w:ind w:left="-619" w:leftChars="-295"/>
        <w:jc w:val="center"/>
        <w:rPr>
          <w:rFonts w:hint="eastAsia" w:ascii="黑体" w:hAnsi="宋体" w:eastAsia="黑体" w:cs="Arial"/>
          <w:bCs/>
          <w:color w:val="auto"/>
          <w:sz w:val="32"/>
          <w:szCs w:val="32"/>
          <w:highlight w:val="none"/>
        </w:rPr>
      </w:pPr>
      <w:r>
        <w:rPr>
          <w:rFonts w:hint="eastAsia" w:ascii="黑体" w:hAnsi="宋体" w:eastAsia="黑体" w:cs="Arial"/>
          <w:bCs/>
          <w:color w:val="auto"/>
          <w:sz w:val="32"/>
          <w:szCs w:val="32"/>
          <w:highlight w:val="none"/>
        </w:rPr>
        <w:t>中国移动（浙江）创新研究院有限公司</w:t>
      </w:r>
    </w:p>
    <w:p w14:paraId="17CFD485">
      <w:pPr>
        <w:tabs>
          <w:tab w:val="left" w:pos="540"/>
        </w:tabs>
        <w:spacing w:line="540" w:lineRule="auto"/>
        <w:ind w:left="-619" w:leftChars="-295"/>
        <w:jc w:val="center"/>
        <w:rPr>
          <w:rFonts w:hint="eastAsia" w:ascii="黑体" w:hAnsi="宋体" w:eastAsia="黑体" w:cs="Arial"/>
          <w:bCs/>
          <w:color w:val="auto"/>
          <w:sz w:val="32"/>
          <w:szCs w:val="32"/>
          <w:highlight w:val="none"/>
        </w:rPr>
      </w:pPr>
      <w:r>
        <w:rPr>
          <w:rFonts w:ascii="黑体" w:hAnsi="宋体" w:eastAsia="黑体" w:cs="Arial"/>
          <w:bCs/>
          <w:color w:val="auto"/>
          <w:sz w:val="32"/>
          <w:szCs w:val="32"/>
          <w:highlight w:val="none"/>
        </w:rPr>
        <w:t>202</w:t>
      </w:r>
      <w:r>
        <w:rPr>
          <w:rFonts w:hint="eastAsia" w:ascii="黑体" w:hAnsi="宋体" w:eastAsia="黑体" w:cs="Arial"/>
          <w:bCs/>
          <w:color w:val="auto"/>
          <w:sz w:val="32"/>
          <w:szCs w:val="32"/>
          <w:highlight w:val="none"/>
          <w:lang w:val="en-US" w:eastAsia="zh-CN"/>
        </w:rPr>
        <w:t>6</w:t>
      </w:r>
      <w:r>
        <w:rPr>
          <w:rFonts w:hint="eastAsia" w:ascii="黑体" w:hAnsi="宋体" w:eastAsia="黑体" w:cs="Arial"/>
          <w:bCs/>
          <w:color w:val="auto"/>
          <w:sz w:val="32"/>
          <w:szCs w:val="32"/>
          <w:highlight w:val="none"/>
        </w:rPr>
        <w:t>年</w:t>
      </w:r>
      <w:r>
        <w:rPr>
          <w:rFonts w:hint="eastAsia" w:ascii="黑体" w:hAnsi="宋体" w:eastAsia="黑体" w:cs="Arial"/>
          <w:bCs/>
          <w:color w:val="auto"/>
          <w:sz w:val="32"/>
          <w:szCs w:val="32"/>
          <w:highlight w:val="none"/>
          <w:lang w:val="en-US" w:eastAsia="zh-CN"/>
        </w:rPr>
        <w:t>8</w:t>
      </w:r>
      <w:r>
        <w:rPr>
          <w:rFonts w:hint="eastAsia" w:ascii="黑体" w:hAnsi="宋体" w:eastAsia="黑体" w:cs="Arial"/>
          <w:bCs/>
          <w:color w:val="auto"/>
          <w:sz w:val="32"/>
          <w:szCs w:val="32"/>
          <w:highlight w:val="none"/>
        </w:rPr>
        <w:t>月</w:t>
      </w:r>
      <w:bookmarkEnd w:id="0"/>
      <w:bookmarkEnd w:id="1"/>
    </w:p>
    <w:p w14:paraId="1B18BFDF">
      <w:pPr>
        <w:widowControl/>
        <w:jc w:val="left"/>
        <w:rPr>
          <w:rFonts w:ascii="Times New Roman" w:hAnsi="Times New Roman" w:cs="Times New Roman"/>
          <w:b/>
          <w:color w:val="auto"/>
          <w:kern w:val="44"/>
          <w:sz w:val="44"/>
          <w:highlight w:val="none"/>
        </w:rPr>
      </w:pPr>
      <w:r>
        <w:rPr>
          <w:rFonts w:ascii="Times New Roman" w:hAnsi="Times New Roman" w:cs="Times New Roman"/>
          <w:color w:val="auto"/>
          <w:highlight w:val="none"/>
        </w:rPr>
        <w:br w:type="page"/>
      </w:r>
    </w:p>
    <w:p w14:paraId="1F85816A">
      <w:pPr>
        <w:pStyle w:val="2"/>
        <w:numPr>
          <w:ilvl w:val="0"/>
          <w:numId w:val="2"/>
        </w:numPr>
        <w:rPr>
          <w:color w:val="auto"/>
          <w:sz w:val="30"/>
          <w:szCs w:val="30"/>
          <w:highlight w:val="none"/>
        </w:rPr>
      </w:pPr>
      <w:r>
        <w:rPr>
          <w:rFonts w:hint="eastAsia"/>
          <w:color w:val="auto"/>
          <w:sz w:val="30"/>
          <w:szCs w:val="30"/>
          <w:highlight w:val="none"/>
        </w:rPr>
        <w:t>编写目的</w:t>
      </w:r>
    </w:p>
    <w:p w14:paraId="0FF352AC">
      <w:pPr>
        <w:pStyle w:val="19"/>
        <w:ind w:firstLine="560" w:firstLineChars="200"/>
        <w:rPr>
          <w:rFonts w:hint="eastAsia" w:ascii="Times New Roman" w:hAnsi="Times New Roman" w:cs="Times New Roman" w:eastAsiaTheme="minorEastAsia"/>
          <w:color w:val="auto"/>
          <w:sz w:val="28"/>
          <w:szCs w:val="28"/>
          <w:highlight w:val="none"/>
        </w:rPr>
      </w:pPr>
      <w:bookmarkStart w:id="3" w:name="_Hlk197957548"/>
      <w:r>
        <w:rPr>
          <w:rFonts w:hint="eastAsia" w:ascii="Times New Roman" w:hAnsi="Times New Roman" w:cs="Times New Roman" w:eastAsiaTheme="minorEastAsia"/>
          <w:color w:val="auto"/>
          <w:sz w:val="28"/>
          <w:szCs w:val="28"/>
          <w:highlight w:val="none"/>
        </w:rPr>
        <w:t>当前，网络安全威胁态势持续迭代演进，攻击手段日益复杂、攻击频次不断攀升，传统以</w:t>
      </w:r>
      <w:r>
        <w:rPr>
          <w:rFonts w:hint="eastAsia" w:ascii="Times New Roman" w:hAnsi="Times New Roman" w:cs="Times New Roman" w:eastAsiaTheme="minorEastAsia"/>
          <w:color w:val="auto"/>
          <w:sz w:val="28"/>
          <w:szCs w:val="28"/>
          <w:highlight w:val="none"/>
          <w:lang w:eastAsia="zh-CN"/>
        </w:rPr>
        <w:t>“</w:t>
      </w:r>
      <w:r>
        <w:rPr>
          <w:rFonts w:hint="eastAsia" w:ascii="Times New Roman" w:hAnsi="Times New Roman" w:cs="Times New Roman" w:eastAsiaTheme="minorEastAsia"/>
          <w:color w:val="auto"/>
          <w:sz w:val="28"/>
          <w:szCs w:val="28"/>
          <w:highlight w:val="none"/>
        </w:rPr>
        <w:t>人工研判 + 工具辅助</w:t>
      </w:r>
      <w:r>
        <w:rPr>
          <w:rFonts w:hint="eastAsia" w:ascii="Times New Roman" w:hAnsi="Times New Roman" w:cs="Times New Roman" w:eastAsiaTheme="minorEastAsia"/>
          <w:color w:val="auto"/>
          <w:sz w:val="28"/>
          <w:szCs w:val="28"/>
          <w:highlight w:val="none"/>
          <w:lang w:eastAsia="zh-CN"/>
        </w:rPr>
        <w:t>”</w:t>
      </w:r>
      <w:r>
        <w:rPr>
          <w:rFonts w:hint="eastAsia" w:ascii="Times New Roman" w:hAnsi="Times New Roman" w:cs="Times New Roman" w:eastAsiaTheme="minorEastAsia"/>
          <w:color w:val="auto"/>
          <w:sz w:val="28"/>
          <w:szCs w:val="28"/>
          <w:highlight w:val="none"/>
        </w:rPr>
        <w:t>为核心的安全运营模式，已难以有效应对新形势下的安全挑战。为此，创新研究院规划建设网络安全智能运营平台，围绕安全技术体系化、安全数据集中化、安全管理可视化、安全能力智能化、安全运营流程标准化的目标，构建完善的安全运营能力体系；依托 AI 大模型深度赋能，打造安全专业领域智能体应用体系，将安全专家经验与知识沉淀为可复用的智能能力</w:t>
      </w:r>
      <w:r>
        <w:rPr>
          <w:rFonts w:hint="eastAsia" w:ascii="Times New Roman" w:hAnsi="Times New Roman" w:cs="Times New Roman" w:eastAsiaTheme="minorEastAsia"/>
          <w:color w:val="auto"/>
          <w:sz w:val="28"/>
          <w:szCs w:val="28"/>
          <w:highlight w:val="none"/>
          <w:lang w:eastAsia="zh-CN"/>
        </w:rPr>
        <w:t>，</w:t>
      </w:r>
      <w:r>
        <w:rPr>
          <w:rFonts w:hint="eastAsia" w:ascii="Times New Roman" w:hAnsi="Times New Roman" w:cs="Times New Roman" w:eastAsiaTheme="minorEastAsia"/>
          <w:color w:val="auto"/>
          <w:sz w:val="28"/>
          <w:szCs w:val="28"/>
          <w:highlight w:val="none"/>
        </w:rPr>
        <w:t>全面提升威胁检测的精准度、事件研判的高效性、响应处置的及时性以及决策支持的科学性，实现安全运营能力的体系化跃升，为业务高质量发展与数字化转型筑牢安全屏障、提供坚实保障。</w:t>
      </w:r>
      <w:bookmarkEnd w:id="3"/>
    </w:p>
    <w:p w14:paraId="53AD1AD7">
      <w:pPr>
        <w:pStyle w:val="19"/>
        <w:ind w:firstLine="560" w:firstLineChars="200"/>
        <w:rPr>
          <w:rFonts w:hint="eastAsia"/>
          <w:color w:val="auto"/>
          <w:highlight w:val="none"/>
        </w:rPr>
      </w:pPr>
      <w:r>
        <w:rPr>
          <w:rFonts w:hint="eastAsia" w:ascii="Times New Roman" w:hAnsi="Times New Roman" w:cs="Times New Roman" w:eastAsiaTheme="minorEastAsia"/>
          <w:color w:val="auto"/>
          <w:sz w:val="28"/>
          <w:szCs w:val="28"/>
          <w:highlight w:val="none"/>
        </w:rPr>
        <w:t>本要求即为中国移动（浙江）创新研究院（以下简称甲方）针对</w:t>
      </w:r>
      <w:r>
        <w:rPr>
          <w:rFonts w:hint="eastAsia" w:ascii="Times New Roman" w:hAnsi="Times New Roman" w:cs="Times New Roman" w:eastAsiaTheme="minorEastAsia"/>
          <w:color w:val="auto"/>
          <w:sz w:val="28"/>
          <w:szCs w:val="28"/>
          <w:highlight w:val="none"/>
          <w:lang w:eastAsia="zh-CN"/>
        </w:rPr>
        <w:t>2026年网络安全智能运营体系技术支撑服务项目</w:t>
      </w:r>
      <w:r>
        <w:rPr>
          <w:rFonts w:hint="eastAsia" w:ascii="Times New Roman" w:hAnsi="Times New Roman" w:cs="Times New Roman" w:eastAsiaTheme="minorEastAsia"/>
          <w:color w:val="auto"/>
          <w:sz w:val="28"/>
          <w:szCs w:val="28"/>
          <w:highlight w:val="none"/>
        </w:rPr>
        <w:t>第三方（以下简称乙方）制定的服务要求和标准。其目的在于有效规范乙方所提供的技术支撑服务内容及质量，并作为甲方评价乙方所提供技术支撑服务的依据，保证甲方更为合理的选择和使用相关技术支撑服务。</w:t>
      </w:r>
      <w:bookmarkStart w:id="4" w:name="_Toc44261956"/>
      <w:bookmarkStart w:id="5" w:name="_Toc58574778"/>
      <w:bookmarkStart w:id="6" w:name="_Toc13222"/>
    </w:p>
    <w:bookmarkEnd w:id="4"/>
    <w:bookmarkEnd w:id="5"/>
    <w:bookmarkEnd w:id="6"/>
    <w:p w14:paraId="32EB7961">
      <w:pPr>
        <w:pStyle w:val="2"/>
        <w:numPr>
          <w:ilvl w:val="0"/>
          <w:numId w:val="2"/>
        </w:numPr>
        <w:rPr>
          <w:color w:val="auto"/>
          <w:sz w:val="30"/>
          <w:szCs w:val="30"/>
          <w:highlight w:val="none"/>
        </w:rPr>
      </w:pPr>
      <w:r>
        <w:rPr>
          <w:rFonts w:hint="eastAsia"/>
          <w:color w:val="auto"/>
          <w:sz w:val="30"/>
          <w:szCs w:val="30"/>
          <w:highlight w:val="none"/>
        </w:rPr>
        <w:t>总则</w:t>
      </w:r>
    </w:p>
    <w:p w14:paraId="0E9C5ED3">
      <w:pPr>
        <w:ind w:firstLine="560" w:firstLineChars="200"/>
        <w:rPr>
          <w:rFonts w:ascii="Times New Roman" w:hAnsi="Times New Roman" w:cs="Times New Roman"/>
          <w:color w:val="auto"/>
          <w:sz w:val="28"/>
          <w:szCs w:val="28"/>
          <w:highlight w:val="none"/>
        </w:rPr>
      </w:pPr>
      <w:r>
        <w:rPr>
          <w:rFonts w:hint="eastAsia" w:ascii="Times New Roman" w:hAnsi="Times New Roman" w:cs="Times New Roman"/>
          <w:color w:val="auto"/>
          <w:sz w:val="28"/>
          <w:szCs w:val="28"/>
          <w:highlight w:val="none"/>
        </w:rPr>
        <w:t>1、甲方计划购买2026 年网络安全智能运营体系技术支撑服务，为规范乙方的服务内容，特制定本技术规范书。</w:t>
      </w:r>
    </w:p>
    <w:p w14:paraId="1FEE7D4D">
      <w:pPr>
        <w:ind w:firstLine="560" w:firstLineChars="200"/>
        <w:rPr>
          <w:rFonts w:ascii="Times New Roman" w:hAnsi="Times New Roman" w:cs="Times New Roman"/>
          <w:color w:val="auto"/>
          <w:sz w:val="28"/>
          <w:szCs w:val="28"/>
          <w:highlight w:val="none"/>
        </w:rPr>
      </w:pPr>
      <w:r>
        <w:rPr>
          <w:rFonts w:hint="eastAsia" w:ascii="Times New Roman" w:hAnsi="Times New Roman" w:cs="Times New Roman"/>
          <w:color w:val="auto"/>
          <w:sz w:val="28"/>
          <w:szCs w:val="28"/>
          <w:highlight w:val="none"/>
        </w:rPr>
        <w:t>2、乙方应按照本规范书的要求提供详细的技术应答文件和相应的报价。乙方提供的各项服务内容及技术人员资质和技能应满足或高于甲方提出的要求。</w:t>
      </w:r>
    </w:p>
    <w:p w14:paraId="1B49B2BD">
      <w:pPr>
        <w:ind w:firstLine="560" w:firstLineChars="200"/>
        <w:rPr>
          <w:rFonts w:ascii="Times New Roman" w:hAnsi="Times New Roman" w:cs="Times New Roman"/>
          <w:color w:val="auto"/>
          <w:sz w:val="28"/>
          <w:szCs w:val="28"/>
          <w:highlight w:val="none"/>
        </w:rPr>
      </w:pPr>
      <w:r>
        <w:rPr>
          <w:rFonts w:hint="eastAsia" w:ascii="Times New Roman" w:hAnsi="Times New Roman" w:cs="Times New Roman"/>
          <w:color w:val="auto"/>
          <w:sz w:val="28"/>
          <w:szCs w:val="28"/>
          <w:highlight w:val="none"/>
        </w:rPr>
        <w:t>3、若本技术规范书有未提到或遗漏的服务要求，乙方请给出具体建议，并陈述理由及相应的技术解决方案。</w:t>
      </w:r>
    </w:p>
    <w:p w14:paraId="755AC63D">
      <w:pPr>
        <w:ind w:firstLine="560" w:firstLineChars="200"/>
        <w:rPr>
          <w:color w:val="auto"/>
          <w:highlight w:val="none"/>
        </w:rPr>
      </w:pPr>
      <w:r>
        <w:rPr>
          <w:rFonts w:hint="eastAsia" w:ascii="Times New Roman" w:hAnsi="Times New Roman" w:cs="Times New Roman"/>
          <w:color w:val="auto"/>
          <w:sz w:val="28"/>
          <w:szCs w:val="28"/>
          <w:highlight w:val="none"/>
        </w:rPr>
        <w:t>4、乙方必须承诺所提供的公司相关材料和证明文件以及所包含相关技术人员信息等内容的准确性，如发现有弄虚作假的乙方将被否决应答，且甲方有权追究乙方责任。</w:t>
      </w:r>
    </w:p>
    <w:p w14:paraId="185A4FF9">
      <w:pPr>
        <w:pStyle w:val="2"/>
        <w:numPr>
          <w:ilvl w:val="0"/>
          <w:numId w:val="2"/>
        </w:numPr>
        <w:rPr>
          <w:color w:val="auto"/>
          <w:sz w:val="30"/>
          <w:szCs w:val="30"/>
          <w:highlight w:val="none"/>
        </w:rPr>
      </w:pPr>
      <w:r>
        <w:rPr>
          <w:rFonts w:hint="eastAsia"/>
          <w:color w:val="auto"/>
          <w:sz w:val="30"/>
          <w:szCs w:val="30"/>
          <w:highlight w:val="none"/>
        </w:rPr>
        <w:t>技术支撑服务</w:t>
      </w:r>
      <w:r>
        <w:rPr>
          <w:color w:val="auto"/>
          <w:sz w:val="30"/>
          <w:szCs w:val="30"/>
          <w:highlight w:val="none"/>
        </w:rPr>
        <w:t>内容</w:t>
      </w:r>
      <w:r>
        <w:rPr>
          <w:rFonts w:hint="eastAsia"/>
          <w:color w:val="auto"/>
          <w:sz w:val="30"/>
          <w:szCs w:val="30"/>
          <w:highlight w:val="none"/>
        </w:rPr>
        <w:t>要求</w:t>
      </w:r>
    </w:p>
    <w:p w14:paraId="5BBAC804">
      <w:pPr>
        <w:pStyle w:val="3"/>
        <w:numPr>
          <w:ilvl w:val="0"/>
          <w:numId w:val="0"/>
        </w:numPr>
        <w:ind w:left="575" w:hanging="575"/>
        <w:rPr>
          <w:rFonts w:ascii="Times New Roman" w:hAnsi="Times New Roman" w:cs="Times New Roman" w:eastAsiaTheme="minorEastAsia"/>
          <w:color w:val="auto"/>
          <w:highlight w:val="none"/>
        </w:rPr>
      </w:pPr>
      <w:r>
        <w:rPr>
          <w:rFonts w:hint="eastAsia" w:ascii="Times New Roman" w:hAnsi="Times New Roman" w:cs="Times New Roman" w:eastAsiaTheme="minorEastAsia"/>
          <w:color w:val="auto"/>
          <w:highlight w:val="none"/>
        </w:rPr>
        <w:t>3.1 服务范围</w:t>
      </w:r>
    </w:p>
    <w:p w14:paraId="27982303">
      <w:pPr>
        <w:ind w:firstLine="560" w:firstLineChars="200"/>
        <w:rPr>
          <w:rFonts w:ascii="Times New Roman" w:hAnsi="Times New Roman" w:cs="Times New Roman"/>
          <w:color w:val="auto"/>
          <w:sz w:val="28"/>
          <w:szCs w:val="28"/>
          <w:highlight w:val="none"/>
        </w:rPr>
      </w:pPr>
      <w:bookmarkStart w:id="7" w:name="_Hlk197957609"/>
      <w:r>
        <w:rPr>
          <w:rFonts w:hint="eastAsia" w:ascii="Times New Roman" w:hAnsi="Times New Roman" w:cs="Times New Roman"/>
          <w:color w:val="auto"/>
          <w:sz w:val="28"/>
          <w:szCs w:val="28"/>
          <w:highlight w:val="none"/>
        </w:rPr>
        <w:t>本项目服务范围聚焦于2026年网络安全智能运营体系技术支撑服务。从网络安全运营管理视角出发，打造安全技术体系化、安全数据集中化、安全管理可视化、安全能力智能化、安全运营流程标准化的网络安全智能运营平台，围绕数据接入与处理、自动化工单运营、安全态势运营、指挥调度协同</w:t>
      </w:r>
      <w:r>
        <w:rPr>
          <w:rFonts w:hint="eastAsia" w:ascii="Times New Roman" w:hAnsi="Times New Roman" w:cs="Times New Roman"/>
          <w:color w:val="auto"/>
          <w:sz w:val="28"/>
          <w:szCs w:val="28"/>
          <w:highlight w:val="none"/>
          <w:lang w:eastAsia="zh-CN"/>
        </w:rPr>
        <w:t>、智能体应用赋能</w:t>
      </w:r>
      <w:r>
        <w:rPr>
          <w:rFonts w:hint="eastAsia" w:ascii="Times New Roman" w:hAnsi="Times New Roman" w:cs="Times New Roman"/>
          <w:color w:val="auto"/>
          <w:sz w:val="28"/>
          <w:szCs w:val="28"/>
          <w:highlight w:val="none"/>
          <w:lang w:val="en-US" w:eastAsia="zh-CN"/>
        </w:rPr>
        <w:t>五</w:t>
      </w:r>
      <w:r>
        <w:rPr>
          <w:rFonts w:hint="eastAsia" w:ascii="Times New Roman" w:hAnsi="Times New Roman" w:cs="Times New Roman"/>
          <w:color w:val="auto"/>
          <w:sz w:val="28"/>
          <w:szCs w:val="28"/>
          <w:highlight w:val="none"/>
        </w:rPr>
        <w:t>大关键场景提供全流程承载；在告警分析研判、安全运营等核心业务场景下，构建安全专业领域智能体应用体系，将安全专家经验与知识沉淀为可复用的智能能力，通过智能体模块集成实现高效、精准的人机协同交互。合作内容包括</w:t>
      </w:r>
      <w:r>
        <w:rPr>
          <w:rFonts w:hint="eastAsia" w:ascii="Times New Roman" w:hAnsi="Times New Roman" w:cs="Times New Roman"/>
          <w:color w:val="auto"/>
          <w:sz w:val="28"/>
          <w:szCs w:val="28"/>
          <w:highlight w:val="none"/>
          <w:lang w:val="en-US" w:eastAsia="zh-CN"/>
        </w:rPr>
        <w:t>数据接入与处理服务、自动化工单运营服务、安全态势运营服务、指挥调度协同服务、智能体应用赋能服务五</w:t>
      </w:r>
      <w:r>
        <w:rPr>
          <w:rFonts w:hint="eastAsia" w:ascii="Times New Roman" w:hAnsi="Times New Roman" w:cs="Times New Roman"/>
          <w:color w:val="auto"/>
          <w:sz w:val="28"/>
          <w:szCs w:val="28"/>
          <w:highlight w:val="none"/>
        </w:rPr>
        <w:t>方面的内容。</w:t>
      </w:r>
    </w:p>
    <w:bookmarkEnd w:id="7"/>
    <w:p w14:paraId="1283F09A">
      <w:pPr>
        <w:pStyle w:val="19"/>
        <w:ind w:firstLine="560" w:firstLineChars="200"/>
        <w:rPr>
          <w:rFonts w:hint="eastAsia"/>
          <w:color w:val="auto"/>
          <w:highlight w:val="none"/>
        </w:rPr>
      </w:pPr>
      <w:r>
        <w:rPr>
          <w:rFonts w:hint="eastAsia" w:ascii="Times New Roman" w:hAnsi="Times New Roman" w:cs="Times New Roman" w:eastAsiaTheme="minorEastAsia"/>
          <w:color w:val="auto"/>
          <w:sz w:val="28"/>
          <w:szCs w:val="28"/>
          <w:highlight w:val="none"/>
        </w:rPr>
        <w:t>服务期自合同签订之日起1年。</w:t>
      </w:r>
    </w:p>
    <w:p w14:paraId="6AB1F47F">
      <w:pPr>
        <w:pStyle w:val="3"/>
        <w:numPr>
          <w:ilvl w:val="1"/>
          <w:numId w:val="3"/>
        </w:numPr>
        <w:rPr>
          <w:rFonts w:ascii="Times New Roman" w:hAnsi="Times New Roman" w:cs="Times New Roman" w:eastAsiaTheme="minorEastAsia"/>
          <w:color w:val="auto"/>
          <w:highlight w:val="none"/>
        </w:rPr>
      </w:pPr>
      <w:r>
        <w:rPr>
          <w:rFonts w:hint="eastAsia" w:ascii="Times New Roman" w:hAnsi="Times New Roman" w:cs="Times New Roman" w:eastAsiaTheme="minorEastAsia"/>
          <w:color w:val="auto"/>
          <w:highlight w:val="none"/>
        </w:rPr>
        <w:t>服务内容及要求</w:t>
      </w:r>
    </w:p>
    <w:p w14:paraId="47FDA0F3">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根据2026年网络安全智能运营体系技术支撑服务项目的目标，主要服务内容如下：</w:t>
      </w:r>
    </w:p>
    <w:p w14:paraId="172AF27B">
      <w:pPr>
        <w:pStyle w:val="4"/>
        <w:numPr>
          <w:ilvl w:val="2"/>
          <w:numId w:val="3"/>
        </w:numPr>
        <w:spacing w:after="156"/>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en-US" w:eastAsia="zh-CN"/>
        </w:rPr>
        <w:t>数据接入与处理</w:t>
      </w:r>
      <w:r>
        <w:rPr>
          <w:rFonts w:hint="eastAsia" w:ascii="宋体" w:hAnsi="宋体" w:eastAsia="宋体" w:cs="宋体"/>
          <w:b/>
          <w:bCs/>
          <w:color w:val="auto"/>
          <w:highlight w:val="none"/>
          <w:lang w:val="zh-CN"/>
        </w:rPr>
        <w:t>服务</w:t>
      </w:r>
    </w:p>
    <w:p w14:paraId="1D898689">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建立多源异构数据统一采集与转换能力，作为数据底座的核心支撑。具备syslog、Kafka等通用标准数据采集，可接入态势感知、防火墙、IPS/IDS、WAF等多种日志，以及将数据转化为可供大模型及智能体分析调用格式，支撑安全大模型推理与智能研判，实现各类数据</w:t>
      </w:r>
      <w:r>
        <w:rPr>
          <w:rFonts w:hint="eastAsia" w:ascii="宋体" w:hAnsi="宋体" w:eastAsia="宋体" w:cs="宋体"/>
          <w:bCs/>
          <w:color w:val="auto"/>
          <w:sz w:val="28"/>
          <w:szCs w:val="28"/>
          <w:highlight w:val="none"/>
          <w:lang w:val="en-US" w:eastAsia="zh-CN"/>
        </w:rPr>
        <w:t>接</w:t>
      </w:r>
      <w:r>
        <w:rPr>
          <w:rFonts w:hint="eastAsia" w:ascii="宋体" w:hAnsi="宋体" w:eastAsia="宋体" w:cs="宋体"/>
          <w:bCs/>
          <w:color w:val="auto"/>
          <w:sz w:val="28"/>
          <w:szCs w:val="28"/>
          <w:highlight w:val="none"/>
          <w:lang w:val="zh-CN"/>
        </w:rPr>
        <w:t>入大模型进行研判运营的功能，为网络安全运营提供坚实的数据底座支撑。</w:t>
      </w:r>
    </w:p>
    <w:p w14:paraId="612EB19F">
      <w:pPr>
        <w:pStyle w:val="4"/>
        <w:numPr>
          <w:ilvl w:val="2"/>
          <w:numId w:val="3"/>
        </w:numPr>
        <w:spacing w:after="156"/>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en-US" w:eastAsia="zh-CN"/>
        </w:rPr>
        <w:t>自动化工单运营</w:t>
      </w:r>
      <w:r>
        <w:rPr>
          <w:rFonts w:hint="eastAsia" w:ascii="宋体" w:hAnsi="宋体" w:eastAsia="宋体" w:cs="宋体"/>
          <w:b/>
          <w:bCs/>
          <w:color w:val="auto"/>
          <w:highlight w:val="none"/>
          <w:lang w:val="zh-CN"/>
        </w:rPr>
        <w:t>服务</w:t>
      </w:r>
    </w:p>
    <w:p w14:paraId="5F59DCA9">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替代部分人工工单流转环节，作为安全智能运营的重要组成，具备工单下发、审核、签收、反馈、流转、闭单及关单后审核的运营流程管理，支持按特定部门、人员下发工单。实现态势告警研判后的安全事件进行自动上报，自动接收集团下发的指令，</w:t>
      </w:r>
      <w:r>
        <w:rPr>
          <w:rFonts w:hint="eastAsia" w:ascii="宋体" w:hAnsi="宋体" w:eastAsia="宋体" w:cs="宋体"/>
          <w:bCs/>
          <w:color w:val="auto"/>
          <w:sz w:val="28"/>
          <w:szCs w:val="28"/>
          <w:highlight w:val="none"/>
          <w:lang w:val="en-US" w:eastAsia="zh-CN"/>
        </w:rPr>
        <w:t>完成SOC安全合规作业</w:t>
      </w:r>
      <w:r>
        <w:rPr>
          <w:rFonts w:hint="eastAsia" w:ascii="宋体" w:hAnsi="宋体" w:eastAsia="宋体" w:cs="宋体"/>
          <w:bCs/>
          <w:color w:val="auto"/>
          <w:sz w:val="28"/>
          <w:szCs w:val="28"/>
          <w:highlight w:val="none"/>
          <w:lang w:val="zh-CN"/>
        </w:rPr>
        <w:t>自动派发，提供全流程运营技术支持，实现问题发现、工单生成、定向派发的自动化闭环，释放运营人员人力聚焦核心工作。</w:t>
      </w:r>
    </w:p>
    <w:p w14:paraId="4E506035">
      <w:pPr>
        <w:pStyle w:val="4"/>
        <w:numPr>
          <w:ilvl w:val="2"/>
          <w:numId w:val="3"/>
        </w:numPr>
        <w:spacing w:after="156"/>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en-US" w:eastAsia="zh-CN"/>
        </w:rPr>
        <w:t>安全态势运营</w:t>
      </w:r>
      <w:r>
        <w:rPr>
          <w:rFonts w:hint="eastAsia" w:ascii="宋体" w:hAnsi="宋体" w:eastAsia="宋体" w:cs="宋体"/>
          <w:b/>
          <w:bCs/>
          <w:color w:val="auto"/>
          <w:highlight w:val="none"/>
          <w:lang w:val="zh-CN"/>
        </w:rPr>
        <w:t>服务</w:t>
      </w:r>
    </w:p>
    <w:p w14:paraId="52C8A5DF">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对接异构态势感知系统，实现告警数据的跨厂商汇聚与标准化治理。具备告警数据聚合、告警智能研判、安全事件总览、事件分析、多维度事件检索能力，并可视化呈现威胁趋势、威胁等级分布、威胁类型分布、部门威胁分布等综合安全态势，支撑网络安全事件的高效发现与精准研判，为管理层提供智能安全决策依据，全面提升网络安全运营效能。</w:t>
      </w:r>
    </w:p>
    <w:p w14:paraId="1EA77355">
      <w:pPr>
        <w:pStyle w:val="4"/>
        <w:numPr>
          <w:ilvl w:val="2"/>
          <w:numId w:val="3"/>
        </w:numPr>
        <w:spacing w:after="156"/>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指挥调度协同服务</w:t>
      </w:r>
    </w:p>
    <w:p w14:paraId="70D02F31">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建立安全运营的统一指挥调度中心，实现安全综合管控与跨团队、跨层级的安全事件协同处置。支持多部门联动、多角色协同，建立事件升级与通报机制，形成"发现-研判-处置-反馈"的调度闭环。通过可视化大屏实时呈现全网安全态势、事件处置进展与资源调度状态，为管理层提供直观的安全运营全局视角。</w:t>
      </w:r>
    </w:p>
    <w:p w14:paraId="24EAF4A3">
      <w:pPr>
        <w:pStyle w:val="4"/>
        <w:numPr>
          <w:ilvl w:val="2"/>
          <w:numId w:val="3"/>
        </w:numPr>
        <w:spacing w:after="156"/>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智能体应用赋能服务</w:t>
      </w:r>
    </w:p>
    <w:p w14:paraId="4BD07D12">
      <w:pPr>
        <w:pStyle w:val="19"/>
        <w:ind w:firstLine="560" w:firstLineChars="200"/>
        <w:rPr>
          <w:rFonts w:hint="default"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构建安全专业领域智能体应用体系，作为智能体体系的统一管控中心，实现对全量智能体的全生命周期管理。支持智能体运营价值量化分析与成效评估、集中化运行状态监控、自动化任务调度与全流程管控；同时实现对智能体原子技能（Skill）、标准化工具（MCP）的统一台账管理，全量留存运行日志并提供细粒度权限管控，为智能体的安全、稳定、高效运行提供基础支撑与保障。提供包括威胁分析研判、安全值守与报告、问答助手智能体应用。具体内容如下：</w:t>
      </w:r>
    </w:p>
    <w:p w14:paraId="72797F45">
      <w:pPr>
        <w:pStyle w:val="6"/>
        <w:numPr>
          <w:ilvl w:val="3"/>
          <w:numId w:val="3"/>
        </w:numPr>
        <w:tabs>
          <w:tab w:val="left" w:pos="720"/>
        </w:tabs>
        <w:rPr>
          <w:rFonts w:hint="eastAsia" w:ascii="宋体" w:hAnsi="宋体" w:eastAsia="宋体" w:cs="宋体"/>
          <w:color w:val="auto"/>
          <w:highlight w:val="none"/>
        </w:rPr>
      </w:pPr>
      <w:r>
        <w:rPr>
          <w:rFonts w:hint="eastAsia" w:ascii="宋体" w:hAnsi="宋体" w:eastAsia="宋体" w:cs="宋体"/>
          <w:color w:val="auto"/>
          <w:highlight w:val="none"/>
        </w:rPr>
        <w:t>威胁分析研判智能体</w:t>
      </w:r>
      <w:r>
        <w:rPr>
          <w:rFonts w:hint="eastAsia" w:ascii="宋体" w:hAnsi="宋体" w:eastAsia="宋体" w:cs="宋体"/>
          <w:color w:val="auto"/>
          <w:highlight w:val="none"/>
          <w:lang w:val="en-US" w:eastAsia="zh-CN"/>
        </w:rPr>
        <w:t>应用</w:t>
      </w:r>
      <w:r>
        <w:rPr>
          <w:rFonts w:hint="eastAsia" w:ascii="宋体" w:hAnsi="宋体" w:eastAsia="宋体" w:cs="宋体"/>
          <w:color w:val="auto"/>
          <w:highlight w:val="none"/>
        </w:rPr>
        <w:t>赋能服务</w:t>
      </w:r>
    </w:p>
    <w:p w14:paraId="3E981DA0">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基于安全大模型推理能力与海量历史威胁数据、攻击案例库及安全知识库开展模型训练，具备多维度威胁关联分析、攻击链路完整还原、溯源追踪及影响范围评估</w:t>
      </w:r>
      <w:r>
        <w:rPr>
          <w:rFonts w:hint="eastAsia" w:ascii="宋体" w:hAnsi="宋体" w:eastAsia="宋体" w:cs="宋体"/>
          <w:bCs/>
          <w:color w:val="auto"/>
          <w:sz w:val="28"/>
          <w:szCs w:val="28"/>
          <w:highlight w:val="none"/>
          <w:lang w:val="en-US" w:eastAsia="zh-CN"/>
        </w:rPr>
        <w:t>能力</w:t>
      </w:r>
      <w:r>
        <w:rPr>
          <w:rFonts w:hint="eastAsia" w:ascii="宋体" w:hAnsi="宋体" w:eastAsia="宋体" w:cs="宋体"/>
          <w:bCs/>
          <w:color w:val="auto"/>
          <w:sz w:val="28"/>
          <w:szCs w:val="28"/>
          <w:highlight w:val="none"/>
          <w:lang w:val="zh-CN"/>
        </w:rPr>
        <w:t>，依托资产台账落地 API 安全扫描检测与数据安全流转管理与监测，打通资产、接口、数据一体化安全治理链路，支持自动关联终端、网络、应用等多源数据，快速厘清威胁事件的发起源头、传播路径及潜在危害，自动生成研判</w:t>
      </w:r>
      <w:r>
        <w:rPr>
          <w:rFonts w:hint="eastAsia" w:ascii="宋体" w:hAnsi="宋体" w:eastAsia="宋体" w:cs="宋体"/>
          <w:bCs/>
          <w:color w:val="auto"/>
          <w:sz w:val="28"/>
          <w:szCs w:val="28"/>
          <w:highlight w:val="none"/>
          <w:lang w:val="en-US" w:eastAsia="zh-CN"/>
        </w:rPr>
        <w:t>分析</w:t>
      </w:r>
      <w:r>
        <w:rPr>
          <w:rFonts w:hint="eastAsia" w:ascii="宋体" w:hAnsi="宋体" w:eastAsia="宋体" w:cs="宋体"/>
          <w:bCs/>
          <w:color w:val="auto"/>
          <w:sz w:val="28"/>
          <w:szCs w:val="28"/>
          <w:highlight w:val="none"/>
          <w:lang w:val="zh-CN"/>
        </w:rPr>
        <w:t>，同步给出可落地的处置策略与防护建议，助力安全团队快速响应、高效处置威胁事件，</w:t>
      </w:r>
      <w:r>
        <w:rPr>
          <w:rFonts w:hint="eastAsia" w:ascii="宋体" w:hAnsi="宋体" w:eastAsia="宋体" w:cs="宋体"/>
          <w:bCs/>
          <w:color w:val="auto"/>
          <w:sz w:val="28"/>
          <w:szCs w:val="28"/>
          <w:highlight w:val="none"/>
          <w:lang w:val="en-US" w:eastAsia="zh-CN"/>
        </w:rPr>
        <w:t>提升</w:t>
      </w:r>
      <w:r>
        <w:rPr>
          <w:rFonts w:hint="eastAsia" w:ascii="宋体" w:hAnsi="宋体" w:eastAsia="宋体" w:cs="宋体"/>
          <w:bCs/>
          <w:color w:val="auto"/>
          <w:sz w:val="28"/>
          <w:szCs w:val="28"/>
          <w:highlight w:val="none"/>
          <w:lang w:val="zh-CN"/>
        </w:rPr>
        <w:t>安全风险</w:t>
      </w:r>
      <w:r>
        <w:rPr>
          <w:rFonts w:hint="eastAsia" w:ascii="宋体" w:hAnsi="宋体" w:eastAsia="宋体" w:cs="宋体"/>
          <w:bCs/>
          <w:color w:val="auto"/>
          <w:sz w:val="28"/>
          <w:szCs w:val="28"/>
          <w:highlight w:val="none"/>
          <w:lang w:val="en-US" w:eastAsia="zh-CN"/>
        </w:rPr>
        <w:t>管控效率</w:t>
      </w:r>
      <w:r>
        <w:rPr>
          <w:rFonts w:hint="eastAsia" w:ascii="宋体" w:hAnsi="宋体" w:eastAsia="宋体" w:cs="宋体"/>
          <w:bCs/>
          <w:color w:val="auto"/>
          <w:sz w:val="28"/>
          <w:szCs w:val="28"/>
          <w:highlight w:val="none"/>
          <w:lang w:val="zh-CN"/>
        </w:rPr>
        <w:t>。</w:t>
      </w:r>
    </w:p>
    <w:p w14:paraId="3FCF05B9">
      <w:pPr>
        <w:pStyle w:val="6"/>
        <w:numPr>
          <w:ilvl w:val="3"/>
          <w:numId w:val="3"/>
        </w:numPr>
        <w:tabs>
          <w:tab w:val="left" w:pos="720"/>
        </w:tabs>
        <w:rPr>
          <w:rFonts w:hint="eastAsia" w:ascii="宋体" w:hAnsi="宋体" w:eastAsia="宋体" w:cs="宋体"/>
          <w:color w:val="auto"/>
          <w:highlight w:val="none"/>
        </w:rPr>
      </w:pPr>
      <w:r>
        <w:rPr>
          <w:rFonts w:hint="eastAsia" w:ascii="宋体" w:hAnsi="宋体" w:eastAsia="宋体" w:cs="宋体"/>
          <w:color w:val="auto"/>
          <w:highlight w:val="none"/>
        </w:rPr>
        <w:t>安全值守与报告智能体</w:t>
      </w:r>
      <w:r>
        <w:rPr>
          <w:rFonts w:hint="eastAsia" w:ascii="宋体" w:hAnsi="宋体" w:eastAsia="宋体" w:cs="宋体"/>
          <w:color w:val="auto"/>
          <w:highlight w:val="none"/>
          <w:lang w:val="en-US" w:eastAsia="zh-CN"/>
        </w:rPr>
        <w:t>应用</w:t>
      </w:r>
      <w:r>
        <w:rPr>
          <w:rFonts w:hint="eastAsia" w:ascii="宋体" w:hAnsi="宋体" w:eastAsia="宋体" w:cs="宋体"/>
          <w:color w:val="auto"/>
          <w:highlight w:val="none"/>
        </w:rPr>
        <w:t>赋能服务</w:t>
      </w:r>
    </w:p>
    <w:p w14:paraId="35F1A70F">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汇聚多源安全数据，依托标准化提示词与技能开发，实现 7×24 小时全天候安全态势监控，可自动完成安全值守、风险问题归纳与周期性安全态势报告生成，为安全团队提供持续运营技术支持，替代传统人工值守模式，实现安全</w:t>
      </w:r>
      <w:r>
        <w:rPr>
          <w:rFonts w:hint="eastAsia" w:ascii="宋体" w:hAnsi="宋体" w:eastAsia="宋体" w:cs="宋体"/>
          <w:bCs/>
          <w:color w:val="auto"/>
          <w:sz w:val="28"/>
          <w:szCs w:val="28"/>
          <w:highlight w:val="none"/>
          <w:lang w:val="en-US" w:eastAsia="zh-CN"/>
        </w:rPr>
        <w:t>智能</w:t>
      </w:r>
      <w:r>
        <w:rPr>
          <w:rFonts w:hint="eastAsia" w:ascii="宋体" w:hAnsi="宋体" w:eastAsia="宋体" w:cs="宋体"/>
          <w:bCs/>
          <w:color w:val="auto"/>
          <w:sz w:val="28"/>
          <w:szCs w:val="28"/>
          <w:highlight w:val="none"/>
          <w:lang w:val="zh-CN"/>
        </w:rPr>
        <w:t>运营的自动化、常态化与可视化，提升安全事件响应的及时性。</w:t>
      </w:r>
    </w:p>
    <w:p w14:paraId="1A033116">
      <w:pPr>
        <w:pStyle w:val="6"/>
        <w:numPr>
          <w:ilvl w:val="3"/>
          <w:numId w:val="3"/>
        </w:numPr>
        <w:tabs>
          <w:tab w:val="left" w:pos="720"/>
        </w:tabs>
        <w:rPr>
          <w:rFonts w:hint="eastAsia" w:ascii="宋体" w:hAnsi="宋体" w:eastAsia="宋体" w:cs="宋体"/>
          <w:color w:val="auto"/>
          <w:highlight w:val="none"/>
        </w:rPr>
      </w:pPr>
      <w:r>
        <w:rPr>
          <w:rFonts w:hint="eastAsia" w:ascii="宋体" w:hAnsi="宋体" w:eastAsia="宋体" w:cs="宋体"/>
          <w:color w:val="auto"/>
          <w:highlight w:val="none"/>
        </w:rPr>
        <w:t>问答助手智能体</w:t>
      </w:r>
      <w:r>
        <w:rPr>
          <w:rFonts w:hint="eastAsia" w:ascii="宋体" w:hAnsi="宋体" w:eastAsia="宋体" w:cs="宋体"/>
          <w:color w:val="auto"/>
          <w:highlight w:val="none"/>
          <w:lang w:val="en-US" w:eastAsia="zh-CN"/>
        </w:rPr>
        <w:t>应用</w:t>
      </w:r>
      <w:r>
        <w:rPr>
          <w:rFonts w:hint="eastAsia" w:ascii="宋体" w:hAnsi="宋体" w:eastAsia="宋体" w:cs="宋体"/>
          <w:color w:val="auto"/>
          <w:highlight w:val="none"/>
        </w:rPr>
        <w:t>赋能服务</w:t>
      </w:r>
    </w:p>
    <w:p w14:paraId="205CCB19">
      <w:pPr>
        <w:pStyle w:val="19"/>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针对安全领域知识体系庞大、查询效率低、新人上手慢、专业咨询成本高的痛点，构建安全领域问答助手智能体应用，为网络安全运营安全团队及相关人员提供高效、精准的知识查询与咨询赋能服务。支持自然语言交互查询，可快速响应安全技术咨询、政策标准解读、漏洞处置方法、工具使用指导等各类问题，给出精准、易懂的解答及相关参考资料，无需人工逐一对接咨询，大幅提升知识获取效率。</w:t>
      </w:r>
    </w:p>
    <w:p w14:paraId="6C076E43">
      <w:pPr>
        <w:pStyle w:val="3"/>
        <w:numPr>
          <w:ilvl w:val="1"/>
          <w:numId w:val="3"/>
        </w:numPr>
        <w:rPr>
          <w:rFonts w:ascii="Times New Roman" w:hAnsi="Times New Roman" w:cs="Times New Roman" w:eastAsiaTheme="minorEastAsia"/>
          <w:color w:val="auto"/>
          <w:highlight w:val="none"/>
        </w:rPr>
      </w:pPr>
      <w:r>
        <w:rPr>
          <w:rFonts w:hint="eastAsia" w:ascii="Times New Roman" w:hAnsi="Times New Roman" w:cs="Times New Roman" w:eastAsiaTheme="minorEastAsia"/>
          <w:color w:val="auto"/>
          <w:highlight w:val="none"/>
        </w:rPr>
        <w:t>服务人天估算</w:t>
      </w:r>
    </w:p>
    <w:p w14:paraId="0A9F8AB6">
      <w:pPr>
        <w:adjustRightInd w:val="0"/>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项目服务期间预估提供</w:t>
      </w:r>
      <w:r>
        <w:rPr>
          <w:rFonts w:hint="eastAsia" w:ascii="宋体" w:hAnsi="宋体" w:eastAsia="宋体" w:cs="宋体"/>
          <w:bCs/>
          <w:color w:val="auto"/>
          <w:sz w:val="28"/>
          <w:szCs w:val="28"/>
          <w:highlight w:val="none"/>
          <w:lang w:val="en-US" w:eastAsia="zh-CN"/>
        </w:rPr>
        <w:t>817</w:t>
      </w:r>
      <w:r>
        <w:rPr>
          <w:rFonts w:hint="eastAsia" w:ascii="宋体" w:hAnsi="宋体" w:eastAsia="宋体" w:cs="宋体"/>
          <w:bCs/>
          <w:color w:val="auto"/>
          <w:sz w:val="28"/>
          <w:szCs w:val="28"/>
          <w:highlight w:val="none"/>
          <w:lang w:val="zh-CN"/>
        </w:rPr>
        <w:t>人天</w:t>
      </w:r>
      <w:r>
        <w:rPr>
          <w:rFonts w:hint="eastAsia" w:ascii="宋体" w:hAnsi="宋体" w:eastAsia="宋体" w:cs="宋体"/>
          <w:bCs/>
          <w:color w:val="auto"/>
          <w:sz w:val="28"/>
          <w:szCs w:val="28"/>
          <w:highlight w:val="none"/>
          <w:lang w:val="en-US" w:eastAsia="zh-CN"/>
        </w:rPr>
        <w:t>资深专家人员</w:t>
      </w:r>
      <w:r>
        <w:rPr>
          <w:rFonts w:hint="eastAsia" w:ascii="宋体" w:hAnsi="宋体" w:eastAsia="宋体" w:cs="宋体"/>
          <w:bCs/>
          <w:color w:val="auto"/>
          <w:sz w:val="28"/>
          <w:szCs w:val="28"/>
          <w:highlight w:val="none"/>
          <w:lang w:val="zh-CN"/>
        </w:rPr>
        <w:t>服务，</w:t>
      </w:r>
      <w:r>
        <w:rPr>
          <w:rFonts w:hint="eastAsia" w:ascii="宋体" w:hAnsi="宋体" w:eastAsia="宋体" w:cs="宋体"/>
          <w:bCs/>
          <w:color w:val="auto"/>
          <w:sz w:val="28"/>
          <w:szCs w:val="28"/>
          <w:highlight w:val="none"/>
          <w:lang w:val="en-US" w:eastAsia="zh-CN"/>
        </w:rPr>
        <w:t>960</w:t>
      </w:r>
      <w:r>
        <w:rPr>
          <w:rFonts w:hint="eastAsia" w:ascii="宋体" w:hAnsi="宋体" w:eastAsia="宋体" w:cs="宋体"/>
          <w:bCs/>
          <w:color w:val="auto"/>
          <w:sz w:val="28"/>
          <w:szCs w:val="28"/>
          <w:highlight w:val="none"/>
          <w:lang w:val="zh-CN"/>
        </w:rPr>
        <w:t>人天高级安全</w:t>
      </w:r>
      <w:r>
        <w:rPr>
          <w:rFonts w:hint="eastAsia" w:ascii="宋体" w:hAnsi="宋体" w:eastAsia="宋体" w:cs="宋体"/>
          <w:bCs/>
          <w:color w:val="auto"/>
          <w:sz w:val="28"/>
          <w:szCs w:val="28"/>
          <w:highlight w:val="none"/>
          <w:lang w:val="en-US" w:eastAsia="zh-CN"/>
        </w:rPr>
        <w:t>人员</w:t>
      </w:r>
      <w:r>
        <w:rPr>
          <w:rFonts w:hint="eastAsia" w:ascii="宋体" w:hAnsi="宋体" w:eastAsia="宋体" w:cs="宋体"/>
          <w:bCs/>
          <w:color w:val="auto"/>
          <w:sz w:val="28"/>
          <w:szCs w:val="28"/>
          <w:highlight w:val="none"/>
          <w:lang w:val="zh-CN"/>
        </w:rPr>
        <w:t>服务，</w:t>
      </w:r>
      <w:r>
        <w:rPr>
          <w:rFonts w:hint="eastAsia" w:ascii="宋体" w:hAnsi="宋体" w:eastAsia="宋体" w:cs="宋体"/>
          <w:bCs/>
          <w:color w:val="auto"/>
          <w:sz w:val="28"/>
          <w:szCs w:val="28"/>
          <w:highlight w:val="none"/>
          <w:lang w:val="en-US" w:eastAsia="zh-CN"/>
        </w:rPr>
        <w:t>2465</w:t>
      </w:r>
      <w:r>
        <w:rPr>
          <w:rFonts w:hint="eastAsia" w:ascii="宋体" w:hAnsi="宋体" w:eastAsia="宋体" w:cs="宋体"/>
          <w:bCs/>
          <w:color w:val="auto"/>
          <w:sz w:val="28"/>
          <w:szCs w:val="28"/>
          <w:highlight w:val="none"/>
          <w:lang w:val="zh-CN"/>
        </w:rPr>
        <w:t>人天中级安全</w:t>
      </w:r>
      <w:r>
        <w:rPr>
          <w:rFonts w:hint="eastAsia" w:ascii="宋体" w:hAnsi="宋体" w:eastAsia="宋体" w:cs="宋体"/>
          <w:bCs/>
          <w:color w:val="auto"/>
          <w:sz w:val="28"/>
          <w:szCs w:val="28"/>
          <w:highlight w:val="none"/>
          <w:lang w:val="en-US" w:eastAsia="zh-CN"/>
        </w:rPr>
        <w:t>人员</w:t>
      </w:r>
      <w:r>
        <w:rPr>
          <w:rFonts w:hint="eastAsia" w:ascii="宋体" w:hAnsi="宋体" w:eastAsia="宋体" w:cs="宋体"/>
          <w:bCs/>
          <w:color w:val="auto"/>
          <w:sz w:val="28"/>
          <w:szCs w:val="28"/>
          <w:highlight w:val="none"/>
          <w:lang w:val="zh-CN"/>
        </w:rPr>
        <w:t>服务，服务期（一年）内预估工作量详细见下表：</w:t>
      </w:r>
    </w:p>
    <w:p w14:paraId="741DE75D">
      <w:pPr>
        <w:adjustRightInd w:val="0"/>
        <w:ind w:firstLine="560" w:firstLineChars="200"/>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服务工作量预估如下表所示：</w:t>
      </w:r>
      <w:r>
        <w:rPr>
          <w:rFonts w:ascii="宋体" w:hAnsi="宋体" w:eastAsia="宋体" w:cs="宋体"/>
          <w:bCs/>
          <w:color w:val="auto"/>
          <w:sz w:val="28"/>
          <w:szCs w:val="28"/>
          <w:highlight w:val="none"/>
          <w:lang w:val="zh-CN"/>
        </w:rPr>
        <w:t xml:space="preserve"> </w:t>
      </w:r>
    </w:p>
    <w:tbl>
      <w:tblPr>
        <w:tblStyle w:val="20"/>
        <w:tblW w:w="46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476"/>
        <w:gridCol w:w="1326"/>
        <w:gridCol w:w="1326"/>
        <w:gridCol w:w="1326"/>
        <w:gridCol w:w="1334"/>
      </w:tblGrid>
      <w:tr w14:paraId="0617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8" w:type="pct"/>
            <w:vMerge w:val="restart"/>
            <w:shd w:val="clear" w:color="auto" w:fill="C5D9F1"/>
            <w:vAlign w:val="center"/>
          </w:tcPr>
          <w:p w14:paraId="52604FB1">
            <w:pPr>
              <w:widowControl/>
              <w:jc w:val="center"/>
              <w:textAlignment w:val="center"/>
              <w:rPr>
                <w:rFonts w:hint="eastAsia" w:cs="微软雅黑" w:asciiTheme="minorEastAsia" w:hAnsiTheme="minorEastAsia"/>
                <w:b/>
                <w:bCs/>
                <w:color w:val="auto"/>
                <w:kern w:val="0"/>
                <w:sz w:val="20"/>
                <w:szCs w:val="20"/>
                <w:highlight w:val="none"/>
                <w:lang w:bidi="ar"/>
              </w:rPr>
            </w:pPr>
            <w:r>
              <w:rPr>
                <w:rFonts w:hint="eastAsia" w:cs="微软雅黑" w:asciiTheme="minorEastAsia" w:hAnsiTheme="minorEastAsia"/>
                <w:b/>
                <w:bCs/>
                <w:color w:val="auto"/>
                <w:kern w:val="0"/>
                <w:sz w:val="20"/>
                <w:szCs w:val="20"/>
                <w:highlight w:val="none"/>
                <w:lang w:bidi="ar"/>
              </w:rPr>
              <w:t>服务名称</w:t>
            </w:r>
          </w:p>
        </w:tc>
        <w:tc>
          <w:tcPr>
            <w:tcW w:w="935" w:type="pct"/>
            <w:vMerge w:val="restart"/>
            <w:shd w:val="clear" w:color="auto" w:fill="C5D9F1"/>
            <w:vAlign w:val="center"/>
          </w:tcPr>
          <w:p w14:paraId="1C2D6B50">
            <w:pPr>
              <w:widowControl/>
              <w:jc w:val="center"/>
              <w:textAlignment w:val="center"/>
              <w:rPr>
                <w:rFonts w:hint="default" w:cs="微软雅黑" w:asciiTheme="minorEastAsia" w:hAnsiTheme="minorEastAsia" w:eastAsiaTheme="minorEastAsia"/>
                <w:b/>
                <w:bCs/>
                <w:color w:val="auto"/>
                <w:sz w:val="20"/>
                <w:szCs w:val="20"/>
                <w:highlight w:val="none"/>
                <w:lang w:val="en-US" w:eastAsia="zh-CN"/>
              </w:rPr>
            </w:pPr>
            <w:r>
              <w:rPr>
                <w:rFonts w:hint="eastAsia" w:cs="微软雅黑" w:asciiTheme="minorEastAsia" w:hAnsiTheme="minorEastAsia"/>
                <w:b/>
                <w:bCs/>
                <w:color w:val="auto"/>
                <w:sz w:val="20"/>
                <w:szCs w:val="20"/>
                <w:highlight w:val="none"/>
                <w:lang w:val="en-US" w:eastAsia="zh-CN"/>
              </w:rPr>
              <w:t>小类</w:t>
            </w:r>
          </w:p>
        </w:tc>
        <w:tc>
          <w:tcPr>
            <w:tcW w:w="840" w:type="pct"/>
            <w:vMerge w:val="restart"/>
            <w:shd w:val="clear" w:color="auto" w:fill="C5D9F1"/>
            <w:vAlign w:val="center"/>
          </w:tcPr>
          <w:p w14:paraId="79EFD03B">
            <w:pPr>
              <w:widowControl/>
              <w:jc w:val="center"/>
              <w:textAlignment w:val="center"/>
              <w:rPr>
                <w:rFonts w:hint="default" w:cs="微软雅黑" w:asciiTheme="minorEastAsia" w:hAnsiTheme="minorEastAsia" w:eastAsiaTheme="minorEastAsia"/>
                <w:b/>
                <w:bCs/>
                <w:color w:val="auto"/>
                <w:kern w:val="0"/>
                <w:sz w:val="20"/>
                <w:szCs w:val="20"/>
                <w:highlight w:val="none"/>
                <w:lang w:val="en-US" w:eastAsia="zh-CN" w:bidi="ar"/>
              </w:rPr>
            </w:pPr>
            <w:r>
              <w:rPr>
                <w:rFonts w:hint="eastAsia" w:cs="微软雅黑" w:asciiTheme="minorEastAsia" w:hAnsiTheme="minorEastAsia"/>
                <w:b/>
                <w:bCs/>
                <w:color w:val="auto"/>
                <w:kern w:val="0"/>
                <w:sz w:val="20"/>
                <w:szCs w:val="20"/>
                <w:highlight w:val="none"/>
                <w:lang w:val="en-US" w:eastAsia="zh-CN" w:bidi="ar"/>
              </w:rPr>
              <w:t>报价方式</w:t>
            </w:r>
          </w:p>
        </w:tc>
        <w:tc>
          <w:tcPr>
            <w:tcW w:w="2525" w:type="pct"/>
            <w:gridSpan w:val="3"/>
            <w:shd w:val="clear" w:color="auto" w:fill="C5D9F1"/>
            <w:vAlign w:val="center"/>
          </w:tcPr>
          <w:p w14:paraId="6828F2C8">
            <w:pPr>
              <w:widowControl/>
              <w:jc w:val="center"/>
              <w:textAlignment w:val="center"/>
              <w:rPr>
                <w:rFonts w:hint="eastAsia" w:cs="微软雅黑" w:asciiTheme="minorEastAsia" w:hAnsiTheme="minorEastAsia"/>
                <w:b/>
                <w:bCs/>
                <w:color w:val="auto"/>
                <w:kern w:val="0"/>
                <w:sz w:val="20"/>
                <w:szCs w:val="20"/>
                <w:highlight w:val="none"/>
                <w:lang w:bidi="ar"/>
              </w:rPr>
            </w:pPr>
            <w:r>
              <w:rPr>
                <w:rFonts w:hint="eastAsia" w:cs="微软雅黑" w:asciiTheme="minorEastAsia" w:hAnsiTheme="minorEastAsia"/>
                <w:b/>
                <w:bCs/>
                <w:color w:val="auto"/>
                <w:kern w:val="0"/>
                <w:sz w:val="20"/>
                <w:szCs w:val="20"/>
                <w:highlight w:val="none"/>
                <w:lang w:bidi="ar"/>
              </w:rPr>
              <w:t>一年工作量预估（人天）</w:t>
            </w:r>
          </w:p>
        </w:tc>
      </w:tr>
      <w:tr w14:paraId="28A28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698" w:type="pct"/>
            <w:vMerge w:val="continue"/>
            <w:shd w:val="clear" w:color="auto" w:fill="C5D9F1"/>
            <w:vAlign w:val="center"/>
          </w:tcPr>
          <w:p w14:paraId="52F9470F">
            <w:pPr>
              <w:widowControl/>
              <w:jc w:val="center"/>
              <w:textAlignment w:val="center"/>
              <w:rPr>
                <w:rFonts w:hint="eastAsia" w:cs="微软雅黑" w:asciiTheme="minorEastAsia" w:hAnsiTheme="minorEastAsia"/>
                <w:b/>
                <w:bCs/>
                <w:color w:val="auto"/>
                <w:kern w:val="0"/>
                <w:sz w:val="20"/>
                <w:szCs w:val="20"/>
                <w:highlight w:val="none"/>
                <w:lang w:bidi="ar"/>
              </w:rPr>
            </w:pPr>
          </w:p>
        </w:tc>
        <w:tc>
          <w:tcPr>
            <w:tcW w:w="935" w:type="pct"/>
            <w:vMerge w:val="continue"/>
            <w:shd w:val="clear" w:color="auto" w:fill="C5D9F1"/>
            <w:vAlign w:val="center"/>
          </w:tcPr>
          <w:p w14:paraId="4027E197">
            <w:pPr>
              <w:widowControl/>
              <w:jc w:val="center"/>
              <w:textAlignment w:val="center"/>
              <w:rPr>
                <w:rFonts w:hint="default" w:cs="微软雅黑" w:asciiTheme="minorEastAsia" w:hAnsiTheme="minorEastAsia" w:eastAsiaTheme="minorEastAsia"/>
                <w:b/>
                <w:bCs/>
                <w:color w:val="auto"/>
                <w:sz w:val="20"/>
                <w:szCs w:val="20"/>
                <w:highlight w:val="none"/>
                <w:lang w:val="en-US" w:eastAsia="zh-CN"/>
              </w:rPr>
            </w:pPr>
          </w:p>
        </w:tc>
        <w:tc>
          <w:tcPr>
            <w:tcW w:w="840" w:type="pct"/>
            <w:vMerge w:val="continue"/>
            <w:shd w:val="clear" w:color="auto" w:fill="C5D9F1"/>
            <w:vAlign w:val="center"/>
          </w:tcPr>
          <w:p w14:paraId="2AB684A4">
            <w:pPr>
              <w:widowControl/>
              <w:jc w:val="center"/>
              <w:textAlignment w:val="center"/>
              <w:rPr>
                <w:rFonts w:hint="default" w:cs="微软雅黑" w:asciiTheme="minorEastAsia" w:hAnsiTheme="minorEastAsia" w:eastAsiaTheme="minorEastAsia"/>
                <w:b/>
                <w:bCs/>
                <w:color w:val="auto"/>
                <w:kern w:val="0"/>
                <w:sz w:val="20"/>
                <w:szCs w:val="20"/>
                <w:highlight w:val="none"/>
                <w:lang w:val="en-US" w:eastAsia="zh-CN" w:bidi="ar"/>
              </w:rPr>
            </w:pPr>
          </w:p>
        </w:tc>
        <w:tc>
          <w:tcPr>
            <w:tcW w:w="840" w:type="pct"/>
            <w:shd w:val="clear" w:color="auto" w:fill="C5D9F1"/>
            <w:vAlign w:val="center"/>
          </w:tcPr>
          <w:p w14:paraId="6C0088E9">
            <w:pPr>
              <w:widowControl/>
              <w:jc w:val="center"/>
              <w:textAlignment w:val="center"/>
              <w:rPr>
                <w:rFonts w:hint="eastAsia" w:cs="微软雅黑" w:asciiTheme="minorEastAsia" w:hAnsiTheme="minorEastAsia" w:eastAsiaTheme="minorEastAsia"/>
                <w:b/>
                <w:bCs/>
                <w:color w:val="auto"/>
                <w:sz w:val="20"/>
                <w:szCs w:val="20"/>
                <w:highlight w:val="none"/>
                <w:lang w:val="en-US" w:eastAsia="zh-CN"/>
              </w:rPr>
            </w:pPr>
            <w:r>
              <w:rPr>
                <w:rFonts w:hint="eastAsia" w:cs="微软雅黑" w:asciiTheme="minorEastAsia" w:hAnsiTheme="minorEastAsia"/>
                <w:b/>
                <w:bCs/>
                <w:color w:val="auto"/>
                <w:sz w:val="20"/>
                <w:szCs w:val="20"/>
                <w:highlight w:val="none"/>
              </w:rPr>
              <w:t>资深专家</w:t>
            </w:r>
            <w:r>
              <w:rPr>
                <w:rFonts w:hint="eastAsia" w:cs="微软雅黑" w:asciiTheme="minorEastAsia" w:hAnsiTheme="minorEastAsia"/>
                <w:b/>
                <w:bCs/>
                <w:color w:val="auto"/>
                <w:sz w:val="20"/>
                <w:szCs w:val="20"/>
                <w:highlight w:val="none"/>
                <w:lang w:val="en-US" w:eastAsia="zh-CN"/>
              </w:rPr>
              <w:t>人员（包含项目经理）</w:t>
            </w:r>
          </w:p>
        </w:tc>
        <w:tc>
          <w:tcPr>
            <w:tcW w:w="840" w:type="pct"/>
            <w:shd w:val="clear" w:color="auto" w:fill="C5D9F1"/>
            <w:vAlign w:val="center"/>
          </w:tcPr>
          <w:p w14:paraId="3068D4C6">
            <w:pPr>
              <w:widowControl/>
              <w:jc w:val="center"/>
              <w:textAlignment w:val="center"/>
              <w:rPr>
                <w:rFonts w:hint="eastAsia" w:cs="微软雅黑" w:asciiTheme="minorEastAsia" w:hAnsiTheme="minorEastAsia"/>
                <w:b/>
                <w:bCs/>
                <w:color w:val="auto"/>
                <w:sz w:val="20"/>
                <w:szCs w:val="20"/>
                <w:highlight w:val="none"/>
              </w:rPr>
            </w:pPr>
            <w:r>
              <w:rPr>
                <w:rFonts w:hint="eastAsia" w:cs="微软雅黑" w:asciiTheme="minorEastAsia" w:hAnsiTheme="minorEastAsia"/>
                <w:b/>
                <w:bCs/>
                <w:color w:val="auto"/>
                <w:sz w:val="20"/>
                <w:szCs w:val="20"/>
                <w:highlight w:val="none"/>
              </w:rPr>
              <w:t>高级安全人员</w:t>
            </w:r>
          </w:p>
        </w:tc>
        <w:tc>
          <w:tcPr>
            <w:tcW w:w="845" w:type="pct"/>
            <w:shd w:val="clear" w:color="auto" w:fill="C5D9F1"/>
            <w:vAlign w:val="center"/>
          </w:tcPr>
          <w:p w14:paraId="0FF04F2B">
            <w:pPr>
              <w:widowControl/>
              <w:jc w:val="center"/>
              <w:textAlignment w:val="center"/>
              <w:rPr>
                <w:rFonts w:hint="default" w:cs="微软雅黑" w:asciiTheme="minorEastAsia" w:hAnsiTheme="minorEastAsia" w:eastAsiaTheme="minorEastAsia"/>
                <w:b/>
                <w:bCs/>
                <w:color w:val="auto"/>
                <w:sz w:val="20"/>
                <w:szCs w:val="20"/>
                <w:highlight w:val="none"/>
                <w:lang w:val="en-US" w:eastAsia="zh-CN"/>
              </w:rPr>
            </w:pPr>
            <w:r>
              <w:rPr>
                <w:rFonts w:hint="eastAsia" w:cs="微软雅黑" w:asciiTheme="minorEastAsia" w:hAnsiTheme="minorEastAsia"/>
                <w:b/>
                <w:bCs/>
                <w:color w:val="auto"/>
                <w:sz w:val="20"/>
                <w:szCs w:val="20"/>
                <w:highlight w:val="none"/>
                <w:lang w:val="en-US" w:eastAsia="zh-CN"/>
              </w:rPr>
              <w:t>中级安全人员</w:t>
            </w:r>
          </w:p>
        </w:tc>
      </w:tr>
      <w:tr w14:paraId="3CC4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98" w:type="pct"/>
            <w:vMerge w:val="restart"/>
            <w:shd w:val="clear" w:color="auto" w:fill="auto"/>
            <w:vAlign w:val="center"/>
          </w:tcPr>
          <w:p w14:paraId="3D612BD4">
            <w:pPr>
              <w:jc w:val="center"/>
              <w:rPr>
                <w:rFonts w:hint="eastAsia" w:cs="微软雅黑" w:asciiTheme="minorEastAsia" w:hAnsiTheme="minorEastAsia" w:eastAsiaTheme="minorEastAsia"/>
                <w:color w:val="auto"/>
                <w:sz w:val="20"/>
                <w:szCs w:val="20"/>
                <w:highlight w:val="none"/>
                <w:lang w:eastAsia="zh-CN"/>
              </w:rPr>
            </w:pPr>
            <w:r>
              <w:rPr>
                <w:rFonts w:hint="eastAsia" w:cs="微软雅黑" w:asciiTheme="minorEastAsia" w:hAnsiTheme="minorEastAsia"/>
                <w:color w:val="auto"/>
                <w:sz w:val="20"/>
                <w:szCs w:val="20"/>
                <w:highlight w:val="none"/>
                <w:lang w:eastAsia="zh-CN"/>
              </w:rPr>
              <w:t>中国移动（浙江）创新研究院2026 年网络安全智能运营体系技术支撑服务</w:t>
            </w:r>
          </w:p>
        </w:tc>
        <w:tc>
          <w:tcPr>
            <w:tcW w:w="935" w:type="pct"/>
            <w:shd w:val="clear" w:color="auto" w:fill="auto"/>
            <w:vAlign w:val="center"/>
          </w:tcPr>
          <w:p w14:paraId="53DB3CF4">
            <w:pPr>
              <w:jc w:val="center"/>
              <w:rPr>
                <w:rFonts w:hint="eastAsia" w:cs="微软雅黑" w:asciiTheme="minorEastAsia" w:hAnsiTheme="minorEastAsia"/>
                <w:color w:val="auto"/>
                <w:sz w:val="20"/>
                <w:szCs w:val="20"/>
                <w:highlight w:val="none"/>
                <w:lang w:eastAsia="zh-CN"/>
              </w:rPr>
            </w:pPr>
            <w:r>
              <w:rPr>
                <w:rFonts w:hint="eastAsia" w:cs="微软雅黑" w:asciiTheme="minorEastAsia" w:hAnsiTheme="minorEastAsia"/>
                <w:color w:val="auto"/>
                <w:sz w:val="20"/>
                <w:szCs w:val="20"/>
                <w:highlight w:val="none"/>
                <w:lang w:val="en-US" w:eastAsia="zh-CN"/>
              </w:rPr>
              <w:t>数据接入与处理服务</w:t>
            </w:r>
          </w:p>
        </w:tc>
        <w:tc>
          <w:tcPr>
            <w:tcW w:w="840" w:type="pct"/>
            <w:shd w:val="clear" w:color="auto" w:fill="auto"/>
            <w:vAlign w:val="center"/>
          </w:tcPr>
          <w:p w14:paraId="735A05D7">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人天</w:t>
            </w:r>
          </w:p>
        </w:tc>
        <w:tc>
          <w:tcPr>
            <w:tcW w:w="1326" w:type="dxa"/>
            <w:shd w:val="clear" w:color="auto" w:fill="auto"/>
            <w:vAlign w:val="center"/>
          </w:tcPr>
          <w:p w14:paraId="4BBAD622">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120</w:t>
            </w:r>
          </w:p>
        </w:tc>
        <w:tc>
          <w:tcPr>
            <w:tcW w:w="1326" w:type="dxa"/>
            <w:shd w:val="clear" w:color="auto" w:fill="auto"/>
            <w:vAlign w:val="center"/>
          </w:tcPr>
          <w:p w14:paraId="4B6ED8D5">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180</w:t>
            </w:r>
          </w:p>
        </w:tc>
        <w:tc>
          <w:tcPr>
            <w:tcW w:w="1334" w:type="dxa"/>
            <w:shd w:val="clear" w:color="auto" w:fill="auto"/>
            <w:vAlign w:val="center"/>
          </w:tcPr>
          <w:p w14:paraId="4EDDA0E1">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550</w:t>
            </w:r>
          </w:p>
        </w:tc>
      </w:tr>
      <w:tr w14:paraId="2F3D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98" w:type="pct"/>
            <w:vMerge w:val="continue"/>
            <w:shd w:val="clear" w:color="auto" w:fill="auto"/>
            <w:vAlign w:val="center"/>
          </w:tcPr>
          <w:p w14:paraId="16508DAC">
            <w:pPr>
              <w:jc w:val="center"/>
              <w:rPr>
                <w:rFonts w:hint="eastAsia" w:cs="微软雅黑" w:asciiTheme="minorEastAsia" w:hAnsiTheme="minorEastAsia"/>
                <w:color w:val="auto"/>
                <w:sz w:val="20"/>
                <w:szCs w:val="20"/>
                <w:highlight w:val="none"/>
              </w:rPr>
            </w:pPr>
          </w:p>
        </w:tc>
        <w:tc>
          <w:tcPr>
            <w:tcW w:w="935" w:type="pct"/>
            <w:shd w:val="clear" w:color="auto" w:fill="auto"/>
            <w:vAlign w:val="center"/>
          </w:tcPr>
          <w:p w14:paraId="2B57BEA7">
            <w:pPr>
              <w:jc w:val="center"/>
              <w:rPr>
                <w:rFonts w:hint="eastAsia" w:cs="微软雅黑" w:asciiTheme="minorEastAsia" w:hAnsiTheme="minorEastAsia"/>
                <w:color w:val="auto"/>
                <w:sz w:val="20"/>
                <w:szCs w:val="20"/>
                <w:highlight w:val="none"/>
                <w:lang w:eastAsia="zh-CN"/>
              </w:rPr>
            </w:pPr>
            <w:r>
              <w:rPr>
                <w:rFonts w:hint="eastAsia" w:cs="微软雅黑" w:asciiTheme="minorEastAsia" w:hAnsiTheme="minorEastAsia"/>
                <w:color w:val="auto"/>
                <w:sz w:val="20"/>
                <w:szCs w:val="20"/>
                <w:highlight w:val="none"/>
                <w:lang w:val="en-US" w:eastAsia="zh-CN"/>
              </w:rPr>
              <w:t>自动化工单运营服务</w:t>
            </w:r>
          </w:p>
        </w:tc>
        <w:tc>
          <w:tcPr>
            <w:tcW w:w="840" w:type="pct"/>
            <w:shd w:val="clear" w:color="auto" w:fill="auto"/>
            <w:vAlign w:val="center"/>
          </w:tcPr>
          <w:p w14:paraId="2A81A5E8">
            <w:pPr>
              <w:spacing w:after="156"/>
              <w:jc w:val="center"/>
              <w:rPr>
                <w:rFonts w:hint="eastAsia"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lang w:val="en-US" w:eastAsia="zh-CN"/>
              </w:rPr>
              <w:t>人天</w:t>
            </w:r>
          </w:p>
        </w:tc>
        <w:tc>
          <w:tcPr>
            <w:tcW w:w="1326" w:type="dxa"/>
            <w:shd w:val="clear" w:color="auto" w:fill="auto"/>
            <w:vAlign w:val="center"/>
          </w:tcPr>
          <w:p w14:paraId="234234F8">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120</w:t>
            </w:r>
          </w:p>
        </w:tc>
        <w:tc>
          <w:tcPr>
            <w:tcW w:w="1326" w:type="dxa"/>
            <w:shd w:val="clear" w:color="auto" w:fill="auto"/>
            <w:vAlign w:val="center"/>
          </w:tcPr>
          <w:p w14:paraId="2DBC5BC9">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188</w:t>
            </w:r>
          </w:p>
        </w:tc>
        <w:tc>
          <w:tcPr>
            <w:tcW w:w="1334" w:type="dxa"/>
            <w:shd w:val="clear" w:color="auto" w:fill="auto"/>
            <w:vAlign w:val="center"/>
          </w:tcPr>
          <w:p w14:paraId="47FB481E">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520</w:t>
            </w:r>
          </w:p>
        </w:tc>
      </w:tr>
      <w:tr w14:paraId="7DD2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98" w:type="pct"/>
            <w:vMerge w:val="continue"/>
            <w:shd w:val="clear" w:color="auto" w:fill="auto"/>
            <w:vAlign w:val="center"/>
          </w:tcPr>
          <w:p w14:paraId="0953E99A">
            <w:pPr>
              <w:jc w:val="center"/>
              <w:rPr>
                <w:rFonts w:hint="eastAsia" w:cs="微软雅黑" w:asciiTheme="minorEastAsia" w:hAnsiTheme="minorEastAsia"/>
                <w:color w:val="auto"/>
                <w:sz w:val="20"/>
                <w:szCs w:val="20"/>
                <w:highlight w:val="none"/>
              </w:rPr>
            </w:pPr>
          </w:p>
        </w:tc>
        <w:tc>
          <w:tcPr>
            <w:tcW w:w="935" w:type="pct"/>
            <w:shd w:val="clear" w:color="auto" w:fill="auto"/>
            <w:vAlign w:val="center"/>
          </w:tcPr>
          <w:p w14:paraId="733560F4">
            <w:pPr>
              <w:jc w:val="center"/>
              <w:rPr>
                <w:rFonts w:hint="eastAsia" w:cs="微软雅黑" w:asciiTheme="minorEastAsia" w:hAnsiTheme="minorEastAsia"/>
                <w:color w:val="auto"/>
                <w:sz w:val="20"/>
                <w:szCs w:val="20"/>
                <w:highlight w:val="none"/>
                <w:lang w:eastAsia="zh-CN"/>
              </w:rPr>
            </w:pPr>
            <w:r>
              <w:rPr>
                <w:rFonts w:hint="eastAsia" w:cs="微软雅黑" w:asciiTheme="minorEastAsia" w:hAnsiTheme="minorEastAsia"/>
                <w:color w:val="auto"/>
                <w:sz w:val="20"/>
                <w:szCs w:val="20"/>
                <w:highlight w:val="none"/>
                <w:lang w:val="en-US" w:eastAsia="zh-CN"/>
              </w:rPr>
              <w:t>安全态势运营服务</w:t>
            </w:r>
          </w:p>
        </w:tc>
        <w:tc>
          <w:tcPr>
            <w:tcW w:w="840" w:type="pct"/>
            <w:shd w:val="clear" w:color="auto" w:fill="auto"/>
            <w:vAlign w:val="center"/>
          </w:tcPr>
          <w:p w14:paraId="3F6E9FE9">
            <w:pPr>
              <w:spacing w:after="156"/>
              <w:jc w:val="center"/>
              <w:rPr>
                <w:rFonts w:hint="eastAsia"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lang w:val="en-US" w:eastAsia="zh-CN"/>
              </w:rPr>
              <w:t>人天</w:t>
            </w:r>
          </w:p>
        </w:tc>
        <w:tc>
          <w:tcPr>
            <w:tcW w:w="1326" w:type="dxa"/>
            <w:shd w:val="clear" w:color="auto" w:fill="auto"/>
            <w:vAlign w:val="center"/>
          </w:tcPr>
          <w:p w14:paraId="54512079">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160</w:t>
            </w:r>
          </w:p>
        </w:tc>
        <w:tc>
          <w:tcPr>
            <w:tcW w:w="1326" w:type="dxa"/>
            <w:shd w:val="clear" w:color="auto" w:fill="auto"/>
            <w:vAlign w:val="center"/>
          </w:tcPr>
          <w:p w14:paraId="4265A288">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188</w:t>
            </w:r>
          </w:p>
        </w:tc>
        <w:tc>
          <w:tcPr>
            <w:tcW w:w="1334" w:type="dxa"/>
            <w:shd w:val="clear" w:color="auto" w:fill="auto"/>
            <w:vAlign w:val="center"/>
          </w:tcPr>
          <w:p w14:paraId="4D7E0EBE">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365</w:t>
            </w:r>
          </w:p>
        </w:tc>
      </w:tr>
      <w:tr w14:paraId="7661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98" w:type="pct"/>
            <w:vMerge w:val="continue"/>
            <w:shd w:val="clear" w:color="auto" w:fill="auto"/>
            <w:vAlign w:val="center"/>
          </w:tcPr>
          <w:p w14:paraId="273A7D6F">
            <w:pPr>
              <w:jc w:val="center"/>
              <w:rPr>
                <w:rFonts w:hint="eastAsia" w:cs="微软雅黑" w:asciiTheme="minorEastAsia" w:hAnsiTheme="minorEastAsia"/>
                <w:color w:val="auto"/>
                <w:sz w:val="20"/>
                <w:szCs w:val="20"/>
                <w:highlight w:val="none"/>
              </w:rPr>
            </w:pPr>
          </w:p>
        </w:tc>
        <w:tc>
          <w:tcPr>
            <w:tcW w:w="935" w:type="pct"/>
            <w:shd w:val="clear" w:color="auto" w:fill="auto"/>
            <w:vAlign w:val="center"/>
          </w:tcPr>
          <w:p w14:paraId="09EADD99">
            <w:pPr>
              <w:jc w:val="center"/>
              <w:rPr>
                <w:rFonts w:hint="eastAsia" w:cs="微软雅黑" w:asciiTheme="minorEastAsia" w:hAnsiTheme="minorEastAsia"/>
                <w:color w:val="auto"/>
                <w:sz w:val="20"/>
                <w:szCs w:val="20"/>
                <w:highlight w:val="none"/>
                <w:lang w:eastAsia="zh-CN"/>
              </w:rPr>
            </w:pPr>
            <w:r>
              <w:rPr>
                <w:rFonts w:hint="eastAsia" w:cs="微软雅黑" w:asciiTheme="minorEastAsia" w:hAnsiTheme="minorEastAsia"/>
                <w:color w:val="auto"/>
                <w:sz w:val="20"/>
                <w:szCs w:val="20"/>
                <w:highlight w:val="none"/>
                <w:lang w:val="en-US" w:eastAsia="zh-CN"/>
              </w:rPr>
              <w:t>指挥调度协同服务</w:t>
            </w:r>
          </w:p>
        </w:tc>
        <w:tc>
          <w:tcPr>
            <w:tcW w:w="840" w:type="pct"/>
            <w:shd w:val="clear" w:color="auto" w:fill="auto"/>
            <w:vAlign w:val="center"/>
          </w:tcPr>
          <w:p w14:paraId="4C7860ED">
            <w:pPr>
              <w:spacing w:after="156"/>
              <w:jc w:val="center"/>
              <w:rPr>
                <w:rFonts w:hint="eastAsia" w:asciiTheme="minorEastAsia" w:hAnsiTheme="minorEastAsia" w:eastAsiaTheme="minorEastAsia"/>
                <w:color w:val="auto"/>
                <w:sz w:val="20"/>
                <w:szCs w:val="20"/>
                <w:highlight w:val="none"/>
              </w:rPr>
            </w:pPr>
            <w:r>
              <w:rPr>
                <w:rFonts w:hint="eastAsia" w:asciiTheme="minorEastAsia" w:hAnsiTheme="minorEastAsia" w:eastAsiaTheme="minorEastAsia"/>
                <w:color w:val="auto"/>
                <w:sz w:val="20"/>
                <w:szCs w:val="20"/>
                <w:highlight w:val="none"/>
                <w:lang w:val="en-US" w:eastAsia="zh-CN"/>
              </w:rPr>
              <w:t>人天</w:t>
            </w:r>
          </w:p>
        </w:tc>
        <w:tc>
          <w:tcPr>
            <w:tcW w:w="1326" w:type="dxa"/>
            <w:shd w:val="clear" w:color="auto" w:fill="auto"/>
            <w:vAlign w:val="center"/>
          </w:tcPr>
          <w:p w14:paraId="5500B5E4">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177</w:t>
            </w:r>
          </w:p>
        </w:tc>
        <w:tc>
          <w:tcPr>
            <w:tcW w:w="1326" w:type="dxa"/>
            <w:shd w:val="clear" w:color="auto" w:fill="auto"/>
            <w:vAlign w:val="center"/>
          </w:tcPr>
          <w:p w14:paraId="3EFE95F4">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204</w:t>
            </w:r>
          </w:p>
        </w:tc>
        <w:tc>
          <w:tcPr>
            <w:tcW w:w="1334" w:type="dxa"/>
            <w:shd w:val="clear" w:color="auto" w:fill="auto"/>
            <w:vAlign w:val="center"/>
          </w:tcPr>
          <w:p w14:paraId="2C53CF34">
            <w:pPr>
              <w:pStyle w:val="17"/>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430</w:t>
            </w:r>
          </w:p>
        </w:tc>
      </w:tr>
      <w:tr w14:paraId="0915F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98" w:type="pct"/>
            <w:vMerge w:val="continue"/>
            <w:shd w:val="clear" w:color="auto" w:fill="auto"/>
            <w:vAlign w:val="center"/>
          </w:tcPr>
          <w:p w14:paraId="6CA39BB5">
            <w:pPr>
              <w:jc w:val="center"/>
              <w:rPr>
                <w:rFonts w:hint="eastAsia" w:cs="微软雅黑" w:asciiTheme="minorEastAsia" w:hAnsiTheme="minorEastAsia"/>
                <w:color w:val="auto"/>
                <w:sz w:val="20"/>
                <w:szCs w:val="20"/>
                <w:highlight w:val="none"/>
              </w:rPr>
            </w:pPr>
          </w:p>
        </w:tc>
        <w:tc>
          <w:tcPr>
            <w:tcW w:w="935" w:type="pct"/>
            <w:shd w:val="clear" w:color="auto" w:fill="auto"/>
            <w:vAlign w:val="center"/>
          </w:tcPr>
          <w:p w14:paraId="430D5897">
            <w:pPr>
              <w:jc w:val="center"/>
              <w:rPr>
                <w:rFonts w:hint="eastAsia" w:cs="微软雅黑" w:asciiTheme="minorEastAsia" w:hAnsiTheme="minorEastAsia"/>
                <w:color w:val="auto"/>
                <w:sz w:val="20"/>
                <w:szCs w:val="20"/>
                <w:highlight w:val="none"/>
                <w:lang w:eastAsia="zh-CN"/>
              </w:rPr>
            </w:pPr>
            <w:r>
              <w:rPr>
                <w:rFonts w:hint="eastAsia" w:cs="微软雅黑" w:asciiTheme="minorEastAsia" w:hAnsiTheme="minorEastAsia"/>
                <w:color w:val="auto"/>
                <w:sz w:val="20"/>
                <w:szCs w:val="20"/>
                <w:highlight w:val="none"/>
                <w:lang w:val="en-US" w:eastAsia="zh-CN"/>
              </w:rPr>
              <w:t>智能体应用赋能服务</w:t>
            </w:r>
          </w:p>
        </w:tc>
        <w:tc>
          <w:tcPr>
            <w:tcW w:w="840" w:type="pct"/>
            <w:shd w:val="clear" w:color="auto" w:fill="auto"/>
            <w:vAlign w:val="center"/>
          </w:tcPr>
          <w:p w14:paraId="4A24B0EA">
            <w:pPr>
              <w:spacing w:after="156"/>
              <w:jc w:val="center"/>
              <w:rPr>
                <w:rFonts w:hint="eastAsia"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人天</w:t>
            </w:r>
          </w:p>
        </w:tc>
        <w:tc>
          <w:tcPr>
            <w:tcW w:w="1326" w:type="dxa"/>
            <w:shd w:val="clear" w:color="auto" w:fill="auto"/>
            <w:vAlign w:val="center"/>
          </w:tcPr>
          <w:p w14:paraId="75122A44">
            <w:pPr>
              <w:pStyle w:val="17"/>
              <w:spacing w:after="156"/>
              <w:jc w:val="center"/>
              <w:rPr>
                <w:rFonts w:hint="default"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240</w:t>
            </w:r>
          </w:p>
        </w:tc>
        <w:tc>
          <w:tcPr>
            <w:tcW w:w="1326" w:type="dxa"/>
            <w:shd w:val="clear" w:color="auto" w:fill="auto"/>
            <w:vAlign w:val="center"/>
          </w:tcPr>
          <w:p w14:paraId="58D48A85">
            <w:pPr>
              <w:pStyle w:val="17"/>
              <w:spacing w:after="156"/>
              <w:jc w:val="center"/>
              <w:rPr>
                <w:rFonts w:hint="default"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200</w:t>
            </w:r>
          </w:p>
        </w:tc>
        <w:tc>
          <w:tcPr>
            <w:tcW w:w="1334" w:type="dxa"/>
            <w:shd w:val="clear" w:color="auto" w:fill="auto"/>
            <w:vAlign w:val="center"/>
          </w:tcPr>
          <w:p w14:paraId="005F4841">
            <w:pPr>
              <w:pStyle w:val="17"/>
              <w:spacing w:after="156"/>
              <w:jc w:val="center"/>
              <w:rPr>
                <w:rFonts w:hint="default" w:asciiTheme="minorEastAsia" w:hAnsiTheme="minorEastAsia" w:eastAsiaTheme="minorEastAsia"/>
                <w:color w:val="auto"/>
                <w:sz w:val="20"/>
                <w:szCs w:val="20"/>
                <w:highlight w:val="none"/>
                <w:lang w:val="en-US" w:eastAsia="zh-CN"/>
              </w:rPr>
            </w:pPr>
            <w:r>
              <w:rPr>
                <w:rFonts w:hint="eastAsia" w:asciiTheme="minorEastAsia" w:hAnsiTheme="minorEastAsia" w:eastAsiaTheme="minorEastAsia"/>
                <w:color w:val="auto"/>
                <w:sz w:val="20"/>
                <w:szCs w:val="20"/>
                <w:highlight w:val="none"/>
                <w:lang w:val="en-US" w:eastAsia="zh-CN"/>
              </w:rPr>
              <w:t>600</w:t>
            </w:r>
          </w:p>
        </w:tc>
      </w:tr>
      <w:bookmarkEnd w:id="2"/>
    </w:tbl>
    <w:p w14:paraId="5C4249E8">
      <w:pPr>
        <w:spacing w:line="360" w:lineRule="auto"/>
        <w:ind w:firstLine="482"/>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highlight w:val="none"/>
        </w:rPr>
        <w:t>上述工作量为一年预估工作量，并不作为结算依据。最终实际结算工作量以实际发生为准。</w:t>
      </w:r>
    </w:p>
    <w:p w14:paraId="52B13A3D">
      <w:pPr>
        <w:pStyle w:val="2"/>
        <w:numPr>
          <w:ilvl w:val="0"/>
          <w:numId w:val="2"/>
        </w:numPr>
        <w:rPr>
          <w:color w:val="auto"/>
          <w:sz w:val="30"/>
          <w:szCs w:val="30"/>
          <w:highlight w:val="none"/>
        </w:rPr>
      </w:pPr>
      <w:r>
        <w:rPr>
          <w:rFonts w:hint="eastAsia"/>
          <w:color w:val="auto"/>
          <w:sz w:val="30"/>
          <w:szCs w:val="30"/>
          <w:highlight w:val="none"/>
        </w:rPr>
        <w:t>安全规范</w:t>
      </w:r>
    </w:p>
    <w:p w14:paraId="741421E7">
      <w:pPr>
        <w:spacing w:line="360" w:lineRule="auto"/>
        <w:ind w:firstLine="482"/>
        <w:rPr>
          <w:rFonts w:hint="eastAsia" w:ascii="宋体" w:hAnsi="宋体" w:eastAsia="宋体" w:cs="宋体"/>
          <w:bCs/>
          <w:color w:val="auto"/>
          <w:sz w:val="28"/>
          <w:szCs w:val="28"/>
          <w:highlight w:val="none"/>
          <w:lang w:val="zh-CN"/>
        </w:rPr>
      </w:pPr>
      <w:bookmarkStart w:id="8" w:name="OLE_LINK2"/>
      <w:r>
        <w:rPr>
          <w:rFonts w:hint="eastAsia" w:ascii="宋体" w:hAnsi="宋体" w:eastAsia="宋体" w:cs="宋体"/>
          <w:bCs/>
          <w:color w:val="auto"/>
          <w:sz w:val="28"/>
          <w:szCs w:val="28"/>
          <w:highlight w:val="none"/>
        </w:rPr>
        <w:t>服务</w:t>
      </w:r>
      <w:r>
        <w:rPr>
          <w:rFonts w:hint="eastAsia" w:ascii="宋体" w:hAnsi="宋体" w:eastAsia="宋体" w:cs="宋体"/>
          <w:bCs/>
          <w:color w:val="auto"/>
          <w:sz w:val="28"/>
          <w:szCs w:val="28"/>
          <w:highlight w:val="none"/>
          <w:lang w:val="zh-CN"/>
        </w:rPr>
        <w:t>过程中的安全管理要求主要包括：</w:t>
      </w:r>
    </w:p>
    <w:p w14:paraId="4365A2C3">
      <w:pPr>
        <w:spacing w:line="360" w:lineRule="auto"/>
        <w:ind w:firstLine="482"/>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安全功能需求：帐号管理功能、帐号认证功能、帐号授权功能、日志审计功能、功能菜单以及敏感数据访问控制功能、接口安全功能、安全域保护要求。</w:t>
      </w:r>
    </w:p>
    <w:p w14:paraId="2D21F8D2">
      <w:pPr>
        <w:spacing w:line="360" w:lineRule="auto"/>
        <w:ind w:firstLine="482"/>
        <w:rPr>
          <w:rFonts w:hint="eastAsia" w:ascii="宋体" w:hAnsi="宋体" w:eastAsia="宋体" w:cs="宋体"/>
          <w:color w:val="auto"/>
          <w:sz w:val="24"/>
          <w:highlight w:val="none"/>
        </w:rPr>
      </w:pPr>
      <w:r>
        <w:rPr>
          <w:rFonts w:hint="eastAsia" w:ascii="宋体" w:hAnsi="宋体" w:eastAsia="宋体" w:cs="宋体"/>
          <w:bCs/>
          <w:color w:val="auto"/>
          <w:sz w:val="28"/>
          <w:szCs w:val="28"/>
          <w:highlight w:val="none"/>
          <w:lang w:val="zh-CN"/>
        </w:rPr>
        <w:t>应符合中国移动相关安全管理规范。</w:t>
      </w:r>
      <w:bookmarkEnd w:id="8"/>
    </w:p>
    <w:p w14:paraId="0B534BEF">
      <w:pPr>
        <w:pStyle w:val="2"/>
        <w:numPr>
          <w:ilvl w:val="0"/>
          <w:numId w:val="2"/>
        </w:numPr>
        <w:rPr>
          <w:color w:val="auto"/>
          <w:sz w:val="32"/>
          <w:szCs w:val="32"/>
          <w:highlight w:val="none"/>
        </w:rPr>
      </w:pPr>
      <w:r>
        <w:rPr>
          <w:rFonts w:hint="eastAsia"/>
          <w:color w:val="auto"/>
          <w:sz w:val="32"/>
          <w:szCs w:val="32"/>
          <w:highlight w:val="none"/>
        </w:rPr>
        <w:t>技术支撑服务管理体系及要求</w:t>
      </w:r>
    </w:p>
    <w:p w14:paraId="1594D9C8">
      <w:pPr>
        <w:numPr>
          <w:ilvl w:val="0"/>
          <w:numId w:val="4"/>
        </w:num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技术支撑服务人员要求</w:t>
      </w:r>
    </w:p>
    <w:p w14:paraId="61381C40">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供应商必须按照成交综合排名配置相应人员。项目团队成员最少数量表如下：</w:t>
      </w:r>
    </w:p>
    <w:tbl>
      <w:tblPr>
        <w:tblStyle w:val="2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111"/>
        <w:gridCol w:w="1111"/>
        <w:gridCol w:w="953"/>
        <w:gridCol w:w="1225"/>
        <w:gridCol w:w="3088"/>
      </w:tblGrid>
      <w:tr w14:paraId="4A41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605" w:type="pct"/>
            <w:vAlign w:val="center"/>
          </w:tcPr>
          <w:p w14:paraId="5B051785">
            <w:pPr>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项目经理数量</w:t>
            </w:r>
          </w:p>
        </w:tc>
        <w:tc>
          <w:tcPr>
            <w:tcW w:w="652" w:type="pct"/>
            <w:vAlign w:val="center"/>
          </w:tcPr>
          <w:p w14:paraId="14F89AB4">
            <w:pPr>
              <w:jc w:val="center"/>
              <w:rPr>
                <w:rFonts w:hint="default" w:ascii="宋体" w:hAnsi="宋体" w:eastAsia="宋体" w:cs="宋体"/>
                <w:b/>
                <w:bCs/>
                <w:color w:val="auto"/>
                <w:sz w:val="20"/>
                <w:szCs w:val="20"/>
                <w:highlight w:val="none"/>
                <w:lang w:val="en-US" w:eastAsia="zh-CN"/>
              </w:rPr>
            </w:pPr>
            <w:r>
              <w:rPr>
                <w:rFonts w:hint="eastAsia" w:ascii="宋体" w:hAnsi="宋体" w:eastAsia="宋体" w:cs="宋体"/>
                <w:b/>
                <w:bCs/>
                <w:color w:val="auto"/>
                <w:sz w:val="20"/>
                <w:szCs w:val="20"/>
                <w:highlight w:val="none"/>
                <w:lang w:val="en-US" w:eastAsia="zh-CN"/>
              </w:rPr>
              <w:t>资深专家人员</w:t>
            </w:r>
            <w:r>
              <w:rPr>
                <w:rFonts w:hint="default" w:ascii="宋体" w:hAnsi="宋体" w:eastAsia="宋体" w:cs="宋体"/>
                <w:b/>
                <w:bCs/>
                <w:color w:val="auto"/>
                <w:sz w:val="20"/>
                <w:szCs w:val="20"/>
                <w:highlight w:val="none"/>
                <w:lang w:val="en-US" w:eastAsia="zh-CN"/>
              </w:rPr>
              <w:t>(</w:t>
            </w:r>
            <w:r>
              <w:rPr>
                <w:rFonts w:hint="eastAsia" w:ascii="宋体" w:hAnsi="宋体" w:eastAsia="宋体" w:cs="宋体"/>
                <w:b/>
                <w:bCs/>
                <w:color w:val="auto"/>
                <w:sz w:val="20"/>
                <w:szCs w:val="20"/>
                <w:highlight w:val="none"/>
                <w:lang w:val="en-US" w:eastAsia="zh-CN"/>
              </w:rPr>
              <w:t>不含项目经理</w:t>
            </w:r>
            <w:r>
              <w:rPr>
                <w:rFonts w:hint="default" w:ascii="宋体" w:hAnsi="宋体" w:eastAsia="宋体" w:cs="宋体"/>
                <w:b/>
                <w:bCs/>
                <w:color w:val="auto"/>
                <w:sz w:val="20"/>
                <w:szCs w:val="20"/>
                <w:highlight w:val="none"/>
                <w:lang w:val="en-US" w:eastAsia="zh-CN"/>
              </w:rPr>
              <w:t>)</w:t>
            </w:r>
          </w:p>
        </w:tc>
        <w:tc>
          <w:tcPr>
            <w:tcW w:w="652" w:type="pct"/>
            <w:vAlign w:val="center"/>
          </w:tcPr>
          <w:p w14:paraId="6D643729">
            <w:pPr>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高级</w:t>
            </w:r>
            <w:r>
              <w:rPr>
                <w:rFonts w:hint="eastAsia" w:ascii="宋体" w:hAnsi="宋体" w:eastAsia="宋体" w:cs="宋体"/>
                <w:b/>
                <w:bCs/>
                <w:color w:val="auto"/>
                <w:sz w:val="20"/>
                <w:szCs w:val="20"/>
                <w:highlight w:val="none"/>
                <w:lang w:val="en-US" w:eastAsia="zh-CN"/>
              </w:rPr>
              <w:t>安全人员</w:t>
            </w:r>
          </w:p>
        </w:tc>
        <w:tc>
          <w:tcPr>
            <w:tcW w:w="559" w:type="pct"/>
            <w:vAlign w:val="center"/>
          </w:tcPr>
          <w:p w14:paraId="38A504AD">
            <w:pPr>
              <w:jc w:val="center"/>
              <w:rPr>
                <w:rFonts w:hint="eastAsia" w:ascii="宋体" w:hAnsi="宋体" w:eastAsia="宋体" w:cs="宋体"/>
                <w:b/>
                <w:bCs/>
                <w:color w:val="auto"/>
                <w:sz w:val="20"/>
                <w:szCs w:val="20"/>
                <w:highlight w:val="none"/>
                <w:lang w:eastAsia="zh-CN"/>
              </w:rPr>
            </w:pPr>
            <w:r>
              <w:rPr>
                <w:rFonts w:hint="eastAsia" w:ascii="宋体" w:hAnsi="宋体" w:eastAsia="宋体" w:cs="宋体"/>
                <w:b/>
                <w:bCs/>
                <w:color w:val="auto"/>
                <w:sz w:val="20"/>
                <w:szCs w:val="20"/>
                <w:highlight w:val="none"/>
              </w:rPr>
              <w:t>中级网络安全</w:t>
            </w:r>
            <w:r>
              <w:rPr>
                <w:rFonts w:hint="eastAsia" w:ascii="宋体" w:hAnsi="宋体" w:eastAsia="宋体" w:cs="宋体"/>
                <w:b/>
                <w:bCs/>
                <w:color w:val="auto"/>
                <w:sz w:val="20"/>
                <w:szCs w:val="20"/>
                <w:highlight w:val="none"/>
                <w:lang w:val="en-US" w:eastAsia="zh-CN"/>
              </w:rPr>
              <w:t>人员</w:t>
            </w:r>
          </w:p>
        </w:tc>
        <w:tc>
          <w:tcPr>
            <w:tcW w:w="719" w:type="pct"/>
            <w:vAlign w:val="center"/>
          </w:tcPr>
          <w:p w14:paraId="2DB1202A">
            <w:pPr>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项目团队成员数量（含项目经理）</w:t>
            </w:r>
          </w:p>
        </w:tc>
        <w:tc>
          <w:tcPr>
            <w:tcW w:w="1811" w:type="pct"/>
            <w:vAlign w:val="center"/>
          </w:tcPr>
          <w:p w14:paraId="7F2BB163">
            <w:pPr>
              <w:jc w:val="center"/>
              <w:rPr>
                <w:rFonts w:hint="eastAsia" w:ascii="宋体" w:hAnsi="宋体" w:eastAsia="宋体" w:cs="宋体"/>
                <w:b/>
                <w:bCs/>
                <w:color w:val="auto"/>
                <w:sz w:val="20"/>
                <w:szCs w:val="20"/>
                <w:highlight w:val="none"/>
              </w:rPr>
            </w:pPr>
            <w:r>
              <w:rPr>
                <w:rFonts w:hint="eastAsia" w:ascii="宋体" w:hAnsi="宋体" w:eastAsia="宋体" w:cs="宋体"/>
                <w:b/>
                <w:bCs/>
                <w:color w:val="auto"/>
                <w:sz w:val="20"/>
                <w:szCs w:val="20"/>
                <w:highlight w:val="none"/>
              </w:rPr>
              <w:t>备注</w:t>
            </w:r>
          </w:p>
        </w:tc>
      </w:tr>
      <w:tr w14:paraId="13980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605" w:type="pct"/>
            <w:vAlign w:val="center"/>
          </w:tcPr>
          <w:p w14:paraId="36066EF4">
            <w:pPr>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p>
        </w:tc>
        <w:tc>
          <w:tcPr>
            <w:tcW w:w="652" w:type="pct"/>
            <w:vAlign w:val="center"/>
          </w:tcPr>
          <w:p w14:paraId="2411869B">
            <w:pPr>
              <w:jc w:val="center"/>
              <w:rPr>
                <w:rFonts w:hint="default" w:ascii="宋体" w:hAnsi="宋体" w:eastAsia="宋体" w:cs="宋体"/>
                <w:color w:val="auto"/>
                <w:sz w:val="20"/>
                <w:szCs w:val="20"/>
                <w:highlight w:val="none"/>
                <w:lang w:val="en-US" w:eastAsia="zh-CN"/>
              </w:rPr>
            </w:pPr>
            <w:bookmarkStart w:id="12" w:name="_GoBack"/>
            <w:bookmarkEnd w:id="12"/>
            <w:r>
              <w:rPr>
                <w:rFonts w:hint="eastAsia" w:ascii="宋体" w:hAnsi="宋体" w:eastAsia="宋体" w:cs="宋体"/>
                <w:color w:val="auto"/>
                <w:sz w:val="20"/>
                <w:szCs w:val="20"/>
                <w:highlight w:val="none"/>
                <w:lang w:val="en-US" w:eastAsia="zh-CN"/>
              </w:rPr>
              <w:t>3</w:t>
            </w:r>
          </w:p>
        </w:tc>
        <w:tc>
          <w:tcPr>
            <w:tcW w:w="652" w:type="pct"/>
            <w:vAlign w:val="center"/>
          </w:tcPr>
          <w:p w14:paraId="2FDB5CF6">
            <w:pPr>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4</w:t>
            </w:r>
          </w:p>
        </w:tc>
        <w:tc>
          <w:tcPr>
            <w:tcW w:w="559" w:type="pct"/>
            <w:vAlign w:val="center"/>
          </w:tcPr>
          <w:p w14:paraId="0D8A0670">
            <w:pPr>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12</w:t>
            </w:r>
          </w:p>
        </w:tc>
        <w:tc>
          <w:tcPr>
            <w:tcW w:w="719" w:type="pct"/>
            <w:vAlign w:val="center"/>
          </w:tcPr>
          <w:p w14:paraId="0325AB97">
            <w:pPr>
              <w:jc w:val="center"/>
              <w:rPr>
                <w:rFonts w:hint="default"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20</w:t>
            </w:r>
          </w:p>
        </w:tc>
        <w:tc>
          <w:tcPr>
            <w:tcW w:w="1811" w:type="pct"/>
            <w:vAlign w:val="center"/>
          </w:tcPr>
          <w:p w14:paraId="57347C79">
            <w:pPr>
              <w:jc w:val="left"/>
              <w:rPr>
                <w:rFonts w:hint="eastAsia" w:ascii="宋体" w:hAnsi="宋体" w:eastAsia="宋体" w:cs="宋体"/>
                <w:color w:val="auto"/>
                <w:sz w:val="20"/>
                <w:szCs w:val="20"/>
                <w:highlight w:val="none"/>
              </w:rPr>
            </w:pPr>
            <w:r>
              <w:rPr>
                <w:rFonts w:hint="eastAsia" w:ascii="宋体" w:hAnsi="宋体" w:eastAsia="宋体" w:cs="宋体"/>
                <w:b/>
                <w:color w:val="auto"/>
                <w:sz w:val="28"/>
                <w:szCs w:val="28"/>
                <w:highlight w:val="none"/>
              </w:rPr>
              <w:t>★</w:t>
            </w:r>
            <w:r>
              <w:rPr>
                <w:rFonts w:hint="eastAsia" w:ascii="宋体" w:hAnsi="宋体" w:eastAsia="宋体" w:cs="宋体"/>
                <w:color w:val="auto"/>
                <w:sz w:val="20"/>
                <w:szCs w:val="20"/>
                <w:highlight w:val="none"/>
              </w:rPr>
              <w:t>项目团队成员中常驻现场人员至少</w:t>
            </w:r>
            <w:r>
              <w:rPr>
                <w:rFonts w:hint="eastAsia" w:ascii="宋体" w:hAnsi="宋体" w:eastAsia="宋体" w:cs="宋体"/>
                <w:color w:val="auto"/>
                <w:sz w:val="20"/>
                <w:szCs w:val="20"/>
                <w:highlight w:val="none"/>
                <w:lang w:val="en-US" w:eastAsia="zh-CN"/>
              </w:rPr>
              <w:t>20</w:t>
            </w:r>
            <w:r>
              <w:rPr>
                <w:rFonts w:hint="eastAsia" w:ascii="宋体" w:hAnsi="宋体" w:eastAsia="宋体" w:cs="宋体"/>
                <w:color w:val="auto"/>
                <w:sz w:val="20"/>
                <w:szCs w:val="20"/>
                <w:highlight w:val="none"/>
              </w:rPr>
              <w:t>人。</w:t>
            </w:r>
          </w:p>
        </w:tc>
      </w:tr>
    </w:tbl>
    <w:p w14:paraId="45014E5C">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供应商应答时须提供技术支撑服务团队人员材料包括但不限于：</w:t>
      </w:r>
    </w:p>
    <w:p w14:paraId="5E27FC2E">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1）提供人员清单，提供有效的身份证正反面扫描件、学历证明文件（要求提供毕业证或学位证扫描件</w:t>
      </w:r>
      <w:r>
        <w:rPr>
          <w:rFonts w:hint="eastAsia" w:ascii="宋体" w:hAnsi="宋体" w:eastAsia="宋体" w:cs="宋体"/>
          <w:bCs/>
          <w:color w:val="auto"/>
          <w:sz w:val="28"/>
          <w:szCs w:val="28"/>
          <w:highlight w:val="none"/>
          <w:lang w:val="en-US" w:eastAsia="zh-CN"/>
        </w:rPr>
        <w:t>或</w:t>
      </w:r>
      <w:r>
        <w:rPr>
          <w:rFonts w:hint="eastAsia" w:ascii="宋体" w:hAnsi="宋体" w:eastAsia="宋体" w:cs="宋体"/>
          <w:bCs/>
          <w:color w:val="auto"/>
          <w:sz w:val="28"/>
          <w:szCs w:val="28"/>
          <w:highlight w:val="none"/>
          <w:lang w:val="zh-CN"/>
        </w:rPr>
        <w:t>学信网截图并提供学信网在线查验码）；</w:t>
      </w:r>
    </w:p>
    <w:p w14:paraId="3F026BF8">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2）提供人员的资格证书扫描件以及资格证书的网站查询截图，截图须包括查询网页地址链接或单独提供链接；</w:t>
      </w:r>
    </w:p>
    <w:p w14:paraId="5AF4DB37">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3）社保、劳动合同：项目经理需提供与应答人签订的劳动合同及应答截止之日近六个月内任意连续三个月由社保局或税务部门出具的在应答方单位工作缴纳社保证明清单；团队人员需提供团队人员与应答人签订的劳动合同。</w:t>
      </w:r>
    </w:p>
    <w:p w14:paraId="4667457B">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4）项目经历：</w:t>
      </w:r>
      <w:r>
        <w:rPr>
          <w:rFonts w:hint="eastAsia" w:ascii="宋体" w:hAnsi="宋体" w:eastAsia="宋体" w:cs="宋体"/>
          <w:bCs/>
          <w:color w:val="auto"/>
          <w:sz w:val="28"/>
          <w:szCs w:val="28"/>
          <w:highlight w:val="none"/>
          <w:lang w:val="en-US" w:eastAsia="zh-CN"/>
        </w:rPr>
        <w:t>项目经理须</w:t>
      </w:r>
      <w:r>
        <w:rPr>
          <w:rFonts w:hint="eastAsia" w:ascii="宋体" w:hAnsi="宋体" w:eastAsia="宋体" w:cs="宋体"/>
          <w:bCs/>
          <w:color w:val="auto"/>
          <w:sz w:val="28"/>
          <w:szCs w:val="28"/>
          <w:highlight w:val="none"/>
          <w:lang w:val="zh-CN"/>
        </w:rPr>
        <w:t>提供合同关键页，须体现该人员作为项目经理参与该项目。</w:t>
      </w:r>
    </w:p>
    <w:p w14:paraId="0A738BDA">
      <w:pPr>
        <w:numPr>
          <w:ilvl w:val="0"/>
          <w:numId w:val="5"/>
        </w:numPr>
        <w:spacing w:before="124" w:after="124"/>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项目经理</w:t>
      </w:r>
    </w:p>
    <w:p w14:paraId="0DC8D488">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针对本项目，乙方应指定一名项目经理，</w:t>
      </w:r>
      <w:bookmarkStart w:id="9" w:name="_Hlk149044616"/>
      <w:r>
        <w:rPr>
          <w:rFonts w:hint="eastAsia" w:ascii="宋体" w:hAnsi="宋体" w:eastAsia="宋体" w:cs="宋体"/>
          <w:bCs/>
          <w:color w:val="auto"/>
          <w:sz w:val="28"/>
          <w:szCs w:val="28"/>
          <w:highlight w:val="none"/>
          <w:lang w:val="zh-CN"/>
        </w:rPr>
        <w:t>负责服务团队的日常管理、甲乙双方的协调沟通、资源的调配、服务实施的管理、服务报告提交和质量管控等工作。</w:t>
      </w:r>
    </w:p>
    <w:p w14:paraId="6C8E30EE">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项目经理应具备如下要求：</w:t>
      </w:r>
    </w:p>
    <w:p w14:paraId="78CE5418">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（1）负责组织、协调、统筹乙方项目运营和管理。</w:t>
      </w:r>
    </w:p>
    <w:p w14:paraId="1E7D0D0A">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（2）制定和修正项目管理相关的管理制度和工作流程。</w:t>
      </w:r>
    </w:p>
    <w:p w14:paraId="50C67D47">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（3）具有良好的服务意识与管理能力。</w:t>
      </w:r>
    </w:p>
    <w:p w14:paraId="4B710949">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4</w:t>
      </w: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全日制</w:t>
      </w:r>
      <w:r>
        <w:rPr>
          <w:rFonts w:hint="eastAsia" w:ascii="宋体" w:hAnsi="宋体" w:eastAsia="宋体" w:cs="宋体"/>
          <w:bCs/>
          <w:color w:val="auto"/>
          <w:sz w:val="28"/>
          <w:szCs w:val="28"/>
          <w:highlight w:val="none"/>
          <w:lang w:val="zh-CN"/>
        </w:rPr>
        <w:t>本科及以上学历，10年以上工作经验（自毕业之日起开始计算），所学网络安全/信息安全/网络工程/通信工程/计算机科学与技术等同类专业。</w:t>
      </w:r>
    </w:p>
    <w:p w14:paraId="5698E26B">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5</w:t>
      </w:r>
      <w:r>
        <w:rPr>
          <w:rFonts w:hint="eastAsia" w:ascii="宋体" w:hAnsi="宋体" w:eastAsia="宋体" w:cs="宋体"/>
          <w:bCs/>
          <w:color w:val="auto"/>
          <w:sz w:val="28"/>
          <w:szCs w:val="28"/>
          <w:highlight w:val="none"/>
          <w:lang w:val="zh-CN"/>
        </w:rPr>
        <w:t>）具有至少3个及以上以项目经理角色参与的网络安全或信息安全服务项目经历。</w:t>
      </w:r>
    </w:p>
    <w:p w14:paraId="50BF1E74">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（3）具备国际项目管理师（PMP）证书或人社部颁发的信息系统项目管理师证书。</w:t>
      </w:r>
    </w:p>
    <w:p w14:paraId="1034C0ED">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4</w:t>
      </w:r>
      <w:r>
        <w:rPr>
          <w:rFonts w:hint="eastAsia" w:ascii="宋体" w:hAnsi="宋体" w:eastAsia="宋体" w:cs="宋体"/>
          <w:bCs/>
          <w:color w:val="auto"/>
          <w:sz w:val="28"/>
          <w:szCs w:val="28"/>
          <w:highlight w:val="none"/>
          <w:lang w:val="zh-CN"/>
        </w:rPr>
        <w:t>）具备人工智能应用工程师(高级)资质。</w:t>
      </w:r>
    </w:p>
    <w:p w14:paraId="42715A3E">
      <w:pPr>
        <w:spacing w:line="360" w:lineRule="auto"/>
        <w:ind w:firstLine="495" w:firstLineChars="177"/>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5</w:t>
      </w:r>
      <w:r>
        <w:rPr>
          <w:rFonts w:hint="eastAsia" w:ascii="宋体" w:hAnsi="宋体" w:eastAsia="宋体" w:cs="宋体"/>
          <w:bCs/>
          <w:color w:val="auto"/>
          <w:sz w:val="28"/>
          <w:szCs w:val="28"/>
          <w:highlight w:val="none"/>
          <w:lang w:val="zh-CN"/>
        </w:rPr>
        <w:t xml:space="preserve">）具备高级专业技术职务任职资格证书资质。 </w:t>
      </w:r>
    </w:p>
    <w:p w14:paraId="6D4F7921">
      <w:pPr>
        <w:spacing w:line="360" w:lineRule="auto"/>
        <w:ind w:firstLine="495" w:firstLineChars="177"/>
        <w:rPr>
          <w:rFonts w:hint="eastAsia" w:ascii="宋体" w:hAnsi="宋体" w:eastAsia="宋体" w:cs="宋体"/>
          <w:b/>
          <w:color w:val="auto"/>
          <w:sz w:val="28"/>
          <w:szCs w:val="28"/>
          <w:highlight w:val="none"/>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6</w:t>
      </w: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zh-CN"/>
        </w:rPr>
        <w:tab/>
      </w:r>
      <w:r>
        <w:rPr>
          <w:rFonts w:hint="eastAsia" w:ascii="宋体" w:hAnsi="宋体" w:eastAsia="宋体" w:cs="宋体"/>
          <w:bCs/>
          <w:color w:val="auto"/>
          <w:sz w:val="28"/>
          <w:szCs w:val="28"/>
          <w:highlight w:val="none"/>
          <w:lang w:val="zh-CN"/>
        </w:rPr>
        <w:t>较强的归纳总结、文档编写、沟通表达能力。</w:t>
      </w:r>
      <w:bookmarkEnd w:id="9"/>
    </w:p>
    <w:p w14:paraId="2489FFD1">
      <w:pPr>
        <w:numPr>
          <w:ilvl w:val="0"/>
          <w:numId w:val="5"/>
        </w:numPr>
        <w:spacing w:before="124" w:after="124"/>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技术支撑服务团队</w:t>
      </w:r>
    </w:p>
    <w:p w14:paraId="5D27BC8E">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针对本项目乙方需指派全职服务于本项目的技术支撑团队。</w:t>
      </w:r>
    </w:p>
    <w:p w14:paraId="166179A6">
      <w:pPr>
        <w:spacing w:line="360" w:lineRule="auto"/>
        <w:ind w:firstLine="562" w:firstLineChars="200"/>
        <w:jc w:val="left"/>
        <w:rPr>
          <w:rFonts w:hint="default"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资深专家应具备如下要求：</w:t>
      </w:r>
    </w:p>
    <w:p w14:paraId="5879864D">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（1）较强的沟通表达和归纳总结能力，较强的文字表达和文档编写能力。</w:t>
      </w:r>
    </w:p>
    <w:p w14:paraId="49221555">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（2）对技术支撑服务有丰富经验和深刻的理解。</w:t>
      </w:r>
    </w:p>
    <w:p w14:paraId="764D7BCA">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3</w:t>
      </w:r>
      <w:r>
        <w:rPr>
          <w:rFonts w:hint="eastAsia" w:ascii="宋体" w:hAnsi="宋体" w:eastAsia="宋体" w:cs="宋体"/>
          <w:bCs/>
          <w:color w:val="auto"/>
          <w:sz w:val="28"/>
          <w:szCs w:val="28"/>
          <w:highlight w:val="none"/>
          <w:lang w:val="zh-CN"/>
        </w:rPr>
        <w:t>）较强的归纳总结、文档编写、沟通表达能力。</w:t>
      </w:r>
    </w:p>
    <w:p w14:paraId="2E925C27">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（4）全日制本科及以上学历，5年以上工作经验（自毕业之日起开始计算）。</w:t>
      </w:r>
    </w:p>
    <w:p w14:paraId="13C85665">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（5）具备网络安全架构师（高级）或高级软件开发工程师资质。</w:t>
      </w:r>
    </w:p>
    <w:p w14:paraId="7BA37D4C">
      <w:pPr>
        <w:spacing w:line="360" w:lineRule="auto"/>
        <w:ind w:firstLine="562" w:firstLineChars="2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高级安全人员应具备如下要求：</w:t>
      </w:r>
    </w:p>
    <w:p w14:paraId="139E6C8F">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（1）较强的沟通表达和归纳总结能力，较强的文字表达和文档编写能力。</w:t>
      </w:r>
    </w:p>
    <w:p w14:paraId="21AEFE85">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（2）对技术支撑服务有丰富经验和深刻的理解。</w:t>
      </w:r>
    </w:p>
    <w:p w14:paraId="58F195E0">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3</w:t>
      </w:r>
      <w:r>
        <w:rPr>
          <w:rFonts w:hint="eastAsia" w:ascii="宋体" w:hAnsi="宋体" w:eastAsia="宋体" w:cs="宋体"/>
          <w:bCs/>
          <w:color w:val="auto"/>
          <w:sz w:val="28"/>
          <w:szCs w:val="28"/>
          <w:highlight w:val="none"/>
          <w:lang w:val="zh-CN"/>
        </w:rPr>
        <w:t>）较强的归纳总结、文档编写、沟通表达能力。</w:t>
      </w:r>
    </w:p>
    <w:p w14:paraId="73D95DE1">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（4）全日制本科及以上学历，5年以上工作经验（自毕业之日起开始计算）。</w:t>
      </w:r>
    </w:p>
    <w:p w14:paraId="6DD5C77E">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（5）具备高级安全认证证书资质。</w:t>
      </w:r>
    </w:p>
    <w:p w14:paraId="2BE136AE">
      <w:pPr>
        <w:spacing w:line="360" w:lineRule="auto"/>
        <w:ind w:firstLine="562" w:firstLineChars="200"/>
        <w:jc w:val="left"/>
        <w:rPr>
          <w:rFonts w:hint="eastAsia" w:ascii="宋体" w:hAnsi="宋体" w:eastAsia="宋体" w:cs="宋体"/>
          <w:b/>
          <w:bCs w:val="0"/>
          <w:color w:val="auto"/>
          <w:sz w:val="28"/>
          <w:szCs w:val="28"/>
          <w:highlight w:val="none"/>
          <w:lang w:val="en-US" w:eastAsia="zh-CN"/>
        </w:rPr>
      </w:pPr>
      <w:r>
        <w:rPr>
          <w:rFonts w:hint="eastAsia" w:ascii="宋体" w:hAnsi="宋体" w:eastAsia="宋体" w:cs="宋体"/>
          <w:b/>
          <w:bCs w:val="0"/>
          <w:color w:val="auto"/>
          <w:sz w:val="28"/>
          <w:szCs w:val="28"/>
          <w:highlight w:val="none"/>
          <w:lang w:val="en-US" w:eastAsia="zh-CN"/>
        </w:rPr>
        <w:t>中级安全人员应具备如下要求：</w:t>
      </w:r>
    </w:p>
    <w:p w14:paraId="5E5E8B20">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（1）较强的沟通表达和归纳总结能力，较强的文字表达和文档编写能力。</w:t>
      </w:r>
    </w:p>
    <w:p w14:paraId="5F91178C">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（2）对技术支撑服务有丰富经验和深刻的理解。</w:t>
      </w:r>
    </w:p>
    <w:p w14:paraId="4A96B0CF">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（3）较强的归纳总结、文档编写、沟通表达能力。</w:t>
      </w:r>
    </w:p>
    <w:p w14:paraId="66F82426">
      <w:pPr>
        <w:spacing w:line="360" w:lineRule="auto"/>
        <w:ind w:firstLine="560" w:firstLineChars="200"/>
        <w:jc w:val="left"/>
        <w:rPr>
          <w:rFonts w:hint="eastAsia"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（4）具备全日制本科及以上学历；</w:t>
      </w:r>
    </w:p>
    <w:p w14:paraId="27D14F00">
      <w:pPr>
        <w:spacing w:line="360" w:lineRule="auto"/>
        <w:ind w:firstLine="560" w:firstLineChars="200"/>
        <w:jc w:val="left"/>
        <w:rPr>
          <w:rFonts w:hint="default" w:ascii="宋体" w:hAnsi="宋体" w:eastAsia="宋体" w:cs="宋体"/>
          <w:bCs/>
          <w:color w:val="auto"/>
          <w:sz w:val="28"/>
          <w:szCs w:val="28"/>
          <w:highlight w:val="none"/>
          <w:lang w:val="en-US" w:eastAsia="zh-CN"/>
        </w:rPr>
      </w:pPr>
      <w:r>
        <w:rPr>
          <w:rFonts w:hint="eastAsia" w:ascii="宋体" w:hAnsi="宋体" w:eastAsia="宋体" w:cs="宋体"/>
          <w:bCs/>
          <w:color w:val="auto"/>
          <w:sz w:val="28"/>
          <w:szCs w:val="28"/>
          <w:highlight w:val="none"/>
          <w:lang w:val="en-US" w:eastAsia="zh-CN"/>
        </w:rPr>
        <w:t>（5）具备中级及以上安全认证证书。</w:t>
      </w:r>
    </w:p>
    <w:p w14:paraId="660E8C94">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注：（</w:t>
      </w:r>
      <w:r>
        <w:rPr>
          <w:rFonts w:hint="eastAsia" w:ascii="宋体" w:hAnsi="宋体" w:eastAsia="宋体" w:cs="宋体"/>
          <w:bCs/>
          <w:color w:val="auto"/>
          <w:sz w:val="28"/>
          <w:szCs w:val="28"/>
          <w:highlight w:val="none"/>
          <w:lang w:val="en-US" w:eastAsia="zh-CN"/>
        </w:rPr>
        <w:t>1</w:t>
      </w:r>
      <w:r>
        <w:rPr>
          <w:rFonts w:hint="eastAsia" w:ascii="宋体" w:hAnsi="宋体" w:eastAsia="宋体" w:cs="宋体"/>
          <w:bCs/>
          <w:color w:val="auto"/>
          <w:sz w:val="28"/>
          <w:szCs w:val="28"/>
          <w:highlight w:val="none"/>
          <w:lang w:val="zh-CN"/>
        </w:rPr>
        <w:t>）高级安全认证证书包括：(ISC)²颁发的国际注册信息系统安全专家（CISSP）、工信部颁发的高级网络信息安全工程师、人社部颁发的高级工程师（信息安全方向）等专业技术资格证书；</w:t>
      </w:r>
    </w:p>
    <w:p w14:paraId="5A44EB93">
      <w:pPr>
        <w:numPr>
          <w:ilvl w:val="0"/>
          <w:numId w:val="6"/>
        </w:num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中级安全认证证书包括：CNITSEC颁发的注册信息安全专业人员（CISP）系列认证，CCRC颁发的注册信息安全保障人员（CISAW），ISACA颁发的国际注册信息系统审计师（CISA）等专业技术资格证书。</w:t>
      </w:r>
    </w:p>
    <w:p w14:paraId="02680442">
      <w:pPr>
        <w:numPr>
          <w:ilvl w:val="0"/>
          <w:numId w:val="6"/>
        </w:num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主管部门（含行业协会）包括工信部、通管局、网信办、公安厅等主管部门，互联网协会、通信协会、通信学会、网络空间安全协会、计算机信息系统安全协会等行业协会。</w:t>
      </w:r>
    </w:p>
    <w:p w14:paraId="3B994428">
      <w:pPr>
        <w:numPr>
          <w:ilvl w:val="0"/>
          <w:numId w:val="5"/>
        </w:numPr>
        <w:spacing w:before="124" w:after="124"/>
        <w:rPr>
          <w:rFonts w:hint="eastAsia" w:ascii="宋体" w:hAnsi="宋体" w:eastAsia="宋体" w:cs="宋体"/>
          <w:b/>
          <w:color w:val="auto"/>
          <w:sz w:val="28"/>
          <w:szCs w:val="28"/>
          <w:highlight w:val="none"/>
        </w:rPr>
      </w:pPr>
      <w:bookmarkStart w:id="10" w:name="_Hlk149044860"/>
      <w:r>
        <w:rPr>
          <w:rFonts w:hint="eastAsia" w:ascii="宋体" w:hAnsi="宋体" w:eastAsia="宋体" w:cs="宋体"/>
          <w:b/>
          <w:color w:val="auto"/>
          <w:sz w:val="28"/>
          <w:szCs w:val="28"/>
          <w:highlight w:val="none"/>
        </w:rPr>
        <w:t>其他综合性说明和要求</w:t>
      </w:r>
    </w:p>
    <w:p w14:paraId="6B34CE31">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（1）人员须具备良好的语言表达能力、协调和沟通能力、学习能力，具备优秀的责任心和团队意识，良好的职业道德和敬业精神。</w:t>
      </w:r>
    </w:p>
    <w:p w14:paraId="63D713DB">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2）乙方还须承诺：拟派至本项目的工程师等人员须在合同生效之日起固定下来，须把人员情况向甲方报备。如需更换须保证替换人员的认证资质和从业经验不低于原有人员，并须提前一个月向甲方提交书面申请。未经甲方同意人员不得随意更换，如出现随意更换的情况，甲方有权采取扣除服务考核分、扣罚合同金额等处罚措施或解除合同。</w:t>
      </w:r>
    </w:p>
    <w:p w14:paraId="4D21923F">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3）甲方如对乙方所指派的服务工程师的服务质量不满意（包括技术能力、运营支撑能力等），甲方有权通过书面形式提出撤换该工程师的要求，如连续三次撤换不满意的，乙方有权扣除该指派工程师的剩余工资，乙方应无条件予以执行。</w:t>
      </w:r>
    </w:p>
    <w:p w14:paraId="1BF464FD">
      <w:pPr>
        <w:spacing w:line="360" w:lineRule="auto"/>
        <w:ind w:firstLine="560" w:firstLineChars="200"/>
        <w:jc w:val="left"/>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w:t>
      </w:r>
      <w:r>
        <w:rPr>
          <w:rFonts w:hint="eastAsia" w:ascii="宋体" w:hAnsi="宋体" w:eastAsia="宋体" w:cs="宋体"/>
          <w:bCs/>
          <w:color w:val="auto"/>
          <w:sz w:val="28"/>
          <w:szCs w:val="28"/>
          <w:highlight w:val="none"/>
          <w:lang w:val="en-US" w:eastAsia="zh-CN"/>
        </w:rPr>
        <w:t>4</w:t>
      </w:r>
      <w:r>
        <w:rPr>
          <w:rFonts w:hint="eastAsia" w:ascii="宋体" w:hAnsi="宋体" w:eastAsia="宋体" w:cs="宋体"/>
          <w:bCs/>
          <w:color w:val="auto"/>
          <w:sz w:val="28"/>
          <w:szCs w:val="28"/>
          <w:highlight w:val="none"/>
          <w:lang w:val="zh-CN"/>
        </w:rPr>
        <w:t>）服务形式：技术服务人员在</w:t>
      </w:r>
      <w:bookmarkStart w:id="11" w:name="_Hlk144212380"/>
      <w:r>
        <w:rPr>
          <w:rFonts w:hint="eastAsia" w:ascii="宋体" w:hAnsi="宋体" w:eastAsia="宋体" w:cs="宋体"/>
          <w:bCs/>
          <w:color w:val="auto"/>
          <w:sz w:val="28"/>
          <w:szCs w:val="28"/>
          <w:highlight w:val="none"/>
          <w:lang w:val="zh-CN"/>
        </w:rPr>
        <w:t>创新研究院</w:t>
      </w:r>
      <w:bookmarkEnd w:id="11"/>
      <w:r>
        <w:rPr>
          <w:rFonts w:hint="eastAsia" w:ascii="宋体" w:hAnsi="宋体" w:eastAsia="宋体" w:cs="宋体"/>
          <w:bCs/>
          <w:color w:val="auto"/>
          <w:sz w:val="28"/>
          <w:szCs w:val="28"/>
          <w:highlight w:val="none"/>
          <w:lang w:val="zh-CN"/>
        </w:rPr>
        <w:t>现场工作，并服从创新研究院对项目技术支撑服务的安排与管理。</w:t>
      </w:r>
      <w:bookmarkEnd w:id="10"/>
    </w:p>
    <w:p w14:paraId="3517F7CB">
      <w:pPr>
        <w:numPr>
          <w:ilvl w:val="0"/>
          <w:numId w:val="4"/>
        </w:num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服务工具要求</w:t>
      </w:r>
    </w:p>
    <w:p w14:paraId="3FED2CC2">
      <w:pPr>
        <w:numPr>
          <w:ilvl w:val="0"/>
          <w:numId w:val="7"/>
        </w:numPr>
        <w:spacing w:before="124" w:after="124"/>
        <w:ind w:firstLine="562"/>
        <w:rPr>
          <w:rFonts w:hint="eastAsia"/>
          <w:b/>
          <w:color w:val="auto"/>
          <w:sz w:val="28"/>
          <w:szCs w:val="28"/>
          <w:highlight w:val="none"/>
        </w:rPr>
      </w:pPr>
      <w:r>
        <w:rPr>
          <w:rFonts w:hint="eastAsia"/>
          <w:b/>
          <w:color w:val="auto"/>
          <w:sz w:val="28"/>
          <w:szCs w:val="28"/>
          <w:highlight w:val="none"/>
        </w:rPr>
        <w:t>乙方为本项目提供的服务工具应具备如下功能：</w:t>
      </w:r>
    </w:p>
    <w:p w14:paraId="6A36CE52">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具备态势管理能力，展示威胁相关信息，能够对威胁事件进行处置，生成事件工单，并支持日志、恶意样本、证据图片上传功能。</w:t>
      </w:r>
    </w:p>
    <w:p w14:paraId="6BF01A5B">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具备对多种维度进行数据统计分析，包括威胁等级分布、威胁趋势、威胁类型TOP5、部门威胁TOP5、业务系统TOP5等信息。</w:t>
      </w:r>
    </w:p>
    <w:p w14:paraId="62ECF512">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具备工单管理能力，支持签收、催办、撤回、删除、详情查看功能，详情信息至少包括工单类型、业务类型、反馈、审批、复测等信息。</w:t>
      </w:r>
    </w:p>
    <w:p w14:paraId="09FADBEC">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具备指令管理能力，支持新增、批量删除、导入、批量签收、导出指令工单，能够对单个指令进行追加、撤回、删除操作，指令类型至少包括封堵处置、监测预警、通知管理、排查指令、信息收集、解封通告、封禁指令等。</w:t>
      </w:r>
    </w:p>
    <w:p w14:paraId="1F9AC160">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560" w:firstLineChars="200"/>
        <w:jc w:val="left"/>
        <w:textAlignment w:val="auto"/>
        <w:rPr>
          <w:rFonts w:hint="eastAsia" w:ascii="宋体" w:hAnsi="宋体" w:eastAsia="宋体" w:cs="宋体"/>
          <w:bCs/>
          <w:color w:val="auto"/>
          <w:sz w:val="28"/>
          <w:szCs w:val="28"/>
          <w:highlight w:val="none"/>
          <w:lang w:val="zh-CN"/>
        </w:rPr>
      </w:pPr>
      <w:r>
        <w:rPr>
          <w:rFonts w:hint="eastAsia" w:ascii="宋体" w:hAnsi="宋体" w:eastAsia="宋体" w:cs="宋体"/>
          <w:bCs/>
          <w:color w:val="auto"/>
          <w:sz w:val="28"/>
          <w:szCs w:val="28"/>
          <w:highlight w:val="none"/>
          <w:lang w:val="zh-CN"/>
        </w:rPr>
        <w:t>具备SOC作业发布能力，支持作业信息发布、作业项信息及作业记录展示，对作业周期、总数、完成数、逾期数、剩余数信息按照月份进行统计。</w:t>
      </w:r>
    </w:p>
    <w:p w14:paraId="09D2F92F">
      <w:pPr>
        <w:numPr>
          <w:ilvl w:val="0"/>
          <w:numId w:val="4"/>
        </w:numP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技术支撑服务的管理流程及规范要求</w:t>
      </w:r>
    </w:p>
    <w:p w14:paraId="7DAE272F">
      <w:pPr>
        <w:numPr>
          <w:ilvl w:val="0"/>
          <w:numId w:val="7"/>
        </w:numPr>
        <w:spacing w:before="124" w:after="124"/>
        <w:ind w:firstLine="562"/>
        <w:rPr>
          <w:b/>
          <w:color w:val="auto"/>
          <w:sz w:val="28"/>
          <w:szCs w:val="28"/>
          <w:highlight w:val="none"/>
        </w:rPr>
      </w:pPr>
      <w:r>
        <w:rPr>
          <w:rFonts w:hint="eastAsia"/>
          <w:b/>
          <w:color w:val="auto"/>
          <w:sz w:val="28"/>
          <w:szCs w:val="28"/>
          <w:highlight w:val="none"/>
        </w:rPr>
        <w:t>遵从创新研究院现有的技术支撑工作流程及规范；</w:t>
      </w:r>
    </w:p>
    <w:p w14:paraId="1D222F3C">
      <w:pPr>
        <w:numPr>
          <w:ilvl w:val="1"/>
          <w:numId w:val="7"/>
        </w:numPr>
        <w:spacing w:before="124" w:after="124"/>
        <w:ind w:firstLine="562"/>
        <w:rPr>
          <w:b/>
          <w:color w:val="auto"/>
          <w:sz w:val="28"/>
          <w:szCs w:val="28"/>
          <w:highlight w:val="none"/>
        </w:rPr>
      </w:pPr>
      <w:r>
        <w:rPr>
          <w:rFonts w:hint="eastAsia"/>
          <w:b/>
          <w:color w:val="auto"/>
          <w:sz w:val="28"/>
          <w:szCs w:val="28"/>
          <w:highlight w:val="none"/>
        </w:rPr>
        <w:t>工作管理要求</w:t>
      </w:r>
    </w:p>
    <w:p w14:paraId="437ADFB2">
      <w:pPr>
        <w:spacing w:line="360" w:lineRule="auto"/>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乙方必须在甲方指定的办公地点进行技术支撑服务工作，并遵从甲方制定的考勤制度，甲方对乙方参加技术支撑服务人员进行必要的日常管理。</w:t>
      </w:r>
    </w:p>
    <w:p w14:paraId="5BE493C4">
      <w:pPr>
        <w:numPr>
          <w:ilvl w:val="1"/>
          <w:numId w:val="7"/>
        </w:numPr>
        <w:spacing w:before="124" w:after="124"/>
        <w:ind w:firstLine="562"/>
        <w:rPr>
          <w:b/>
          <w:color w:val="auto"/>
          <w:sz w:val="28"/>
          <w:szCs w:val="28"/>
          <w:highlight w:val="none"/>
        </w:rPr>
      </w:pPr>
      <w:r>
        <w:rPr>
          <w:rFonts w:hint="eastAsia"/>
          <w:b/>
          <w:color w:val="auto"/>
          <w:sz w:val="28"/>
          <w:szCs w:val="28"/>
          <w:highlight w:val="none"/>
        </w:rPr>
        <w:t>流程规范要求</w:t>
      </w:r>
    </w:p>
    <w:p w14:paraId="6B05B9D1">
      <w:pPr>
        <w:spacing w:line="360" w:lineRule="auto"/>
        <w:ind w:firstLine="482"/>
        <w:rPr>
          <w:rFonts w:hint="eastAsia" w:ascii="宋体" w:hAnsi="宋体" w:eastAsia="宋体" w:cs="宋体"/>
          <w:color w:val="auto"/>
          <w:sz w:val="24"/>
          <w:highlight w:val="none"/>
        </w:rPr>
      </w:pPr>
      <w:r>
        <w:rPr>
          <w:rFonts w:hint="eastAsia" w:ascii="宋体" w:hAnsi="宋体" w:eastAsia="宋体" w:cs="宋体"/>
          <w:color w:val="auto"/>
          <w:sz w:val="28"/>
          <w:szCs w:val="28"/>
          <w:highlight w:val="none"/>
        </w:rPr>
        <w:t>乙方技术支撑服务现场实施团队需严格遵从创新院现有的IT系统维护技术规范和管理办法，如：《中国移动浙江公司IT人员岗位变动管理细则》、《中国移动浙江公司IT系统事件管理办法》等。</w:t>
      </w:r>
    </w:p>
    <w:p w14:paraId="55B66B2E">
      <w:pPr>
        <w:numPr>
          <w:ilvl w:val="1"/>
          <w:numId w:val="7"/>
        </w:numPr>
        <w:spacing w:before="124" w:after="124"/>
        <w:ind w:firstLine="562"/>
        <w:rPr>
          <w:b/>
          <w:color w:val="auto"/>
          <w:sz w:val="28"/>
          <w:szCs w:val="28"/>
          <w:highlight w:val="none"/>
        </w:rPr>
      </w:pPr>
      <w:r>
        <w:rPr>
          <w:rFonts w:hint="eastAsia"/>
          <w:b/>
          <w:color w:val="auto"/>
          <w:sz w:val="28"/>
          <w:szCs w:val="28"/>
          <w:highlight w:val="none"/>
        </w:rPr>
        <w:t>核算管理要求</w:t>
      </w:r>
    </w:p>
    <w:p w14:paraId="523A9F0C">
      <w:pPr>
        <w:spacing w:line="360" w:lineRule="auto"/>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乙方技术支撑服务项目的运营成本核算，必须定期向甲方上报核对，确保项目资金合理用于技术支撑服务人员薪酬、培训、福利等方面。</w:t>
      </w:r>
    </w:p>
    <w:p w14:paraId="2DF4794F">
      <w:pPr>
        <w:numPr>
          <w:ilvl w:val="0"/>
          <w:numId w:val="7"/>
        </w:numPr>
        <w:spacing w:before="124" w:after="124"/>
        <w:ind w:firstLine="562"/>
        <w:rPr>
          <w:b/>
          <w:color w:val="auto"/>
          <w:sz w:val="28"/>
          <w:szCs w:val="28"/>
          <w:highlight w:val="none"/>
        </w:rPr>
      </w:pPr>
      <w:r>
        <w:rPr>
          <w:rFonts w:hint="eastAsia"/>
          <w:b/>
          <w:color w:val="auto"/>
          <w:sz w:val="28"/>
          <w:szCs w:val="28"/>
          <w:highlight w:val="none"/>
        </w:rPr>
        <w:t>遵从创新研究院现有的技术支撑工作人员管理要求；</w:t>
      </w:r>
    </w:p>
    <w:p w14:paraId="16DE9F66">
      <w:pPr>
        <w:numPr>
          <w:ilvl w:val="1"/>
          <w:numId w:val="7"/>
        </w:numPr>
        <w:spacing w:before="124" w:after="124"/>
        <w:ind w:firstLine="562"/>
        <w:rPr>
          <w:b/>
          <w:color w:val="auto"/>
          <w:sz w:val="28"/>
          <w:szCs w:val="28"/>
          <w:highlight w:val="none"/>
        </w:rPr>
      </w:pPr>
      <w:r>
        <w:rPr>
          <w:rFonts w:hint="eastAsia"/>
          <w:b/>
          <w:color w:val="auto"/>
          <w:sz w:val="28"/>
          <w:szCs w:val="28"/>
          <w:highlight w:val="none"/>
        </w:rPr>
        <w:t>人员管理要求</w:t>
      </w:r>
    </w:p>
    <w:p w14:paraId="7595BB68">
      <w:pPr>
        <w:spacing w:line="360" w:lineRule="auto"/>
        <w:ind w:firstLine="482"/>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所有常驻技术人员必须遵从创新院相关人员管理制度，入职、离职、请假、加班等日常管理必须经由有甲方审批报备。在不违反劳动法的前提下，乙方不得干涉。</w:t>
      </w:r>
    </w:p>
    <w:p w14:paraId="0C437D32">
      <w:pPr>
        <w:numPr>
          <w:ilvl w:val="1"/>
          <w:numId w:val="7"/>
        </w:numPr>
        <w:spacing w:before="124" w:after="124"/>
        <w:ind w:firstLine="562"/>
        <w:rPr>
          <w:b/>
          <w:color w:val="auto"/>
          <w:sz w:val="28"/>
          <w:szCs w:val="28"/>
          <w:highlight w:val="none"/>
        </w:rPr>
      </w:pPr>
      <w:r>
        <w:rPr>
          <w:rFonts w:hint="eastAsia"/>
          <w:b/>
          <w:color w:val="auto"/>
          <w:sz w:val="28"/>
          <w:szCs w:val="28"/>
          <w:highlight w:val="none"/>
        </w:rPr>
        <w:t>人员绩效管理要求</w:t>
      </w:r>
    </w:p>
    <w:p w14:paraId="338FD723">
      <w:pPr>
        <w:spacing w:line="360" w:lineRule="auto"/>
        <w:ind w:firstLine="482"/>
        <w:rPr>
          <w:rFonts w:ascii="Times New Roman" w:hAnsi="Times New Roman" w:cs="Times New Roman"/>
          <w:color w:val="auto"/>
          <w:sz w:val="24"/>
          <w:highlight w:val="none"/>
          <w:lang w:eastAsia="zh-Hans"/>
        </w:rPr>
      </w:pPr>
      <w:r>
        <w:rPr>
          <w:rFonts w:hint="eastAsia" w:ascii="宋体" w:hAnsi="宋体" w:eastAsia="宋体" w:cs="宋体"/>
          <w:color w:val="auto"/>
          <w:sz w:val="28"/>
          <w:szCs w:val="28"/>
          <w:highlight w:val="none"/>
        </w:rPr>
        <w:t>所有常驻技术人员的技术水平、服务质量由甲方评定，乙方需将甲方评定结果纳入技术人员绩效考核指标。乙方需按时发放薪酬及奖励。</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S?o｡ﾀ?">
    <w:altName w:val="Yu Gothic"/>
    <w:panose1 w:val="00000000000000000000"/>
    <w:charset w:val="80"/>
    <w:family w:val="moder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80F0D0">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377B2A">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1377B2A">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FFB21C"/>
    <w:multiLevelType w:val="singleLevel"/>
    <w:tmpl w:val="DDFFB21C"/>
    <w:lvl w:ilvl="0" w:tentative="0">
      <w:start w:val="2"/>
      <w:numFmt w:val="decimal"/>
      <w:suff w:val="nothing"/>
      <w:lvlText w:val="（%1）"/>
      <w:lvlJc w:val="left"/>
    </w:lvl>
  </w:abstractNum>
  <w:abstractNum w:abstractNumId="1">
    <w:nsid w:val="FFDECD74"/>
    <w:multiLevelType w:val="singleLevel"/>
    <w:tmpl w:val="FFDECD74"/>
    <w:lvl w:ilvl="0" w:tentative="0">
      <w:start w:val="1"/>
      <w:numFmt w:val="decimal"/>
      <w:lvlText w:val="(%1)"/>
      <w:lvlJc w:val="left"/>
      <w:pPr>
        <w:ind w:left="425" w:hanging="425"/>
      </w:pPr>
      <w:rPr>
        <w:rFonts w:hint="default"/>
        <w:color w:val="000000" w:themeColor="text1"/>
        <w14:textFill>
          <w14:solidFill>
            <w14:schemeClr w14:val="tx1"/>
          </w14:solidFill>
        </w14:textFill>
      </w:rPr>
    </w:lvl>
  </w:abstractNum>
  <w:abstractNum w:abstractNumId="2">
    <w:nsid w:val="3EA32E30"/>
    <w:multiLevelType w:val="multilevel"/>
    <w:tmpl w:val="3EA32E30"/>
    <w:lvl w:ilvl="0" w:tentative="0">
      <w:start w:val="1"/>
      <w:numFmt w:val="decimal"/>
      <w:lvlText w:val="%1)"/>
      <w:lvlJc w:val="left"/>
      <w:pPr>
        <w:ind w:left="840" w:hanging="420"/>
      </w:pPr>
      <w:rPr>
        <w:rFonts w:hint="default"/>
      </w:rPr>
    </w:lvl>
    <w:lvl w:ilvl="1" w:tentative="0">
      <w:start w:val="1"/>
      <w:numFmt w:val="decimal"/>
      <w:lvlText w:val="%2)"/>
      <w:lvlJc w:val="left"/>
      <w:pPr>
        <w:ind w:left="1260" w:hanging="420"/>
      </w:pPr>
      <w:rPr>
        <w:rFonts w:hint="default"/>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4DFA47CE"/>
    <w:multiLevelType w:val="multilevel"/>
    <w:tmpl w:val="4DFA47CE"/>
    <w:lvl w:ilvl="0" w:tentative="0">
      <w:start w:val="3"/>
      <w:numFmt w:val="decimal"/>
      <w:lvlText w:val="%1"/>
      <w:lvlJc w:val="left"/>
      <w:pPr>
        <w:ind w:left="405" w:hanging="405"/>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2160" w:hanging="2160"/>
      </w:pPr>
      <w:rPr>
        <w:rFonts w:hint="default"/>
      </w:rPr>
    </w:lvl>
    <w:lvl w:ilvl="8" w:tentative="0">
      <w:start w:val="1"/>
      <w:numFmt w:val="decimal"/>
      <w:lvlText w:val="%1.%2.%3.%4.%5.%6.%7.%8.%9"/>
      <w:lvlJc w:val="left"/>
      <w:pPr>
        <w:ind w:left="2160" w:hanging="2160"/>
      </w:pPr>
      <w:rPr>
        <w:rFonts w:hint="default"/>
      </w:rPr>
    </w:lvl>
  </w:abstractNum>
  <w:abstractNum w:abstractNumId="4">
    <w:nsid w:val="50D136ED"/>
    <w:multiLevelType w:val="multilevel"/>
    <w:tmpl w:val="50D136ED"/>
    <w:lvl w:ilvl="0" w:tentative="0">
      <w:start w:val="1"/>
      <w:numFmt w:val="bullet"/>
      <w:lvlText w:val=""/>
      <w:lvlJc w:val="left"/>
      <w:pPr>
        <w:ind w:left="-82" w:hanging="420"/>
      </w:pPr>
      <w:rPr>
        <w:rFonts w:hint="default" w:ascii="Wingdings" w:hAnsi="Wingdings"/>
      </w:rPr>
    </w:lvl>
    <w:lvl w:ilvl="1" w:tentative="0">
      <w:start w:val="1"/>
      <w:numFmt w:val="decimal"/>
      <w:lvlText w:val="%2)"/>
      <w:lvlJc w:val="left"/>
      <w:pPr>
        <w:ind w:left="338" w:hanging="420"/>
      </w:pPr>
      <w:rPr>
        <w:rFonts w:hint="default"/>
      </w:rPr>
    </w:lvl>
    <w:lvl w:ilvl="2" w:tentative="0">
      <w:start w:val="1"/>
      <w:numFmt w:val="bullet"/>
      <w:lvlText w:val=""/>
      <w:lvlJc w:val="left"/>
      <w:pPr>
        <w:ind w:left="758" w:hanging="420"/>
      </w:pPr>
      <w:rPr>
        <w:rFonts w:hint="default" w:ascii="Wingdings" w:hAnsi="Wingdings"/>
      </w:rPr>
    </w:lvl>
    <w:lvl w:ilvl="3" w:tentative="0">
      <w:start w:val="1"/>
      <w:numFmt w:val="bullet"/>
      <w:lvlText w:val=""/>
      <w:lvlJc w:val="left"/>
      <w:pPr>
        <w:ind w:left="1178" w:hanging="420"/>
      </w:pPr>
      <w:rPr>
        <w:rFonts w:hint="default" w:ascii="Wingdings" w:hAnsi="Wingdings"/>
      </w:rPr>
    </w:lvl>
    <w:lvl w:ilvl="4" w:tentative="0">
      <w:start w:val="1"/>
      <w:numFmt w:val="bullet"/>
      <w:lvlText w:val=""/>
      <w:lvlJc w:val="left"/>
      <w:pPr>
        <w:ind w:left="1598" w:hanging="420"/>
      </w:pPr>
      <w:rPr>
        <w:rFonts w:hint="default" w:ascii="Wingdings" w:hAnsi="Wingdings"/>
      </w:rPr>
    </w:lvl>
    <w:lvl w:ilvl="5" w:tentative="0">
      <w:start w:val="1"/>
      <w:numFmt w:val="bullet"/>
      <w:lvlText w:val=""/>
      <w:lvlJc w:val="left"/>
      <w:pPr>
        <w:ind w:left="2018" w:hanging="420"/>
      </w:pPr>
      <w:rPr>
        <w:rFonts w:hint="default" w:ascii="Wingdings" w:hAnsi="Wingdings"/>
      </w:rPr>
    </w:lvl>
    <w:lvl w:ilvl="6" w:tentative="0">
      <w:start w:val="1"/>
      <w:numFmt w:val="bullet"/>
      <w:lvlText w:val=""/>
      <w:lvlJc w:val="left"/>
      <w:pPr>
        <w:ind w:left="2438" w:hanging="420"/>
      </w:pPr>
      <w:rPr>
        <w:rFonts w:hint="default" w:ascii="Wingdings" w:hAnsi="Wingdings"/>
      </w:rPr>
    </w:lvl>
    <w:lvl w:ilvl="7" w:tentative="0">
      <w:start w:val="1"/>
      <w:numFmt w:val="bullet"/>
      <w:lvlText w:val=""/>
      <w:lvlJc w:val="left"/>
      <w:pPr>
        <w:ind w:left="2858" w:hanging="420"/>
      </w:pPr>
      <w:rPr>
        <w:rFonts w:hint="default" w:ascii="Wingdings" w:hAnsi="Wingdings"/>
      </w:rPr>
    </w:lvl>
    <w:lvl w:ilvl="8" w:tentative="0">
      <w:start w:val="1"/>
      <w:numFmt w:val="bullet"/>
      <w:lvlText w:val=""/>
      <w:lvlJc w:val="left"/>
      <w:pPr>
        <w:ind w:left="3278" w:hanging="420"/>
      </w:pPr>
      <w:rPr>
        <w:rFonts w:hint="default" w:ascii="Wingdings" w:hAnsi="Wingdings"/>
      </w:rPr>
    </w:lvl>
  </w:abstractNum>
  <w:abstractNum w:abstractNumId="5">
    <w:nsid w:val="562E6C9B"/>
    <w:multiLevelType w:val="multilevel"/>
    <w:tmpl w:val="562E6C9B"/>
    <w:lvl w:ilvl="0" w:tentative="0">
      <w:start w:val="1"/>
      <w:numFmt w:val="chineseCountingThousand"/>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9BADB47"/>
    <w:multiLevelType w:val="singleLevel"/>
    <w:tmpl w:val="69BADB47"/>
    <w:lvl w:ilvl="0" w:tentative="0">
      <w:start w:val="1"/>
      <w:numFmt w:val="decimal"/>
      <w:suff w:val="nothing"/>
      <w:lvlText w:val="%1、"/>
      <w:lvlJc w:val="left"/>
    </w:lvl>
  </w:abstractNum>
  <w:abstractNum w:abstractNumId="7">
    <w:nsid w:val="7CFF4FFC"/>
    <w:multiLevelType w:val="multilevel"/>
    <w:tmpl w:val="7CFF4FFC"/>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6"/>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7"/>
  </w:num>
  <w:num w:numId="2">
    <w:abstractNumId w:val="5"/>
  </w:num>
  <w:num w:numId="3">
    <w:abstractNumId w:val="3"/>
  </w:num>
  <w:num w:numId="4">
    <w:abstractNumId w:val="6"/>
  </w:num>
  <w:num w:numId="5">
    <w:abstractNumId w:val="2"/>
  </w:num>
  <w:num w:numId="6">
    <w:abstractNumId w:val="0"/>
  </w:num>
  <w:num w:numId="7">
    <w:abstractNumId w:val="4"/>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lZmFiMmUyMTVjYTY3MjZiMTExNWNhMDRmMzI1OTkifQ=="/>
  </w:docVars>
  <w:rsids>
    <w:rsidRoot w:val="00172A27"/>
    <w:rsid w:val="000059CA"/>
    <w:rsid w:val="00016DF9"/>
    <w:rsid w:val="00035EE4"/>
    <w:rsid w:val="00046122"/>
    <w:rsid w:val="00053C11"/>
    <w:rsid w:val="00054650"/>
    <w:rsid w:val="00073689"/>
    <w:rsid w:val="00093DAD"/>
    <w:rsid w:val="00096599"/>
    <w:rsid w:val="000A50F8"/>
    <w:rsid w:val="000B6DDE"/>
    <w:rsid w:val="000B7FF5"/>
    <w:rsid w:val="000D3F02"/>
    <w:rsid w:val="000D592A"/>
    <w:rsid w:val="000D66D9"/>
    <w:rsid w:val="000F443A"/>
    <w:rsid w:val="000F4F20"/>
    <w:rsid w:val="0011073D"/>
    <w:rsid w:val="00132628"/>
    <w:rsid w:val="00133DEE"/>
    <w:rsid w:val="00146126"/>
    <w:rsid w:val="00165D03"/>
    <w:rsid w:val="00172A27"/>
    <w:rsid w:val="00174518"/>
    <w:rsid w:val="00187364"/>
    <w:rsid w:val="00195B04"/>
    <w:rsid w:val="001B0C6E"/>
    <w:rsid w:val="001B4DD8"/>
    <w:rsid w:val="001C616F"/>
    <w:rsid w:val="001E50A5"/>
    <w:rsid w:val="001F61A6"/>
    <w:rsid w:val="002042E9"/>
    <w:rsid w:val="00205FA3"/>
    <w:rsid w:val="0021549B"/>
    <w:rsid w:val="0021749E"/>
    <w:rsid w:val="0026379F"/>
    <w:rsid w:val="00286ACD"/>
    <w:rsid w:val="00295D1B"/>
    <w:rsid w:val="002A23AE"/>
    <w:rsid w:val="002B2372"/>
    <w:rsid w:val="002C636E"/>
    <w:rsid w:val="002D391B"/>
    <w:rsid w:val="002D4FE3"/>
    <w:rsid w:val="002F5910"/>
    <w:rsid w:val="002F65B7"/>
    <w:rsid w:val="00301772"/>
    <w:rsid w:val="003018A2"/>
    <w:rsid w:val="00302373"/>
    <w:rsid w:val="003174B9"/>
    <w:rsid w:val="0033374F"/>
    <w:rsid w:val="00346663"/>
    <w:rsid w:val="00350506"/>
    <w:rsid w:val="003602D0"/>
    <w:rsid w:val="00392651"/>
    <w:rsid w:val="003B5D5F"/>
    <w:rsid w:val="003B607C"/>
    <w:rsid w:val="003C22AD"/>
    <w:rsid w:val="003D03A4"/>
    <w:rsid w:val="003D59EA"/>
    <w:rsid w:val="003D7B9A"/>
    <w:rsid w:val="003E54C2"/>
    <w:rsid w:val="003F15B1"/>
    <w:rsid w:val="00423EF8"/>
    <w:rsid w:val="0044288B"/>
    <w:rsid w:val="00461B14"/>
    <w:rsid w:val="004671C6"/>
    <w:rsid w:val="00486FE0"/>
    <w:rsid w:val="004A3CA3"/>
    <w:rsid w:val="004B26E7"/>
    <w:rsid w:val="004D3699"/>
    <w:rsid w:val="004E7DBC"/>
    <w:rsid w:val="004F2C12"/>
    <w:rsid w:val="005063B3"/>
    <w:rsid w:val="0051592F"/>
    <w:rsid w:val="005230CB"/>
    <w:rsid w:val="005350EB"/>
    <w:rsid w:val="0055259F"/>
    <w:rsid w:val="0055471E"/>
    <w:rsid w:val="00584EF7"/>
    <w:rsid w:val="005A1742"/>
    <w:rsid w:val="005A32C3"/>
    <w:rsid w:val="005B264A"/>
    <w:rsid w:val="005C068E"/>
    <w:rsid w:val="005C1852"/>
    <w:rsid w:val="005C5918"/>
    <w:rsid w:val="005E3548"/>
    <w:rsid w:val="005F1C00"/>
    <w:rsid w:val="006263B5"/>
    <w:rsid w:val="006350BB"/>
    <w:rsid w:val="006525DE"/>
    <w:rsid w:val="00653434"/>
    <w:rsid w:val="006619DD"/>
    <w:rsid w:val="00663A12"/>
    <w:rsid w:val="00665C9C"/>
    <w:rsid w:val="0067615E"/>
    <w:rsid w:val="00676D34"/>
    <w:rsid w:val="006904B5"/>
    <w:rsid w:val="006C1BB8"/>
    <w:rsid w:val="006C23DD"/>
    <w:rsid w:val="006C44A9"/>
    <w:rsid w:val="006C61A2"/>
    <w:rsid w:val="007017E1"/>
    <w:rsid w:val="00702095"/>
    <w:rsid w:val="00710235"/>
    <w:rsid w:val="00715F5A"/>
    <w:rsid w:val="00716CEF"/>
    <w:rsid w:val="0072237F"/>
    <w:rsid w:val="007326F7"/>
    <w:rsid w:val="00747246"/>
    <w:rsid w:val="00776849"/>
    <w:rsid w:val="00781C4C"/>
    <w:rsid w:val="00792662"/>
    <w:rsid w:val="00794D48"/>
    <w:rsid w:val="007B1D0E"/>
    <w:rsid w:val="007B3438"/>
    <w:rsid w:val="007B4AAF"/>
    <w:rsid w:val="007B6BD6"/>
    <w:rsid w:val="007F5BBB"/>
    <w:rsid w:val="0084352F"/>
    <w:rsid w:val="00866249"/>
    <w:rsid w:val="00887010"/>
    <w:rsid w:val="008919B2"/>
    <w:rsid w:val="00892E07"/>
    <w:rsid w:val="008A2ECB"/>
    <w:rsid w:val="008B4B18"/>
    <w:rsid w:val="008C2FFA"/>
    <w:rsid w:val="008D2B33"/>
    <w:rsid w:val="008D73A3"/>
    <w:rsid w:val="008F3837"/>
    <w:rsid w:val="00907180"/>
    <w:rsid w:val="009106F7"/>
    <w:rsid w:val="009155DB"/>
    <w:rsid w:val="00924B42"/>
    <w:rsid w:val="00985A5A"/>
    <w:rsid w:val="00992DFB"/>
    <w:rsid w:val="009A28CC"/>
    <w:rsid w:val="009B0089"/>
    <w:rsid w:val="009B7666"/>
    <w:rsid w:val="009C64C3"/>
    <w:rsid w:val="009D4F9E"/>
    <w:rsid w:val="009F185E"/>
    <w:rsid w:val="009F26C9"/>
    <w:rsid w:val="00A223AE"/>
    <w:rsid w:val="00A35345"/>
    <w:rsid w:val="00A5053D"/>
    <w:rsid w:val="00A556DA"/>
    <w:rsid w:val="00A74B1A"/>
    <w:rsid w:val="00A85384"/>
    <w:rsid w:val="00AB728C"/>
    <w:rsid w:val="00AD0025"/>
    <w:rsid w:val="00AD3847"/>
    <w:rsid w:val="00AD5368"/>
    <w:rsid w:val="00AE2F55"/>
    <w:rsid w:val="00AE50D6"/>
    <w:rsid w:val="00B272C1"/>
    <w:rsid w:val="00B30E59"/>
    <w:rsid w:val="00B31053"/>
    <w:rsid w:val="00B43A39"/>
    <w:rsid w:val="00B44BDE"/>
    <w:rsid w:val="00B62EB8"/>
    <w:rsid w:val="00B646C8"/>
    <w:rsid w:val="00B779FE"/>
    <w:rsid w:val="00B85592"/>
    <w:rsid w:val="00BA2748"/>
    <w:rsid w:val="00BB7C19"/>
    <w:rsid w:val="00BB7D8B"/>
    <w:rsid w:val="00BE34A2"/>
    <w:rsid w:val="00C06A14"/>
    <w:rsid w:val="00C07744"/>
    <w:rsid w:val="00C1352F"/>
    <w:rsid w:val="00C13DC0"/>
    <w:rsid w:val="00C52E79"/>
    <w:rsid w:val="00C60974"/>
    <w:rsid w:val="00C65905"/>
    <w:rsid w:val="00C66573"/>
    <w:rsid w:val="00C76128"/>
    <w:rsid w:val="00CA6A23"/>
    <w:rsid w:val="00CA7EEA"/>
    <w:rsid w:val="00D025AD"/>
    <w:rsid w:val="00D10E5E"/>
    <w:rsid w:val="00D32114"/>
    <w:rsid w:val="00D41914"/>
    <w:rsid w:val="00D459F6"/>
    <w:rsid w:val="00D7279C"/>
    <w:rsid w:val="00D83AF9"/>
    <w:rsid w:val="00D87AD8"/>
    <w:rsid w:val="00DA3B7E"/>
    <w:rsid w:val="00DC4CA1"/>
    <w:rsid w:val="00DC5112"/>
    <w:rsid w:val="00DE0DDB"/>
    <w:rsid w:val="00DE2AA9"/>
    <w:rsid w:val="00DE72EF"/>
    <w:rsid w:val="00E475A7"/>
    <w:rsid w:val="00E545ED"/>
    <w:rsid w:val="00E76949"/>
    <w:rsid w:val="00E76A49"/>
    <w:rsid w:val="00E81D27"/>
    <w:rsid w:val="00E86950"/>
    <w:rsid w:val="00E97DBF"/>
    <w:rsid w:val="00EB20AB"/>
    <w:rsid w:val="00EC336B"/>
    <w:rsid w:val="00EC76F2"/>
    <w:rsid w:val="00F00127"/>
    <w:rsid w:val="00F01AA0"/>
    <w:rsid w:val="00F238BD"/>
    <w:rsid w:val="00F27952"/>
    <w:rsid w:val="00F41FF1"/>
    <w:rsid w:val="00F43543"/>
    <w:rsid w:val="00F50707"/>
    <w:rsid w:val="00F764BC"/>
    <w:rsid w:val="00F9392C"/>
    <w:rsid w:val="00F9487D"/>
    <w:rsid w:val="00FA5E21"/>
    <w:rsid w:val="00FC4E10"/>
    <w:rsid w:val="00FD466E"/>
    <w:rsid w:val="00FF69FB"/>
    <w:rsid w:val="00FF7D30"/>
    <w:rsid w:val="015201AD"/>
    <w:rsid w:val="01993D60"/>
    <w:rsid w:val="01D42658"/>
    <w:rsid w:val="03B92498"/>
    <w:rsid w:val="0490144A"/>
    <w:rsid w:val="04D806FC"/>
    <w:rsid w:val="04DE21B6"/>
    <w:rsid w:val="0525427E"/>
    <w:rsid w:val="05565935"/>
    <w:rsid w:val="05E43015"/>
    <w:rsid w:val="06670810"/>
    <w:rsid w:val="06922A35"/>
    <w:rsid w:val="06C278B5"/>
    <w:rsid w:val="072F4F4B"/>
    <w:rsid w:val="07634BF4"/>
    <w:rsid w:val="07D21D7A"/>
    <w:rsid w:val="08071A24"/>
    <w:rsid w:val="08DA7138"/>
    <w:rsid w:val="0923288D"/>
    <w:rsid w:val="09482E28"/>
    <w:rsid w:val="09750C0F"/>
    <w:rsid w:val="09FC77F2"/>
    <w:rsid w:val="0A5D3B7D"/>
    <w:rsid w:val="0AE42770"/>
    <w:rsid w:val="0B753148"/>
    <w:rsid w:val="0C5B0590"/>
    <w:rsid w:val="0C7F9E4A"/>
    <w:rsid w:val="0CC85514"/>
    <w:rsid w:val="0E35096D"/>
    <w:rsid w:val="0EA0228A"/>
    <w:rsid w:val="0EF7015B"/>
    <w:rsid w:val="0EFE3455"/>
    <w:rsid w:val="0FF7EA34"/>
    <w:rsid w:val="0FFF7484"/>
    <w:rsid w:val="101F3682"/>
    <w:rsid w:val="106A3E32"/>
    <w:rsid w:val="108C51BC"/>
    <w:rsid w:val="10DD5A17"/>
    <w:rsid w:val="124F46F3"/>
    <w:rsid w:val="12577216"/>
    <w:rsid w:val="1294D363"/>
    <w:rsid w:val="13051255"/>
    <w:rsid w:val="13F74CAC"/>
    <w:rsid w:val="1404150D"/>
    <w:rsid w:val="14305E5E"/>
    <w:rsid w:val="143C0CA7"/>
    <w:rsid w:val="147F754D"/>
    <w:rsid w:val="154C6CC8"/>
    <w:rsid w:val="15634011"/>
    <w:rsid w:val="160C0B27"/>
    <w:rsid w:val="171CBEEE"/>
    <w:rsid w:val="17F981D6"/>
    <w:rsid w:val="189A6FD3"/>
    <w:rsid w:val="18AD2173"/>
    <w:rsid w:val="194F4FD8"/>
    <w:rsid w:val="1A1F0E4F"/>
    <w:rsid w:val="1A562EC8"/>
    <w:rsid w:val="1BB7B5EA"/>
    <w:rsid w:val="1BBE4E8D"/>
    <w:rsid w:val="1BDAD422"/>
    <w:rsid w:val="1BFDBF40"/>
    <w:rsid w:val="1C984EE8"/>
    <w:rsid w:val="1C9A0C60"/>
    <w:rsid w:val="1CAD0994"/>
    <w:rsid w:val="1CFD5908"/>
    <w:rsid w:val="1D1D49C3"/>
    <w:rsid w:val="1D540E0F"/>
    <w:rsid w:val="1D6A0633"/>
    <w:rsid w:val="1D9D6237"/>
    <w:rsid w:val="1E2E4A86"/>
    <w:rsid w:val="1E48649A"/>
    <w:rsid w:val="1EC20705"/>
    <w:rsid w:val="1EC71AB5"/>
    <w:rsid w:val="1EDE7F95"/>
    <w:rsid w:val="1F2FB48B"/>
    <w:rsid w:val="1F662EC2"/>
    <w:rsid w:val="1F7B673E"/>
    <w:rsid w:val="1F7FCCC3"/>
    <w:rsid w:val="1F8BF660"/>
    <w:rsid w:val="1FED80BD"/>
    <w:rsid w:val="1FF5752A"/>
    <w:rsid w:val="1FFFA378"/>
    <w:rsid w:val="225B2C40"/>
    <w:rsid w:val="22600256"/>
    <w:rsid w:val="226E2973"/>
    <w:rsid w:val="226F0CCA"/>
    <w:rsid w:val="22AC349C"/>
    <w:rsid w:val="235F050E"/>
    <w:rsid w:val="237C10C0"/>
    <w:rsid w:val="24757CA7"/>
    <w:rsid w:val="247F2CBC"/>
    <w:rsid w:val="252840AD"/>
    <w:rsid w:val="25406175"/>
    <w:rsid w:val="254479BB"/>
    <w:rsid w:val="259721E1"/>
    <w:rsid w:val="25A20B86"/>
    <w:rsid w:val="2635A5A5"/>
    <w:rsid w:val="264F2647"/>
    <w:rsid w:val="26E56F7C"/>
    <w:rsid w:val="271B0BF0"/>
    <w:rsid w:val="274C6FFB"/>
    <w:rsid w:val="27B2CDD8"/>
    <w:rsid w:val="291853E7"/>
    <w:rsid w:val="29703F03"/>
    <w:rsid w:val="29FFEB26"/>
    <w:rsid w:val="2A5E0201"/>
    <w:rsid w:val="2AB70C30"/>
    <w:rsid w:val="2AD05A8E"/>
    <w:rsid w:val="2B4A5600"/>
    <w:rsid w:val="2B9176D3"/>
    <w:rsid w:val="2BB1B15C"/>
    <w:rsid w:val="2BD7A4BF"/>
    <w:rsid w:val="2BFF1FDE"/>
    <w:rsid w:val="2CAA387D"/>
    <w:rsid w:val="2CD21D51"/>
    <w:rsid w:val="2D0F4D53"/>
    <w:rsid w:val="2D5722AD"/>
    <w:rsid w:val="2D5F2CB9"/>
    <w:rsid w:val="2DBBF8D8"/>
    <w:rsid w:val="2E975000"/>
    <w:rsid w:val="2E982B26"/>
    <w:rsid w:val="2EAD4823"/>
    <w:rsid w:val="2F0C2CEA"/>
    <w:rsid w:val="2F1A79DF"/>
    <w:rsid w:val="2F48454C"/>
    <w:rsid w:val="2FB782FE"/>
    <w:rsid w:val="2FED8D3F"/>
    <w:rsid w:val="2FEFA1C7"/>
    <w:rsid w:val="30D37E45"/>
    <w:rsid w:val="30DF2C8E"/>
    <w:rsid w:val="31455252"/>
    <w:rsid w:val="317E24A7"/>
    <w:rsid w:val="31F54931"/>
    <w:rsid w:val="323D5EBE"/>
    <w:rsid w:val="329D2229"/>
    <w:rsid w:val="32E9978B"/>
    <w:rsid w:val="32FB1828"/>
    <w:rsid w:val="335E433E"/>
    <w:rsid w:val="337B71E9"/>
    <w:rsid w:val="33A53D1B"/>
    <w:rsid w:val="33B95A18"/>
    <w:rsid w:val="33D97E69"/>
    <w:rsid w:val="33EA5BD2"/>
    <w:rsid w:val="33FB89BE"/>
    <w:rsid w:val="33FBABB5"/>
    <w:rsid w:val="3402116D"/>
    <w:rsid w:val="34237336"/>
    <w:rsid w:val="345F60EC"/>
    <w:rsid w:val="34703364"/>
    <w:rsid w:val="34FFC191"/>
    <w:rsid w:val="35AF5E00"/>
    <w:rsid w:val="36E22340"/>
    <w:rsid w:val="36F34D9D"/>
    <w:rsid w:val="371AF834"/>
    <w:rsid w:val="379F3AF3"/>
    <w:rsid w:val="37A4078E"/>
    <w:rsid w:val="37DC7F27"/>
    <w:rsid w:val="382A0C93"/>
    <w:rsid w:val="38B4115F"/>
    <w:rsid w:val="38E47B6C"/>
    <w:rsid w:val="3914549F"/>
    <w:rsid w:val="3914608F"/>
    <w:rsid w:val="39537D75"/>
    <w:rsid w:val="39F1129F"/>
    <w:rsid w:val="3A0862B0"/>
    <w:rsid w:val="3A6D419E"/>
    <w:rsid w:val="3A9EEDC9"/>
    <w:rsid w:val="3ACC0DB7"/>
    <w:rsid w:val="3AF7F654"/>
    <w:rsid w:val="3B77F00D"/>
    <w:rsid w:val="3BC82C9D"/>
    <w:rsid w:val="3BED7052"/>
    <w:rsid w:val="3BEF9D5C"/>
    <w:rsid w:val="3BFF41E4"/>
    <w:rsid w:val="3BFF466F"/>
    <w:rsid w:val="3CC98083"/>
    <w:rsid w:val="3D314871"/>
    <w:rsid w:val="3D337A13"/>
    <w:rsid w:val="3D7D37C0"/>
    <w:rsid w:val="3DEB2076"/>
    <w:rsid w:val="3DF55E8F"/>
    <w:rsid w:val="3E2FE4EB"/>
    <w:rsid w:val="3EDB4A95"/>
    <w:rsid w:val="3F7B0BDE"/>
    <w:rsid w:val="3F7B79DF"/>
    <w:rsid w:val="3FBFD906"/>
    <w:rsid w:val="3FC3655B"/>
    <w:rsid w:val="3FDFE11D"/>
    <w:rsid w:val="3FE18E25"/>
    <w:rsid w:val="3FF72ABA"/>
    <w:rsid w:val="3FF7E979"/>
    <w:rsid w:val="3FF98427"/>
    <w:rsid w:val="3FFD46F3"/>
    <w:rsid w:val="3FFF9571"/>
    <w:rsid w:val="405F34A4"/>
    <w:rsid w:val="40FA5E4B"/>
    <w:rsid w:val="415B3C6B"/>
    <w:rsid w:val="418F7DB9"/>
    <w:rsid w:val="41967399"/>
    <w:rsid w:val="41AA2E44"/>
    <w:rsid w:val="421A1D78"/>
    <w:rsid w:val="42276243"/>
    <w:rsid w:val="43525542"/>
    <w:rsid w:val="43BFEE13"/>
    <w:rsid w:val="448160DE"/>
    <w:rsid w:val="44935E12"/>
    <w:rsid w:val="451E1B7F"/>
    <w:rsid w:val="4575791F"/>
    <w:rsid w:val="45941E41"/>
    <w:rsid w:val="45BB117C"/>
    <w:rsid w:val="46115240"/>
    <w:rsid w:val="4783216D"/>
    <w:rsid w:val="47C84024"/>
    <w:rsid w:val="483416BA"/>
    <w:rsid w:val="486F26F2"/>
    <w:rsid w:val="48B06F92"/>
    <w:rsid w:val="4910780A"/>
    <w:rsid w:val="49267254"/>
    <w:rsid w:val="492E435B"/>
    <w:rsid w:val="495913D8"/>
    <w:rsid w:val="49FD6207"/>
    <w:rsid w:val="4A2A2D74"/>
    <w:rsid w:val="4B1A5430"/>
    <w:rsid w:val="4BDC1CCA"/>
    <w:rsid w:val="4CC72AFC"/>
    <w:rsid w:val="4D5AB4B9"/>
    <w:rsid w:val="4D82650C"/>
    <w:rsid w:val="4D95C147"/>
    <w:rsid w:val="4D970721"/>
    <w:rsid w:val="4DBFD8FB"/>
    <w:rsid w:val="4DEE56DF"/>
    <w:rsid w:val="4DF300FD"/>
    <w:rsid w:val="4DF63E70"/>
    <w:rsid w:val="4E5E20B3"/>
    <w:rsid w:val="4E7B82F7"/>
    <w:rsid w:val="4EFFFD99"/>
    <w:rsid w:val="4F2E29BF"/>
    <w:rsid w:val="4F6EAA9C"/>
    <w:rsid w:val="4F7B2344"/>
    <w:rsid w:val="4FEE03BC"/>
    <w:rsid w:val="4FF6A58B"/>
    <w:rsid w:val="503E46CB"/>
    <w:rsid w:val="512C5624"/>
    <w:rsid w:val="512E314A"/>
    <w:rsid w:val="513C0F8F"/>
    <w:rsid w:val="51856AE2"/>
    <w:rsid w:val="518E1E3B"/>
    <w:rsid w:val="51A218A1"/>
    <w:rsid w:val="51D10A36"/>
    <w:rsid w:val="520B348B"/>
    <w:rsid w:val="521265C8"/>
    <w:rsid w:val="538773A7"/>
    <w:rsid w:val="53FADCB5"/>
    <w:rsid w:val="54091C4C"/>
    <w:rsid w:val="54102FDB"/>
    <w:rsid w:val="54FE1085"/>
    <w:rsid w:val="551D1710"/>
    <w:rsid w:val="553C3B9A"/>
    <w:rsid w:val="55B67F15"/>
    <w:rsid w:val="55CE7630"/>
    <w:rsid w:val="55FD30EB"/>
    <w:rsid w:val="56ED01A2"/>
    <w:rsid w:val="56FC10E9"/>
    <w:rsid w:val="57185244"/>
    <w:rsid w:val="571903F8"/>
    <w:rsid w:val="57510A69"/>
    <w:rsid w:val="577E77AA"/>
    <w:rsid w:val="577FFF2D"/>
    <w:rsid w:val="57BF1ACC"/>
    <w:rsid w:val="57D52571"/>
    <w:rsid w:val="57DB684C"/>
    <w:rsid w:val="57FF52FB"/>
    <w:rsid w:val="592117E6"/>
    <w:rsid w:val="59FF8F6D"/>
    <w:rsid w:val="5A799D67"/>
    <w:rsid w:val="5A7A0471"/>
    <w:rsid w:val="5AB374D1"/>
    <w:rsid w:val="5AF70A51"/>
    <w:rsid w:val="5B1E422F"/>
    <w:rsid w:val="5B5419FF"/>
    <w:rsid w:val="5BB7E19E"/>
    <w:rsid w:val="5BEB291C"/>
    <w:rsid w:val="5BFE71A5"/>
    <w:rsid w:val="5C49708A"/>
    <w:rsid w:val="5CBA7F88"/>
    <w:rsid w:val="5D4F5D21"/>
    <w:rsid w:val="5DDDCA18"/>
    <w:rsid w:val="5DEE41F9"/>
    <w:rsid w:val="5DFFDE2B"/>
    <w:rsid w:val="5E005E6E"/>
    <w:rsid w:val="5E27164D"/>
    <w:rsid w:val="5E370CFA"/>
    <w:rsid w:val="5E3F4331"/>
    <w:rsid w:val="5EB4E167"/>
    <w:rsid w:val="5EBA4A80"/>
    <w:rsid w:val="5ED71B58"/>
    <w:rsid w:val="5EF79DDC"/>
    <w:rsid w:val="5EFC63F4"/>
    <w:rsid w:val="5EFF3F24"/>
    <w:rsid w:val="5F5BA3C7"/>
    <w:rsid w:val="5F9C55A1"/>
    <w:rsid w:val="5F9D4E30"/>
    <w:rsid w:val="5FB129DB"/>
    <w:rsid w:val="5FC5A656"/>
    <w:rsid w:val="5FFEFF83"/>
    <w:rsid w:val="5FFF0A97"/>
    <w:rsid w:val="60200102"/>
    <w:rsid w:val="606326E4"/>
    <w:rsid w:val="60A54AAB"/>
    <w:rsid w:val="617C1CB0"/>
    <w:rsid w:val="61AD3C17"/>
    <w:rsid w:val="61AF3E33"/>
    <w:rsid w:val="628F77C1"/>
    <w:rsid w:val="63576530"/>
    <w:rsid w:val="63BC2837"/>
    <w:rsid w:val="64D7CBC6"/>
    <w:rsid w:val="64F1FE24"/>
    <w:rsid w:val="65530F79"/>
    <w:rsid w:val="657038D9"/>
    <w:rsid w:val="658853A4"/>
    <w:rsid w:val="65AF06B3"/>
    <w:rsid w:val="65FE4E01"/>
    <w:rsid w:val="65FE5331"/>
    <w:rsid w:val="661701F9"/>
    <w:rsid w:val="662966E7"/>
    <w:rsid w:val="664C0ADA"/>
    <w:rsid w:val="66D763C0"/>
    <w:rsid w:val="66F422E8"/>
    <w:rsid w:val="67A73013"/>
    <w:rsid w:val="67FD1D7E"/>
    <w:rsid w:val="67FD7CAC"/>
    <w:rsid w:val="67FFF4DA"/>
    <w:rsid w:val="68914293"/>
    <w:rsid w:val="69FC1BE0"/>
    <w:rsid w:val="69FF8964"/>
    <w:rsid w:val="6AFC5C0F"/>
    <w:rsid w:val="6AFE491C"/>
    <w:rsid w:val="6B182A49"/>
    <w:rsid w:val="6B5AB803"/>
    <w:rsid w:val="6B5B7E38"/>
    <w:rsid w:val="6B767770"/>
    <w:rsid w:val="6BA02A3F"/>
    <w:rsid w:val="6BBC82FE"/>
    <w:rsid w:val="6BBDC4B4"/>
    <w:rsid w:val="6BDF84B4"/>
    <w:rsid w:val="6BFE0F19"/>
    <w:rsid w:val="6BFF15D9"/>
    <w:rsid w:val="6C00509B"/>
    <w:rsid w:val="6C494E84"/>
    <w:rsid w:val="6C5D0755"/>
    <w:rsid w:val="6C937EAD"/>
    <w:rsid w:val="6CFE90DC"/>
    <w:rsid w:val="6D061D25"/>
    <w:rsid w:val="6D1759EE"/>
    <w:rsid w:val="6D7F32B5"/>
    <w:rsid w:val="6DBF9537"/>
    <w:rsid w:val="6DD62748"/>
    <w:rsid w:val="6E7708B0"/>
    <w:rsid w:val="6E7B8142"/>
    <w:rsid w:val="6E906D9A"/>
    <w:rsid w:val="6EA42846"/>
    <w:rsid w:val="6EBC321A"/>
    <w:rsid w:val="6EF1A20D"/>
    <w:rsid w:val="6EF634AD"/>
    <w:rsid w:val="6F25535D"/>
    <w:rsid w:val="6F284915"/>
    <w:rsid w:val="6F5054B8"/>
    <w:rsid w:val="6F7D4302"/>
    <w:rsid w:val="6F7F5C99"/>
    <w:rsid w:val="6F856131"/>
    <w:rsid w:val="6FA56875"/>
    <w:rsid w:val="6FB3E445"/>
    <w:rsid w:val="6FC75F56"/>
    <w:rsid w:val="6FE7720B"/>
    <w:rsid w:val="6FEF6B14"/>
    <w:rsid w:val="6FF59BFD"/>
    <w:rsid w:val="6FF7B686"/>
    <w:rsid w:val="6FFAB0DB"/>
    <w:rsid w:val="6FFC42AF"/>
    <w:rsid w:val="6FFEBA50"/>
    <w:rsid w:val="6FFF0E1F"/>
    <w:rsid w:val="6FFFAE61"/>
    <w:rsid w:val="703B0F88"/>
    <w:rsid w:val="704A3FFD"/>
    <w:rsid w:val="70980188"/>
    <w:rsid w:val="70FF751B"/>
    <w:rsid w:val="712F9F22"/>
    <w:rsid w:val="71303482"/>
    <w:rsid w:val="722D66AE"/>
    <w:rsid w:val="72732A0F"/>
    <w:rsid w:val="72874010"/>
    <w:rsid w:val="728854A9"/>
    <w:rsid w:val="72D76442"/>
    <w:rsid w:val="72EF5C20"/>
    <w:rsid w:val="733B002B"/>
    <w:rsid w:val="736A9F1D"/>
    <w:rsid w:val="73A17354"/>
    <w:rsid w:val="73DF0648"/>
    <w:rsid w:val="73EFD97A"/>
    <w:rsid w:val="746C7962"/>
    <w:rsid w:val="750E6C6B"/>
    <w:rsid w:val="7567498B"/>
    <w:rsid w:val="75776798"/>
    <w:rsid w:val="759727BC"/>
    <w:rsid w:val="759F7FDC"/>
    <w:rsid w:val="75AE293F"/>
    <w:rsid w:val="75B7A175"/>
    <w:rsid w:val="75C5A8EC"/>
    <w:rsid w:val="75F329FC"/>
    <w:rsid w:val="75F7E6E6"/>
    <w:rsid w:val="764044BF"/>
    <w:rsid w:val="767BD488"/>
    <w:rsid w:val="767FC343"/>
    <w:rsid w:val="76FB9889"/>
    <w:rsid w:val="76FE13D2"/>
    <w:rsid w:val="76FFDDB0"/>
    <w:rsid w:val="772B3B04"/>
    <w:rsid w:val="772B7A4D"/>
    <w:rsid w:val="773404C1"/>
    <w:rsid w:val="7769462C"/>
    <w:rsid w:val="776B71E8"/>
    <w:rsid w:val="777EEF8E"/>
    <w:rsid w:val="778F70BC"/>
    <w:rsid w:val="779526D8"/>
    <w:rsid w:val="77BF0187"/>
    <w:rsid w:val="77DD008D"/>
    <w:rsid w:val="77EE481F"/>
    <w:rsid w:val="77F7F775"/>
    <w:rsid w:val="77FAE667"/>
    <w:rsid w:val="77FB2EE0"/>
    <w:rsid w:val="77FF4B82"/>
    <w:rsid w:val="78827754"/>
    <w:rsid w:val="78AF1292"/>
    <w:rsid w:val="78C935D5"/>
    <w:rsid w:val="795135CA"/>
    <w:rsid w:val="797D1BB2"/>
    <w:rsid w:val="798751C7"/>
    <w:rsid w:val="7A1F0FD2"/>
    <w:rsid w:val="7A6DA646"/>
    <w:rsid w:val="7A6EEB4D"/>
    <w:rsid w:val="7AD9C29A"/>
    <w:rsid w:val="7AE70B42"/>
    <w:rsid w:val="7AEDBE1F"/>
    <w:rsid w:val="7AFD488D"/>
    <w:rsid w:val="7B59401E"/>
    <w:rsid w:val="7B5B03A9"/>
    <w:rsid w:val="7B737B4E"/>
    <w:rsid w:val="7B7F3FC4"/>
    <w:rsid w:val="7B7F6B39"/>
    <w:rsid w:val="7B9A887F"/>
    <w:rsid w:val="7BA1F713"/>
    <w:rsid w:val="7BABE9E6"/>
    <w:rsid w:val="7BAE0860"/>
    <w:rsid w:val="7BBF3C89"/>
    <w:rsid w:val="7BED31F6"/>
    <w:rsid w:val="7BEF97CC"/>
    <w:rsid w:val="7BF50D4A"/>
    <w:rsid w:val="7BF5648F"/>
    <w:rsid w:val="7BF64271"/>
    <w:rsid w:val="7BFBC867"/>
    <w:rsid w:val="7BFE70D7"/>
    <w:rsid w:val="7BFEED16"/>
    <w:rsid w:val="7BFF18C2"/>
    <w:rsid w:val="7C321491"/>
    <w:rsid w:val="7C378C36"/>
    <w:rsid w:val="7C773D2E"/>
    <w:rsid w:val="7C964EDD"/>
    <w:rsid w:val="7CB00FA0"/>
    <w:rsid w:val="7CED7163"/>
    <w:rsid w:val="7CED9DE0"/>
    <w:rsid w:val="7D2933BF"/>
    <w:rsid w:val="7D3EDC61"/>
    <w:rsid w:val="7D4C55F8"/>
    <w:rsid w:val="7D5F5799"/>
    <w:rsid w:val="7D7AD94D"/>
    <w:rsid w:val="7D9588A6"/>
    <w:rsid w:val="7DBD4D90"/>
    <w:rsid w:val="7DBF3084"/>
    <w:rsid w:val="7DBFAE22"/>
    <w:rsid w:val="7DBFF0A1"/>
    <w:rsid w:val="7DCF1BEF"/>
    <w:rsid w:val="7DD700D6"/>
    <w:rsid w:val="7DDBCAA1"/>
    <w:rsid w:val="7DE64665"/>
    <w:rsid w:val="7DED5E46"/>
    <w:rsid w:val="7DEFE1B0"/>
    <w:rsid w:val="7DFE44FD"/>
    <w:rsid w:val="7DFED1CD"/>
    <w:rsid w:val="7E8F49E2"/>
    <w:rsid w:val="7E9AF0F1"/>
    <w:rsid w:val="7EB70F6C"/>
    <w:rsid w:val="7EC64112"/>
    <w:rsid w:val="7ED9FDD0"/>
    <w:rsid w:val="7EDF7C6D"/>
    <w:rsid w:val="7EF7888F"/>
    <w:rsid w:val="7EFCA1F7"/>
    <w:rsid w:val="7EFD0B2A"/>
    <w:rsid w:val="7EFDF8A1"/>
    <w:rsid w:val="7EFFAAEF"/>
    <w:rsid w:val="7EFFDA94"/>
    <w:rsid w:val="7F36ACBA"/>
    <w:rsid w:val="7F5B859A"/>
    <w:rsid w:val="7F5BA9B3"/>
    <w:rsid w:val="7F5E9CAA"/>
    <w:rsid w:val="7F74F4AB"/>
    <w:rsid w:val="7F75454E"/>
    <w:rsid w:val="7F7BAE59"/>
    <w:rsid w:val="7F7F649B"/>
    <w:rsid w:val="7F9BF3B1"/>
    <w:rsid w:val="7FB56661"/>
    <w:rsid w:val="7FB57177"/>
    <w:rsid w:val="7FB69251"/>
    <w:rsid w:val="7FBC872F"/>
    <w:rsid w:val="7FBF067F"/>
    <w:rsid w:val="7FBF5167"/>
    <w:rsid w:val="7FC7BCF8"/>
    <w:rsid w:val="7FCF2818"/>
    <w:rsid w:val="7FD19A64"/>
    <w:rsid w:val="7FD7A0BE"/>
    <w:rsid w:val="7FDE73C4"/>
    <w:rsid w:val="7FDFFA17"/>
    <w:rsid w:val="7FE806CD"/>
    <w:rsid w:val="7FEA9A0B"/>
    <w:rsid w:val="7FEDD684"/>
    <w:rsid w:val="7FEFDD5E"/>
    <w:rsid w:val="7FF32EC4"/>
    <w:rsid w:val="7FFBAB96"/>
    <w:rsid w:val="7FFBDFCE"/>
    <w:rsid w:val="7FFD7DC2"/>
    <w:rsid w:val="7FFEC80A"/>
    <w:rsid w:val="7FFFA0F2"/>
    <w:rsid w:val="7FFFA595"/>
    <w:rsid w:val="7FFFD790"/>
    <w:rsid w:val="87E7BC84"/>
    <w:rsid w:val="87FFA588"/>
    <w:rsid w:val="8DD6421D"/>
    <w:rsid w:val="8F22B06C"/>
    <w:rsid w:val="8FFFECF0"/>
    <w:rsid w:val="937F0DF6"/>
    <w:rsid w:val="949CD401"/>
    <w:rsid w:val="96FF8D0A"/>
    <w:rsid w:val="977358F2"/>
    <w:rsid w:val="978DBDDF"/>
    <w:rsid w:val="997F2240"/>
    <w:rsid w:val="9B53F904"/>
    <w:rsid w:val="9BDC2FFD"/>
    <w:rsid w:val="9BDE9276"/>
    <w:rsid w:val="9DBF3F8E"/>
    <w:rsid w:val="9DFF76F8"/>
    <w:rsid w:val="9E7766C7"/>
    <w:rsid w:val="9EEFB907"/>
    <w:rsid w:val="9EFEC0BC"/>
    <w:rsid w:val="9F38A3E3"/>
    <w:rsid w:val="9FDF1777"/>
    <w:rsid w:val="A13A9E25"/>
    <w:rsid w:val="A17EC38E"/>
    <w:rsid w:val="A2BABC55"/>
    <w:rsid w:val="A3F16250"/>
    <w:rsid w:val="A7E505D4"/>
    <w:rsid w:val="A7EB8173"/>
    <w:rsid w:val="AAB6FFF3"/>
    <w:rsid w:val="ABF735FD"/>
    <w:rsid w:val="ACFEC5BB"/>
    <w:rsid w:val="AEBFF893"/>
    <w:rsid w:val="AF465067"/>
    <w:rsid w:val="AF746297"/>
    <w:rsid w:val="AF7FC412"/>
    <w:rsid w:val="AFBFDA6F"/>
    <w:rsid w:val="AFFB9BA9"/>
    <w:rsid w:val="B0BFFAA6"/>
    <w:rsid w:val="B1AFBCBB"/>
    <w:rsid w:val="B1DE7CCD"/>
    <w:rsid w:val="B483DE35"/>
    <w:rsid w:val="B5BF80EA"/>
    <w:rsid w:val="B676F748"/>
    <w:rsid w:val="B6B9648A"/>
    <w:rsid w:val="B6BD6878"/>
    <w:rsid w:val="B6FED2E1"/>
    <w:rsid w:val="B73AD776"/>
    <w:rsid w:val="B76F6BA7"/>
    <w:rsid w:val="B7A69228"/>
    <w:rsid w:val="B93D8985"/>
    <w:rsid w:val="B9FF188C"/>
    <w:rsid w:val="BACDBABC"/>
    <w:rsid w:val="BAFF9351"/>
    <w:rsid w:val="BB25BF62"/>
    <w:rsid w:val="BBBAE97B"/>
    <w:rsid w:val="BBFDEA94"/>
    <w:rsid w:val="BCDB97AC"/>
    <w:rsid w:val="BCDE84A2"/>
    <w:rsid w:val="BD3FC631"/>
    <w:rsid w:val="BDBC753F"/>
    <w:rsid w:val="BDF79E8A"/>
    <w:rsid w:val="BDFF97BC"/>
    <w:rsid w:val="BEBF784B"/>
    <w:rsid w:val="BEFB2AAC"/>
    <w:rsid w:val="BEFC285B"/>
    <w:rsid w:val="BEFD3CA5"/>
    <w:rsid w:val="BF3BE987"/>
    <w:rsid w:val="BF5A3246"/>
    <w:rsid w:val="BF7F4D1D"/>
    <w:rsid w:val="BF9F1555"/>
    <w:rsid w:val="BFB583C0"/>
    <w:rsid w:val="BFDBEC9F"/>
    <w:rsid w:val="BFE4C158"/>
    <w:rsid w:val="BFEC4114"/>
    <w:rsid w:val="BFEF25A1"/>
    <w:rsid w:val="BFEF2683"/>
    <w:rsid w:val="BFFDD5E1"/>
    <w:rsid w:val="BFFF688F"/>
    <w:rsid w:val="C36597D3"/>
    <w:rsid w:val="C4FB84C5"/>
    <w:rsid w:val="C5DD088E"/>
    <w:rsid w:val="C9AF7339"/>
    <w:rsid w:val="CB7DE793"/>
    <w:rsid w:val="CB7F036C"/>
    <w:rsid w:val="CBBF2524"/>
    <w:rsid w:val="CBEBFFA1"/>
    <w:rsid w:val="CDCFE1D6"/>
    <w:rsid w:val="CF9B93AF"/>
    <w:rsid w:val="CFDFC820"/>
    <w:rsid w:val="CFF6C4C9"/>
    <w:rsid w:val="CFFD73AE"/>
    <w:rsid w:val="D47FF575"/>
    <w:rsid w:val="D56EC754"/>
    <w:rsid w:val="D6F78CC3"/>
    <w:rsid w:val="D76E7BD3"/>
    <w:rsid w:val="D775FEEA"/>
    <w:rsid w:val="D77AB8A2"/>
    <w:rsid w:val="D7F523FD"/>
    <w:rsid w:val="D7F93780"/>
    <w:rsid w:val="D7F9E89D"/>
    <w:rsid w:val="D7FF72E3"/>
    <w:rsid w:val="DA075159"/>
    <w:rsid w:val="DBBB3B69"/>
    <w:rsid w:val="DBBB8604"/>
    <w:rsid w:val="DBEFC580"/>
    <w:rsid w:val="DBFD2414"/>
    <w:rsid w:val="DDDBF3DA"/>
    <w:rsid w:val="DDFF7C69"/>
    <w:rsid w:val="DE7C4844"/>
    <w:rsid w:val="DE7DC6C9"/>
    <w:rsid w:val="DEDF971C"/>
    <w:rsid w:val="DEED8A6B"/>
    <w:rsid w:val="DEF2633B"/>
    <w:rsid w:val="DEF34F3F"/>
    <w:rsid w:val="DEFD7B5E"/>
    <w:rsid w:val="DEFEE0BA"/>
    <w:rsid w:val="DF7FF88B"/>
    <w:rsid w:val="DF9D53C5"/>
    <w:rsid w:val="DFBCF356"/>
    <w:rsid w:val="DFD6565B"/>
    <w:rsid w:val="DFDD89A0"/>
    <w:rsid w:val="DFDDE2C8"/>
    <w:rsid w:val="DFE7F4B2"/>
    <w:rsid w:val="DFEC1953"/>
    <w:rsid w:val="DFF2FB4E"/>
    <w:rsid w:val="DFFA3BDE"/>
    <w:rsid w:val="DFFACE44"/>
    <w:rsid w:val="DFFBE91D"/>
    <w:rsid w:val="DFFDBBE9"/>
    <w:rsid w:val="DFFDF9B7"/>
    <w:rsid w:val="DFFE6574"/>
    <w:rsid w:val="E2BFF70A"/>
    <w:rsid w:val="E2F9DE13"/>
    <w:rsid w:val="E3EF507E"/>
    <w:rsid w:val="E3FEC4A7"/>
    <w:rsid w:val="E5EF5960"/>
    <w:rsid w:val="E65F4FEA"/>
    <w:rsid w:val="E6BDCEA5"/>
    <w:rsid w:val="E78778FE"/>
    <w:rsid w:val="E7F9640A"/>
    <w:rsid w:val="E9EF4B41"/>
    <w:rsid w:val="EA7D6513"/>
    <w:rsid w:val="EADFA3EB"/>
    <w:rsid w:val="EAEDE282"/>
    <w:rsid w:val="EB3F66D7"/>
    <w:rsid w:val="EB7F4268"/>
    <w:rsid w:val="EBAF1881"/>
    <w:rsid w:val="EBCFB120"/>
    <w:rsid w:val="EBE7E372"/>
    <w:rsid w:val="ED5D11E8"/>
    <w:rsid w:val="ED7EC43A"/>
    <w:rsid w:val="EDBF0D76"/>
    <w:rsid w:val="EDE77CF9"/>
    <w:rsid w:val="EE6B4D30"/>
    <w:rsid w:val="EE7BB7E6"/>
    <w:rsid w:val="EE7D0737"/>
    <w:rsid w:val="EEEB4E60"/>
    <w:rsid w:val="EEF71788"/>
    <w:rsid w:val="EF6EEDC2"/>
    <w:rsid w:val="EF7F1F11"/>
    <w:rsid w:val="EFAFBB4C"/>
    <w:rsid w:val="EFBE88A8"/>
    <w:rsid w:val="EFBF5E6A"/>
    <w:rsid w:val="EFFED555"/>
    <w:rsid w:val="EFFFBB5F"/>
    <w:rsid w:val="F1AF277E"/>
    <w:rsid w:val="F366FB36"/>
    <w:rsid w:val="F3EF93A6"/>
    <w:rsid w:val="F4D78305"/>
    <w:rsid w:val="F4DEF50E"/>
    <w:rsid w:val="F53F4744"/>
    <w:rsid w:val="F56C31F1"/>
    <w:rsid w:val="F57EF7F4"/>
    <w:rsid w:val="F57F279D"/>
    <w:rsid w:val="F5CE1101"/>
    <w:rsid w:val="F69F996C"/>
    <w:rsid w:val="F6B21A78"/>
    <w:rsid w:val="F6C71174"/>
    <w:rsid w:val="F6F52635"/>
    <w:rsid w:val="F74D3754"/>
    <w:rsid w:val="F76AB6F5"/>
    <w:rsid w:val="F76B20DA"/>
    <w:rsid w:val="F7798584"/>
    <w:rsid w:val="F77D390D"/>
    <w:rsid w:val="F77DB7DC"/>
    <w:rsid w:val="F77EC47D"/>
    <w:rsid w:val="F77F2225"/>
    <w:rsid w:val="F77FEF75"/>
    <w:rsid w:val="F797E00E"/>
    <w:rsid w:val="F7D69C51"/>
    <w:rsid w:val="F7E753F4"/>
    <w:rsid w:val="F7EDA354"/>
    <w:rsid w:val="F7EF0D89"/>
    <w:rsid w:val="F7EFF84E"/>
    <w:rsid w:val="F7F555CE"/>
    <w:rsid w:val="F7FF27FE"/>
    <w:rsid w:val="F7FF8A9E"/>
    <w:rsid w:val="F87F93B7"/>
    <w:rsid w:val="F95F91B6"/>
    <w:rsid w:val="F9FB1457"/>
    <w:rsid w:val="FADD9146"/>
    <w:rsid w:val="FAEF71FA"/>
    <w:rsid w:val="FAEF788A"/>
    <w:rsid w:val="FAFB7A90"/>
    <w:rsid w:val="FAFB8652"/>
    <w:rsid w:val="FB5FD088"/>
    <w:rsid w:val="FB63F9CC"/>
    <w:rsid w:val="FB796F38"/>
    <w:rsid w:val="FB9DCCEC"/>
    <w:rsid w:val="FBD53AEE"/>
    <w:rsid w:val="FBD734AB"/>
    <w:rsid w:val="FBEBF590"/>
    <w:rsid w:val="FBFFD177"/>
    <w:rsid w:val="FBFFF2C3"/>
    <w:rsid w:val="FC7FCA52"/>
    <w:rsid w:val="FC9D9276"/>
    <w:rsid w:val="FCA798A2"/>
    <w:rsid w:val="FCAB01D6"/>
    <w:rsid w:val="FCB4857F"/>
    <w:rsid w:val="FCE7EAD3"/>
    <w:rsid w:val="FCEE1AE6"/>
    <w:rsid w:val="FCF36B02"/>
    <w:rsid w:val="FCF76FF7"/>
    <w:rsid w:val="FCFFB1B4"/>
    <w:rsid w:val="FD5F3CF4"/>
    <w:rsid w:val="FD75595F"/>
    <w:rsid w:val="FD7E9885"/>
    <w:rsid w:val="FD7FDF1D"/>
    <w:rsid w:val="FD8CB428"/>
    <w:rsid w:val="FDA6339C"/>
    <w:rsid w:val="FDB65C92"/>
    <w:rsid w:val="FDB9756F"/>
    <w:rsid w:val="FDBE21B1"/>
    <w:rsid w:val="FDBE85A8"/>
    <w:rsid w:val="FDE46CB1"/>
    <w:rsid w:val="FDF923D3"/>
    <w:rsid w:val="FDFD53FC"/>
    <w:rsid w:val="FE3F5DAF"/>
    <w:rsid w:val="FE5B3A2A"/>
    <w:rsid w:val="FE67A566"/>
    <w:rsid w:val="FE7B701E"/>
    <w:rsid w:val="FE7FCB25"/>
    <w:rsid w:val="FEAC9622"/>
    <w:rsid w:val="FEB5231B"/>
    <w:rsid w:val="FEB70834"/>
    <w:rsid w:val="FEBC7FB3"/>
    <w:rsid w:val="FEBF330D"/>
    <w:rsid w:val="FEEF345C"/>
    <w:rsid w:val="FEFA9D3B"/>
    <w:rsid w:val="FF2752D7"/>
    <w:rsid w:val="FF4F091B"/>
    <w:rsid w:val="FF6EAFF4"/>
    <w:rsid w:val="FF6F9641"/>
    <w:rsid w:val="FF7F1D70"/>
    <w:rsid w:val="FF7F592A"/>
    <w:rsid w:val="FF7FF022"/>
    <w:rsid w:val="FF979DD0"/>
    <w:rsid w:val="FF9AF79A"/>
    <w:rsid w:val="FFA7C673"/>
    <w:rsid w:val="FFAF1D34"/>
    <w:rsid w:val="FFAF1FEB"/>
    <w:rsid w:val="FFB24F13"/>
    <w:rsid w:val="FFB5A52C"/>
    <w:rsid w:val="FFBE4A35"/>
    <w:rsid w:val="FFBF0A0C"/>
    <w:rsid w:val="FFBF8231"/>
    <w:rsid w:val="FFC57C0C"/>
    <w:rsid w:val="FFCF3D84"/>
    <w:rsid w:val="FFD3D6DB"/>
    <w:rsid w:val="FFD668A0"/>
    <w:rsid w:val="FFDDCBC9"/>
    <w:rsid w:val="FFE7CB63"/>
    <w:rsid w:val="FFEC81D8"/>
    <w:rsid w:val="FFEDF56D"/>
    <w:rsid w:val="FFEF60A5"/>
    <w:rsid w:val="FFF0FB17"/>
    <w:rsid w:val="FFF3EB3C"/>
    <w:rsid w:val="FFF531F0"/>
    <w:rsid w:val="FFF58CA6"/>
    <w:rsid w:val="FFF5C43D"/>
    <w:rsid w:val="FFF8B39C"/>
    <w:rsid w:val="FFF9EAD7"/>
    <w:rsid w:val="FFFF038C"/>
    <w:rsid w:val="FFFF670A"/>
    <w:rsid w:val="FFFF71F6"/>
    <w:rsid w:val="FFFFA8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6" w:lineRule="auto"/>
      <w:outlineLvl w:val="0"/>
    </w:pPr>
    <w:rPr>
      <w:b/>
      <w:kern w:val="44"/>
      <w:sz w:val="44"/>
    </w:rPr>
  </w:style>
  <w:style w:type="paragraph" w:styleId="3">
    <w:name w:val="heading 2"/>
    <w:basedOn w:val="1"/>
    <w:next w:val="1"/>
    <w:unhideWhenUsed/>
    <w:qFormat/>
    <w:uiPriority w:val="0"/>
    <w:pPr>
      <w:keepNext/>
      <w:keepLines/>
      <w:numPr>
        <w:ilvl w:val="1"/>
        <w:numId w:val="1"/>
      </w:numPr>
      <w:spacing w:before="260" w:after="260" w:line="413" w:lineRule="auto"/>
      <w:outlineLvl w:val="1"/>
    </w:pPr>
    <w:rPr>
      <w:rFonts w:ascii="Arial" w:hAnsi="Arial" w:eastAsia="黑体"/>
      <w:b/>
      <w:sz w:val="32"/>
    </w:rPr>
  </w:style>
  <w:style w:type="paragraph" w:styleId="4">
    <w:name w:val="heading 3"/>
    <w:basedOn w:val="1"/>
    <w:next w:val="5"/>
    <w:qFormat/>
    <w:uiPriority w:val="0"/>
    <w:pPr>
      <w:keepNext/>
      <w:keepLines/>
      <w:numPr>
        <w:ilvl w:val="2"/>
        <w:numId w:val="1"/>
      </w:numPr>
      <w:tabs>
        <w:tab w:val="left" w:pos="720"/>
      </w:tabs>
      <w:spacing w:before="260" w:afterLines="50" w:line="413" w:lineRule="auto"/>
      <w:outlineLvl w:val="2"/>
    </w:pPr>
    <w:rPr>
      <w:rFonts w:ascii="???|CS?o｡ﾀ?" w:hAnsi="???|CS?o｡ﾀ?" w:eastAsia="Tahoma"/>
      <w:spacing w:val="20"/>
      <w:sz w:val="30"/>
    </w:rPr>
  </w:style>
  <w:style w:type="paragraph" w:styleId="6">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7">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8">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0">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12">
    <w:name w:val="annotation text"/>
    <w:basedOn w:val="1"/>
    <w:link w:val="26"/>
    <w:qFormat/>
    <w:uiPriority w:val="0"/>
    <w:pPr>
      <w:jc w:val="left"/>
    </w:pPr>
  </w:style>
  <w:style w:type="paragraph" w:styleId="13">
    <w:name w:val="Body Text"/>
    <w:basedOn w:val="1"/>
    <w:next w:val="1"/>
    <w:qFormat/>
    <w:uiPriority w:val="0"/>
    <w:pPr>
      <w:spacing w:after="120"/>
    </w:pPr>
    <w:rPr>
      <w:rFonts w:ascii="长城仿宋" w:hAnsi="长城仿宋" w:eastAsia="Arial Unicode MS"/>
    </w:rPr>
  </w:style>
  <w:style w:type="paragraph" w:styleId="14">
    <w:name w:val="footer"/>
    <w:basedOn w:val="1"/>
    <w:unhideWhenUsed/>
    <w:qFormat/>
    <w:uiPriority w:val="99"/>
    <w:pPr>
      <w:tabs>
        <w:tab w:val="center" w:pos="4153"/>
        <w:tab w:val="right" w:pos="8306"/>
      </w:tabs>
      <w:snapToGrid w:val="0"/>
      <w:jc w:val="left"/>
    </w:pPr>
    <w:rPr>
      <w:sz w:val="18"/>
      <w:szCs w:val="18"/>
    </w:rPr>
  </w:style>
  <w:style w:type="paragraph" w:styleId="1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2"/>
    <w:basedOn w:val="1"/>
    <w:next w:val="1"/>
    <w:qFormat/>
    <w:uiPriority w:val="39"/>
    <w:pPr>
      <w:tabs>
        <w:tab w:val="left" w:pos="1080"/>
        <w:tab w:val="right" w:leader="dot" w:pos="8302"/>
      </w:tabs>
      <w:spacing w:before="60" w:after="60" w:line="360" w:lineRule="auto"/>
      <w:ind w:left="1080" w:leftChars="150" w:hanging="720" w:hangingChars="360"/>
      <w:jc w:val="left"/>
    </w:pPr>
    <w:rPr>
      <w:rFonts w:ascii="Arial" w:hAnsi="Arial" w:eastAsia="宋体" w:cs="Times New Roman"/>
      <w:smallCaps/>
      <w:sz w:val="20"/>
      <w:szCs w:val="20"/>
    </w:rPr>
  </w:style>
  <w:style w:type="paragraph" w:styleId="17">
    <w:name w:val="Normal (Web)"/>
    <w:basedOn w:val="1"/>
    <w:qFormat/>
    <w:uiPriority w:val="99"/>
    <w:pPr>
      <w:widowControl/>
      <w:spacing w:afterLines="50"/>
      <w:jc w:val="left"/>
    </w:pPr>
    <w:rPr>
      <w:rFonts w:ascii="长城仿宋" w:hAnsi="长城仿宋" w:eastAsia="Arial Unicode MS"/>
      <w:sz w:val="24"/>
    </w:rPr>
  </w:style>
  <w:style w:type="paragraph" w:styleId="18">
    <w:name w:val="annotation subject"/>
    <w:basedOn w:val="12"/>
    <w:next w:val="12"/>
    <w:link w:val="27"/>
    <w:qFormat/>
    <w:uiPriority w:val="0"/>
    <w:rPr>
      <w:b/>
      <w:bCs/>
    </w:rPr>
  </w:style>
  <w:style w:type="paragraph" w:styleId="19">
    <w:name w:val="Body Text First Indent"/>
    <w:basedOn w:val="13"/>
    <w:qFormat/>
    <w:uiPriority w:val="0"/>
    <w:pPr>
      <w:ind w:firstLine="420" w:firstLineChars="100"/>
    </w:pPr>
  </w:style>
  <w:style w:type="table" w:styleId="21">
    <w:name w:val="Table Grid"/>
    <w:basedOn w:val="2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3">
    <w:name w:val="page number"/>
    <w:unhideWhenUsed/>
    <w:qFormat/>
    <w:uiPriority w:val="0"/>
    <w:rPr>
      <w:rFonts w:hint="default"/>
      <w:sz w:val="24"/>
      <w:szCs w:val="24"/>
    </w:rPr>
  </w:style>
  <w:style w:type="character" w:styleId="24">
    <w:name w:val="annotation reference"/>
    <w:basedOn w:val="22"/>
    <w:qFormat/>
    <w:uiPriority w:val="0"/>
    <w:rPr>
      <w:sz w:val="21"/>
      <w:szCs w:val="21"/>
    </w:rPr>
  </w:style>
  <w:style w:type="paragraph" w:customStyle="1" w:styleId="25">
    <w:name w:val="段"/>
    <w:next w:val="1"/>
    <w:qFormat/>
    <w:uiPriority w:val="0"/>
    <w:pPr>
      <w:autoSpaceDE w:val="0"/>
      <w:autoSpaceDN w:val="0"/>
      <w:spacing w:line="540" w:lineRule="exact"/>
      <w:ind w:firstLine="200" w:firstLineChars="200"/>
      <w:jc w:val="both"/>
    </w:pPr>
    <w:rPr>
      <w:rFonts w:ascii="宋体" w:hAnsi="Times New Roman" w:eastAsia="宋体" w:cs="Times New Roman"/>
      <w:sz w:val="21"/>
      <w:lang w:val="en-US" w:eastAsia="zh-CN" w:bidi="ar-SA"/>
    </w:rPr>
  </w:style>
  <w:style w:type="character" w:customStyle="1" w:styleId="26">
    <w:name w:val="批注文字 字符"/>
    <w:basedOn w:val="22"/>
    <w:link w:val="12"/>
    <w:qFormat/>
    <w:uiPriority w:val="0"/>
    <w:rPr>
      <w:rFonts w:asciiTheme="minorHAnsi" w:hAnsiTheme="minorHAnsi" w:eastAsiaTheme="minorEastAsia" w:cstheme="minorBidi"/>
      <w:kern w:val="2"/>
      <w:sz w:val="21"/>
      <w:szCs w:val="24"/>
    </w:rPr>
  </w:style>
  <w:style w:type="character" w:customStyle="1" w:styleId="27">
    <w:name w:val="批注主题 字符"/>
    <w:basedOn w:val="26"/>
    <w:link w:val="18"/>
    <w:qFormat/>
    <w:uiPriority w:val="0"/>
    <w:rPr>
      <w:rFonts w:asciiTheme="minorHAnsi" w:hAnsiTheme="minorHAnsi" w:eastAsiaTheme="minorEastAsia" w:cstheme="minorBidi"/>
      <w:b/>
      <w:bCs/>
      <w:kern w:val="2"/>
      <w:sz w:val="21"/>
      <w:szCs w:val="24"/>
    </w:rPr>
  </w:style>
  <w:style w:type="paragraph" w:styleId="28">
    <w:name w:val="List Paragraph"/>
    <w:basedOn w:val="1"/>
    <w:qFormat/>
    <w:uiPriority w:val="99"/>
    <w:pPr>
      <w:ind w:firstLine="420" w:firstLineChars="200"/>
    </w:pPr>
    <w:rPr>
      <w:rFonts w:ascii="Times New Roman" w:hAnsi="Times New Roman" w:eastAsia="宋体" w:cs="Times New Roman"/>
    </w:rPr>
  </w:style>
  <w:style w:type="paragraph" w:customStyle="1" w:styleId="29">
    <w:name w:val="修订1"/>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0">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1">
    <w:name w:val="修订3"/>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2">
    <w:name w:val="List Paragraph1"/>
    <w:basedOn w:val="1"/>
    <w:qFormat/>
    <w:uiPriority w:val="0"/>
    <w:pPr>
      <w:ind w:firstLine="42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4376</Words>
  <Characters>4503</Characters>
  <Lines>197</Lines>
  <Paragraphs>129</Paragraphs>
  <TotalTime>4</TotalTime>
  <ScaleCrop>false</ScaleCrop>
  <LinksUpToDate>false</LinksUpToDate>
  <CharactersWithSpaces>4517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2024-12-11T00:47:00Z</dcterms:created>
  <dc:creator>gczb-1</dc:creator>
  <cp:lastModifiedBy>5zxKS</cp:lastModifiedBy>
  <dcterms:modified xsi:type="dcterms:W3CDTF">2026-08-25T09:28:52Z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EFCA68A808C94D2C829A8E01CD8AE0EC_13</vt:lpwstr>
  </property>
  <property fmtid="{D5CDD505-2E9C-101B-9397-08002B2CF9AE}" pid="4" name="KSOTemplateDocerSaveRecord">
    <vt:lpwstr>eyJoZGlkIjoiNDg2NjE3Y2M1NmIxYmZiYWJhYjllMmQ0YTQ5NTNlMzgiLCJ1c2VySWQiOiI1ODQ3NTc3NjUifQ==</vt:lpwstr>
  </property>
</Properties>
</file>