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AE593">
      <w:pPr>
        <w:spacing w:after="360"/>
        <w:jc w:val="center"/>
        <w:rPr>
          <w:lang w:eastAsia="zh-CN"/>
        </w:rPr>
      </w:pPr>
      <w:r>
        <w:rPr>
          <w:rFonts w:hint="eastAsia" w:ascii="黑体" w:hAnsi="黑体" w:eastAsia="黑体"/>
          <w:b/>
          <w:color w:val="000000"/>
          <w:sz w:val="32"/>
          <w:lang w:val="en-US" w:eastAsia="zh-CN"/>
        </w:rPr>
        <w:t>某</w:t>
      </w:r>
      <w:r>
        <w:rPr>
          <w:rFonts w:ascii="黑体" w:hAnsi="黑体" w:eastAsia="黑体"/>
          <w:b/>
          <w:color w:val="000000"/>
          <w:sz w:val="32"/>
          <w:lang w:eastAsia="zh-CN"/>
        </w:rPr>
        <w:t>项目跨河连廊步行电梯及D栋货梯加装</w:t>
      </w:r>
      <w:r>
        <w:rPr>
          <w:rFonts w:ascii="黑体" w:hAnsi="黑体" w:eastAsia="黑体"/>
          <w:b/>
          <w:color w:val="000000"/>
          <w:sz w:val="32"/>
          <w:lang w:eastAsia="zh-CN"/>
        </w:rPr>
        <w:br w:type="textWrapping"/>
      </w:r>
      <w:r>
        <w:rPr>
          <w:rFonts w:ascii="黑体" w:hAnsi="黑体" w:eastAsia="黑体"/>
          <w:b/>
          <w:color w:val="000000"/>
          <w:sz w:val="32"/>
          <w:lang w:eastAsia="zh-CN"/>
        </w:rPr>
        <w:t>技术需求书</w:t>
      </w:r>
    </w:p>
    <w:p w14:paraId="2F291D92">
      <w:pPr>
        <w:spacing w:before="240" w:after="120"/>
        <w:rPr>
          <w:rFonts w:ascii="黑体" w:hAnsi="黑体" w:eastAsia="黑体"/>
          <w:sz w:val="24"/>
          <w:szCs w:val="24"/>
          <w:lang w:eastAsia="zh-CN"/>
        </w:rPr>
      </w:pPr>
      <w:r>
        <w:rPr>
          <w:rFonts w:ascii="黑体" w:hAnsi="黑体" w:eastAsia="黑体"/>
          <w:b/>
          <w:color w:val="000000"/>
          <w:sz w:val="24"/>
          <w:szCs w:val="24"/>
          <w:lang w:eastAsia="zh-CN"/>
        </w:rPr>
        <w:t>一、项目概况</w:t>
      </w:r>
    </w:p>
    <w:p w14:paraId="6B496AEE">
      <w:pPr>
        <w:spacing w:after="12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本项目包含两个子项：</w:t>
      </w:r>
    </w:p>
    <w:p w14:paraId="6C97537D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子项一：跨河连廊三层步行电梯（自动人行道）加装；</w:t>
      </w:r>
    </w:p>
    <w:p w14:paraId="36D82ADA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子项二：D栋3座预留货梯井道加装货梯。</w:t>
      </w:r>
      <w:bookmarkStart w:id="0" w:name="_GoBack"/>
      <w:bookmarkEnd w:id="0"/>
    </w:p>
    <w:p w14:paraId="593525B4">
      <w:pPr>
        <w:spacing w:before="240" w:after="120"/>
        <w:rPr>
          <w:rFonts w:ascii="黑体" w:hAnsi="黑体" w:eastAsia="黑体"/>
          <w:b/>
          <w:sz w:val="28"/>
          <w:szCs w:val="28"/>
          <w:lang w:eastAsia="zh-CN"/>
        </w:rPr>
      </w:pPr>
      <w:r>
        <w:rPr>
          <w:rFonts w:ascii="黑体" w:hAnsi="黑体" w:eastAsia="黑体"/>
          <w:b/>
          <w:color w:val="000000"/>
          <w:sz w:val="28"/>
          <w:szCs w:val="28"/>
          <w:lang w:eastAsia="zh-CN"/>
        </w:rPr>
        <w:t>二、子项一：连廊三层步行电梯（自动人行道）</w:t>
      </w:r>
    </w:p>
    <w:p w14:paraId="45F93ACB">
      <w:pPr>
        <w:spacing w:before="240" w:after="120"/>
        <w:rPr>
          <w:lang w:eastAsia="zh-CN"/>
        </w:rPr>
      </w:pPr>
      <w:r>
        <w:rPr>
          <w:rFonts w:ascii="黑体" w:hAnsi="黑体" w:eastAsia="黑体"/>
          <w:b/>
          <w:color w:val="000000"/>
          <w:sz w:val="24"/>
          <w:lang w:eastAsia="zh-CN"/>
        </w:rPr>
        <w:t>2.1 土建及结构条件（按图纸）</w:t>
      </w:r>
    </w:p>
    <w:tbl>
      <w:tblPr>
        <w:tblStyle w:val="3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87"/>
      </w:tblGrid>
      <w:tr w14:paraId="71BDB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C3F6602">
            <w:pPr>
              <w:spacing w:after="0" w:line="240" w:lineRule="auto"/>
            </w:pPr>
            <w:r>
              <w:rPr>
                <w:rFonts w:ascii="黑体" w:hAnsi="黑体" w:eastAsia="黑体"/>
                <w:b/>
                <w:color w:val="000000"/>
                <w:sz w:val="21"/>
              </w:rPr>
              <w:t>项目</w:t>
            </w:r>
          </w:p>
        </w:tc>
        <w:tc>
          <w:tcPr>
            <w:tcW w:w="7087" w:type="dxa"/>
          </w:tcPr>
          <w:p w14:paraId="0E8E1D79">
            <w:pPr>
              <w:spacing w:after="0" w:line="240" w:lineRule="auto"/>
            </w:pPr>
            <w:r>
              <w:rPr>
                <w:rFonts w:ascii="黑体" w:hAnsi="黑体" w:eastAsia="黑体"/>
                <w:b/>
                <w:color w:val="000000"/>
                <w:sz w:val="21"/>
              </w:rPr>
              <w:t>参数</w:t>
            </w:r>
          </w:p>
        </w:tc>
      </w:tr>
      <w:tr w14:paraId="70041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0BD8119C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安装位置</w:t>
            </w:r>
          </w:p>
        </w:tc>
        <w:tc>
          <w:tcPr>
            <w:tcW w:w="7087" w:type="dxa"/>
          </w:tcPr>
          <w:p w14:paraId="7F33292B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连廊三层南侧通道</w:t>
            </w:r>
          </w:p>
        </w:tc>
      </w:tr>
      <w:tr w14:paraId="62A94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15C89731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结构标高</w:t>
            </w:r>
          </w:p>
        </w:tc>
        <w:tc>
          <w:tcPr>
            <w:tcW w:w="7087" w:type="dxa"/>
          </w:tcPr>
          <w:p w14:paraId="0F688561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14.450m / 14.470m</w:t>
            </w:r>
          </w:p>
        </w:tc>
      </w:tr>
      <w:tr w14:paraId="4532C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26B9B525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通道净宽</w:t>
            </w:r>
          </w:p>
        </w:tc>
        <w:tc>
          <w:tcPr>
            <w:tcW w:w="7087" w:type="dxa"/>
          </w:tcPr>
          <w:p w14:paraId="6EAF76A4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1.7m</w:t>
            </w:r>
          </w:p>
        </w:tc>
      </w:tr>
      <w:tr w14:paraId="1FF8B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478CBEC2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设备类型</w:t>
            </w:r>
          </w:p>
        </w:tc>
        <w:tc>
          <w:tcPr>
            <w:tcW w:w="7087" w:type="dxa"/>
          </w:tcPr>
          <w:p w14:paraId="076DE639">
            <w:pPr>
              <w:spacing w:after="0" w:line="240" w:lineRule="auto"/>
              <w:rPr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水平自动人行道（倾角0°），双向运行</w:t>
            </w:r>
          </w:p>
        </w:tc>
      </w:tr>
      <w:tr w14:paraId="1D20F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0F04DE1A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梯级宽度</w:t>
            </w:r>
          </w:p>
        </w:tc>
        <w:tc>
          <w:tcPr>
            <w:tcW w:w="7087" w:type="dxa"/>
          </w:tcPr>
          <w:p w14:paraId="6D7E7375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1000mm</w:t>
            </w:r>
          </w:p>
        </w:tc>
      </w:tr>
      <w:tr w14:paraId="394EE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1E4F6CF6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运行速度</w:t>
            </w:r>
          </w:p>
        </w:tc>
        <w:tc>
          <w:tcPr>
            <w:tcW w:w="7087" w:type="dxa"/>
          </w:tcPr>
          <w:p w14:paraId="1A6024D0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0.5 m/s</w:t>
            </w:r>
          </w:p>
        </w:tc>
      </w:tr>
      <w:tr w14:paraId="4B7F2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7D9D7B4C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分段布置</w:t>
            </w:r>
          </w:p>
        </w:tc>
        <w:tc>
          <w:tcPr>
            <w:tcW w:w="7087" w:type="dxa"/>
          </w:tcPr>
          <w:p w14:paraId="044038D6">
            <w:pPr>
              <w:spacing w:after="0" w:line="240" w:lineRule="auto"/>
              <w:rPr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分3段布置（41m电梯段 + 33m平台段 + 27m电梯段）</w:t>
            </w:r>
          </w:p>
        </w:tc>
      </w:tr>
      <w:tr w14:paraId="6B7BA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7A8BFE35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承台（支墩）</w:t>
            </w:r>
          </w:p>
        </w:tc>
        <w:tc>
          <w:tcPr>
            <w:tcW w:w="7087" w:type="dxa"/>
          </w:tcPr>
          <w:p w14:paraId="2C966502">
            <w:pPr>
              <w:spacing w:after="0" w:line="240" w:lineRule="auto"/>
              <w:rPr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沿连廊方向通长布置，总长约110m，宽度2.8m，高度1.5m</w:t>
            </w:r>
          </w:p>
        </w:tc>
      </w:tr>
      <w:tr w14:paraId="62260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6D3F5F1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结构做法</w:t>
            </w:r>
          </w:p>
        </w:tc>
        <w:tc>
          <w:tcPr>
            <w:tcW w:w="7087" w:type="dxa"/>
          </w:tcPr>
          <w:p w14:paraId="5A958266">
            <w:pPr>
              <w:spacing w:after="0" w:line="240" w:lineRule="auto"/>
              <w:rPr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钢筋桁架楼承板 + 100mm厚C30混凝土；板筋双层双向</w:t>
            </w:r>
            <w:r>
              <w:rPr>
                <w:rFonts w:ascii="宋体" w:hAnsi="宋体" w:eastAsia="宋体"/>
                <w:color w:val="000000"/>
                <w:sz w:val="21"/>
              </w:rPr>
              <w:t>Φ</w:t>
            </w: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18@150</w:t>
            </w:r>
          </w:p>
        </w:tc>
      </w:tr>
      <w:tr w14:paraId="7E490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CA7ADF3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荷载</w:t>
            </w:r>
          </w:p>
        </w:tc>
        <w:tc>
          <w:tcPr>
            <w:tcW w:w="7087" w:type="dxa"/>
          </w:tcPr>
          <w:p w14:paraId="19466F09">
            <w:pPr>
              <w:spacing w:after="0" w:line="240" w:lineRule="auto"/>
              <w:rPr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附加恒荷载100kg/m²，活荷载350kg/m²；使用人数小于10人</w:t>
            </w:r>
          </w:p>
        </w:tc>
      </w:tr>
      <w:tr w14:paraId="55E43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567771AE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护栏/隔离</w:t>
            </w:r>
          </w:p>
        </w:tc>
        <w:tc>
          <w:tcPr>
            <w:tcW w:w="7087" w:type="dxa"/>
          </w:tcPr>
          <w:p w14:paraId="20E6D4A0">
            <w:pPr>
              <w:spacing w:after="0" w:line="240" w:lineRule="auto"/>
              <w:rPr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1.2m高精美不锈钢护栏（304不锈钢，板厚≥1.5mm，哑光发纹处理，焊缝打磨抛光），由</w:t>
            </w: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供应商</w:t>
            </w: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供货及安装</w:t>
            </w:r>
          </w:p>
        </w:tc>
      </w:tr>
      <w:tr w14:paraId="76C21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005A0F52">
            <w:pPr>
              <w:spacing w:after="0" w:line="240" w:lineRule="auto"/>
              <w:rPr>
                <w:rFonts w:ascii="宋体" w:hAnsi="宋体" w:eastAsia="宋体"/>
                <w:color w:val="000000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承台地面面层</w:t>
            </w:r>
          </w:p>
        </w:tc>
        <w:tc>
          <w:tcPr>
            <w:tcW w:w="7087" w:type="dxa"/>
          </w:tcPr>
          <w:p w14:paraId="1CD81390">
            <w:pPr>
              <w:spacing w:after="0" w:line="240" w:lineRule="auto"/>
              <w:rPr>
                <w:rFonts w:ascii="宋体" w:hAnsi="宋体" w:eastAsia="宋体"/>
                <w:color w:val="000000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精美地砖</w:t>
            </w:r>
          </w:p>
        </w:tc>
      </w:tr>
    </w:tbl>
    <w:p w14:paraId="1FE49DDD">
      <w:pPr>
        <w:spacing w:before="240" w:after="120"/>
        <w:jc w:val="center"/>
        <w:rPr>
          <w:rFonts w:ascii="黑体" w:hAnsi="黑体" w:eastAsia="黑体"/>
          <w:b/>
          <w:color w:val="000000"/>
          <w:sz w:val="24"/>
        </w:rPr>
      </w:pPr>
      <w:r>
        <w:rPr>
          <w:rFonts w:ascii="宋体" w:hAnsi="宋体" w:eastAsia="宋体"/>
          <w:sz w:val="28"/>
          <w:szCs w:val="28"/>
          <w:lang w:eastAsia="zh-CN"/>
        </w:rPr>
        <w:drawing>
          <wp:inline distT="0" distB="0" distL="0" distR="0">
            <wp:extent cx="4845685" cy="3311525"/>
            <wp:effectExtent l="0" t="0" r="0" b="3175"/>
            <wp:docPr id="2" name="图片 2" descr="C:\Users\Administrator\xwechat_files\danielle0120_6636\temp\InputTemp\1fb933e5-3f2a-491c-afe8-800e65d1e7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xwechat_files\danielle0120_6636\temp\InputTemp\1fb933e5-3f2a-491c-afe8-800e65d1e7e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3818" cy="3323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52F9D">
      <w:pPr>
        <w:spacing w:before="240" w:after="120"/>
        <w:jc w:val="center"/>
        <w:rPr>
          <w:rFonts w:ascii="黑体" w:hAnsi="黑体" w:eastAsia="黑体"/>
          <w:b/>
          <w:color w:val="000000"/>
          <w:sz w:val="24"/>
        </w:rPr>
      </w:pPr>
      <w:r>
        <w:rPr>
          <w:rFonts w:ascii="宋体" w:hAnsi="宋体" w:eastAsia="宋体"/>
          <w:sz w:val="28"/>
          <w:szCs w:val="28"/>
          <w:lang w:eastAsia="zh-CN"/>
        </w:rPr>
        <w:drawing>
          <wp:inline distT="0" distB="0" distL="0" distR="0">
            <wp:extent cx="4825365" cy="42608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1454" cy="4275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304D7">
      <w:pPr>
        <w:spacing w:before="240" w:after="120"/>
        <w:rPr>
          <w:rFonts w:ascii="黑体" w:hAnsi="黑体" w:eastAsia="黑体"/>
          <w:b/>
          <w:color w:val="000000"/>
          <w:sz w:val="24"/>
        </w:rPr>
      </w:pPr>
    </w:p>
    <w:p w14:paraId="0D949BC4">
      <w:pPr>
        <w:spacing w:before="240" w:after="120"/>
      </w:pPr>
      <w:r>
        <w:rPr>
          <w:rFonts w:ascii="黑体" w:hAnsi="黑体" w:eastAsia="黑体"/>
          <w:b/>
          <w:color w:val="000000"/>
          <w:sz w:val="24"/>
        </w:rPr>
        <w:t>2.2 设备技术要求</w:t>
      </w:r>
    </w:p>
    <w:p w14:paraId="415489BD">
      <w:pPr>
        <w:pStyle w:val="14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驱动控制：采用VVVF变频调速系统，具备待机节能模式，支持无人通行延时降速/待机休眠；梯级采用铝合金防滑梯级，扶手带选用阻燃耐磨型。</w:t>
      </w:r>
    </w:p>
    <w:p w14:paraId="78392C69">
      <w:pPr>
        <w:pStyle w:val="14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桁架应做防腐处理，电气部件防护等级不低于IP54。</w:t>
      </w:r>
    </w:p>
    <w:p w14:paraId="4CBC7B12">
      <w:pPr>
        <w:pStyle w:val="14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安全保护装置须全部满足GB 16899-2011规范：附加制动器、超速保护、逆转保护、梯级缺失/下陷保护；围裙板防夹装置、扶手带测速、扶手带入口保护；两端及中间间隔布置紧急停止按钮；自动链条润滑装置、静电消除装置、相序/过载保护、制停距离监控、检修运行模式及配套检修盒。</w:t>
      </w:r>
    </w:p>
    <w:p w14:paraId="1011164C">
      <w:pPr>
        <w:pStyle w:val="14"/>
        <w:numPr>
          <w:ilvl w:val="0"/>
          <w:numId w:val="0"/>
        </w:numPr>
        <w:spacing w:after="80" w:line="360" w:lineRule="auto"/>
        <w:rPr>
          <w:lang w:eastAsia="zh-CN"/>
        </w:rPr>
      </w:pPr>
      <w:r>
        <w:rPr>
          <w:rFonts w:ascii="黑体" w:hAnsi="黑体" w:eastAsia="黑体"/>
          <w:b/>
          <w:color w:val="000000"/>
          <w:sz w:val="24"/>
        </w:rPr>
        <w:t>2.3 供货及安装范围</w:t>
      </w:r>
    </w:p>
    <w:p w14:paraId="3338E6CB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自动人行道设备本体（含桁架、驱动、梯级、扶手带、控制柜）；</w:t>
      </w:r>
    </w:p>
    <w:p w14:paraId="74933619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设备范围内与土建承台/支墩连接件及预埋件；</w:t>
      </w:r>
    </w:p>
    <w:p w14:paraId="6E5B1FB8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1.2m高精美不锈钢护栏（含供货及安装）；</w:t>
      </w:r>
    </w:p>
    <w:p w14:paraId="3723CD9F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成品保护、现场安装垃圾清运、既有建筑破损修复；</w:t>
      </w:r>
    </w:p>
    <w:p w14:paraId="21811392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全套竣工资料编制、</w:t>
      </w:r>
      <w:r>
        <w:rPr>
          <w:rFonts w:hint="eastAsia" w:ascii="宋体" w:hAnsi="宋体" w:eastAsia="宋体"/>
          <w:color w:val="000000"/>
          <w:sz w:val="21"/>
          <w:lang w:eastAsia="zh-CN"/>
        </w:rPr>
        <w:t>招标人</w:t>
      </w:r>
      <w:r>
        <w:rPr>
          <w:rFonts w:ascii="宋体" w:hAnsi="宋体" w:eastAsia="宋体"/>
          <w:color w:val="000000"/>
          <w:sz w:val="21"/>
          <w:lang w:eastAsia="zh-CN"/>
        </w:rPr>
        <w:t>运维人员操作维保培训；</w:t>
      </w:r>
    </w:p>
    <w:p w14:paraId="666865FA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设备调试、报装、验收、取证（特种设备使用登记证）。</w:t>
      </w:r>
    </w:p>
    <w:p w14:paraId="5C7EC507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267F5A97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2D0BEA52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7E7A0E57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7CA550F8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6CEE084C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348612B6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3A172864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3EB5337E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4B39FC85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6B0A347F">
      <w:pPr>
        <w:spacing w:before="240" w:after="120"/>
        <w:rPr>
          <w:rFonts w:ascii="黑体" w:hAnsi="黑体" w:eastAsia="黑体"/>
          <w:b/>
          <w:color w:val="000000"/>
          <w:sz w:val="24"/>
          <w:szCs w:val="24"/>
          <w:lang w:eastAsia="zh-CN"/>
        </w:rPr>
      </w:pPr>
    </w:p>
    <w:p w14:paraId="535BF6D0">
      <w:pPr>
        <w:spacing w:before="240" w:after="120"/>
        <w:rPr>
          <w:rFonts w:ascii="黑体" w:hAnsi="黑体" w:eastAsia="黑体"/>
          <w:sz w:val="28"/>
          <w:szCs w:val="28"/>
          <w:lang w:eastAsia="zh-CN"/>
        </w:rPr>
      </w:pPr>
      <w:r>
        <w:rPr>
          <w:rFonts w:ascii="黑体" w:hAnsi="黑体" w:eastAsia="黑体"/>
          <w:b/>
          <w:color w:val="000000"/>
          <w:sz w:val="28"/>
          <w:szCs w:val="28"/>
          <w:lang w:eastAsia="zh-CN"/>
        </w:rPr>
        <w:t>三、子项二：D栋货梯（3座）</w:t>
      </w:r>
    </w:p>
    <w:p w14:paraId="02FAF8DF">
      <w:pPr>
        <w:spacing w:before="240" w:after="120"/>
      </w:pPr>
      <w:r>
        <w:rPr>
          <w:rFonts w:ascii="黑体" w:hAnsi="黑体" w:eastAsia="黑体"/>
          <w:b/>
          <w:color w:val="000000"/>
          <w:sz w:val="24"/>
        </w:rPr>
        <w:t>3.1 土建条件（按图纸）</w:t>
      </w:r>
    </w:p>
    <w:tbl>
      <w:tblPr>
        <w:tblStyle w:val="3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5697"/>
      </w:tblGrid>
      <w:tr w14:paraId="58B0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31396C0A">
            <w:pPr>
              <w:spacing w:after="0" w:line="240" w:lineRule="auto"/>
            </w:pPr>
            <w:r>
              <w:rPr>
                <w:rFonts w:ascii="黑体" w:hAnsi="黑体" w:eastAsia="黑体"/>
                <w:b/>
                <w:color w:val="000000"/>
                <w:sz w:val="21"/>
              </w:rPr>
              <w:t>项目</w:t>
            </w:r>
          </w:p>
        </w:tc>
        <w:tc>
          <w:tcPr>
            <w:tcW w:w="5697" w:type="dxa"/>
          </w:tcPr>
          <w:p w14:paraId="33E6E81D">
            <w:pPr>
              <w:spacing w:after="0" w:line="240" w:lineRule="auto"/>
            </w:pPr>
            <w:r>
              <w:rPr>
                <w:rFonts w:ascii="黑体" w:hAnsi="黑体" w:eastAsia="黑体"/>
                <w:b/>
                <w:color w:val="000000"/>
                <w:sz w:val="21"/>
              </w:rPr>
              <w:t>参数</w:t>
            </w:r>
          </w:p>
        </w:tc>
      </w:tr>
      <w:tr w14:paraId="53D8C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349B8F60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井道编号</w:t>
            </w:r>
          </w:p>
        </w:tc>
        <w:tc>
          <w:tcPr>
            <w:tcW w:w="5697" w:type="dxa"/>
          </w:tcPr>
          <w:p w14:paraId="765A778F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DT4-2、DT4-3、DT4-4（共3座）</w:t>
            </w:r>
          </w:p>
        </w:tc>
      </w:tr>
      <w:tr w14:paraId="0EC04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5AD7BBB3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井道净尺寸</w:t>
            </w:r>
          </w:p>
        </w:tc>
        <w:tc>
          <w:tcPr>
            <w:tcW w:w="5697" w:type="dxa"/>
          </w:tcPr>
          <w:p w14:paraId="4D287E18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4000mm（宽）× 4000mm（深）</w:t>
            </w:r>
          </w:p>
        </w:tc>
      </w:tr>
      <w:tr w14:paraId="62BCA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0151768D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底坑结构标高</w:t>
            </w:r>
          </w:p>
        </w:tc>
        <w:tc>
          <w:tcPr>
            <w:tcW w:w="5697" w:type="dxa"/>
          </w:tcPr>
          <w:p w14:paraId="1996C48B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-2.000m</w:t>
            </w:r>
          </w:p>
        </w:tc>
      </w:tr>
      <w:tr w14:paraId="6193E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4183914F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层站</w:t>
            </w:r>
          </w:p>
        </w:tc>
        <w:tc>
          <w:tcPr>
            <w:tcW w:w="5697" w:type="dxa"/>
          </w:tcPr>
          <w:p w14:paraId="18F0D5CA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8层站（1F ~ 8F）</w:t>
            </w:r>
          </w:p>
        </w:tc>
      </w:tr>
      <w:tr w14:paraId="298E3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237EBE0E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提升高度</w:t>
            </w:r>
          </w:p>
        </w:tc>
        <w:tc>
          <w:tcPr>
            <w:tcW w:w="5697" w:type="dxa"/>
          </w:tcPr>
          <w:p w14:paraId="6B99DC0A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约38.0m（1F ±0.000 ~ 8F 38.000m）</w:t>
            </w:r>
          </w:p>
        </w:tc>
      </w:tr>
      <w:tr w14:paraId="1849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6B2E3DF0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机房位置</w:t>
            </w:r>
          </w:p>
        </w:tc>
        <w:tc>
          <w:tcPr>
            <w:tcW w:w="5697" w:type="dxa"/>
          </w:tcPr>
          <w:p w14:paraId="2901117F">
            <w:pPr>
              <w:spacing w:after="0" w:line="240" w:lineRule="auto"/>
              <w:rPr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屋顶层（RF），结构标高43.250m，已预留机房</w:t>
            </w:r>
          </w:p>
        </w:tc>
      </w:tr>
      <w:tr w14:paraId="06182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43485B7F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电梯类型</w:t>
            </w:r>
          </w:p>
        </w:tc>
        <w:tc>
          <w:tcPr>
            <w:tcW w:w="5697" w:type="dxa"/>
          </w:tcPr>
          <w:p w14:paraId="188DCAF3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有机房货梯</w:t>
            </w:r>
          </w:p>
        </w:tc>
      </w:tr>
      <w:tr w14:paraId="5C8C2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3B99C232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参考载重</w:t>
            </w:r>
          </w:p>
        </w:tc>
        <w:tc>
          <w:tcPr>
            <w:tcW w:w="5697" w:type="dxa"/>
          </w:tcPr>
          <w:p w14:paraId="0B4E1AA8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5000 kg</w:t>
            </w:r>
          </w:p>
        </w:tc>
      </w:tr>
      <w:tr w14:paraId="754D0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04C95702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参考速度</w:t>
            </w:r>
          </w:p>
        </w:tc>
        <w:tc>
          <w:tcPr>
            <w:tcW w:w="5697" w:type="dxa"/>
          </w:tcPr>
          <w:p w14:paraId="574C468A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1.0 m/s</w:t>
            </w:r>
          </w:p>
        </w:tc>
      </w:tr>
      <w:tr w14:paraId="652F0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227CCA41">
            <w:pPr>
              <w:spacing w:after="0" w:line="240" w:lineRule="auto"/>
            </w:pPr>
            <w:r>
              <w:rPr>
                <w:rFonts w:ascii="宋体" w:hAnsi="宋体" w:eastAsia="宋体"/>
                <w:color w:val="000000"/>
                <w:sz w:val="21"/>
              </w:rPr>
              <w:t>层门</w:t>
            </w:r>
          </w:p>
        </w:tc>
        <w:tc>
          <w:tcPr>
            <w:tcW w:w="5697" w:type="dxa"/>
          </w:tcPr>
          <w:p w14:paraId="3C7B7FF4">
            <w:pPr>
              <w:spacing w:after="0" w:line="240" w:lineRule="auto"/>
              <w:rPr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厂家根据井道条件设计开门尺寸及方向</w:t>
            </w:r>
          </w:p>
        </w:tc>
      </w:tr>
      <w:tr w14:paraId="751FF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354A6275">
            <w:pPr>
              <w:spacing w:after="0" w:line="240" w:lineRule="auto"/>
              <w:rPr>
                <w:rFonts w:ascii="宋体" w:hAnsi="宋体" w:eastAsia="宋体"/>
                <w:color w:val="000000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轿厢</w:t>
            </w:r>
          </w:p>
        </w:tc>
        <w:tc>
          <w:tcPr>
            <w:tcW w:w="5697" w:type="dxa"/>
          </w:tcPr>
          <w:p w14:paraId="6DF47D20">
            <w:pPr>
              <w:spacing w:after="0" w:line="240" w:lineRule="auto"/>
              <w:rPr>
                <w:rFonts w:ascii="宋体" w:hAnsi="宋体" w:eastAsia="宋体"/>
                <w:color w:val="000000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可同时放置4块托盘（托盘1</w:t>
            </w:r>
            <w:r>
              <w:rPr>
                <w:rFonts w:ascii="宋体" w:hAnsi="宋体" w:eastAsia="宋体"/>
                <w:color w:val="000000"/>
                <w:sz w:val="21"/>
                <w:lang w:eastAsia="zh-CN"/>
              </w:rPr>
              <w:t>200mm*1000mm</w:t>
            </w: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）</w:t>
            </w:r>
          </w:p>
        </w:tc>
      </w:tr>
    </w:tbl>
    <w:p w14:paraId="06FEF245">
      <w:pPr>
        <w:pStyle w:val="16"/>
        <w:numPr>
          <w:ilvl w:val="0"/>
          <w:numId w:val="0"/>
        </w:numPr>
        <w:ind w:firstLine="840" w:firstLineChars="300"/>
        <w:jc w:val="center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  <w:lang w:eastAsia="zh-CN"/>
        </w:rPr>
        <w:drawing>
          <wp:inline distT="0" distB="0" distL="0" distR="0">
            <wp:extent cx="4156710" cy="2743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0696" cy="2798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01CB1">
      <w:pPr>
        <w:pStyle w:val="16"/>
        <w:numPr>
          <w:ilvl w:val="0"/>
          <w:numId w:val="0"/>
        </w:numPr>
        <w:ind w:left="220" w:leftChars="100" w:firstLine="1120" w:firstLineChars="4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  <w:lang w:eastAsia="zh-CN"/>
        </w:rPr>
        <w:drawing>
          <wp:inline distT="0" distB="0" distL="0" distR="0">
            <wp:extent cx="4236720" cy="234823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9233" cy="2371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ED855">
      <w:pPr>
        <w:pStyle w:val="16"/>
        <w:numPr>
          <w:ilvl w:val="0"/>
          <w:numId w:val="0"/>
        </w:numPr>
        <w:jc w:val="center"/>
        <w:rPr>
          <w:rFonts w:ascii="宋体" w:hAnsi="宋体" w:eastAsia="宋体" w:cs="微软雅黑"/>
          <w:b/>
          <w:sz w:val="21"/>
          <w:szCs w:val="21"/>
          <w:lang w:eastAsia="zh-CN"/>
        </w:rPr>
      </w:pPr>
      <w:r>
        <w:rPr>
          <w:rFonts w:hint="eastAsia" w:ascii="宋体" w:hAnsi="宋体" w:eastAsia="宋体" w:cs="微软雅黑"/>
          <w:b/>
          <w:sz w:val="21"/>
          <w:szCs w:val="21"/>
          <w:lang w:eastAsia="zh-CN"/>
        </w:rPr>
        <w:t>红线部分</w:t>
      </w:r>
      <w:r>
        <w:rPr>
          <w:rFonts w:ascii="宋体" w:hAnsi="宋体" w:eastAsia="宋体" w:cs="微软雅黑"/>
          <w:b/>
          <w:sz w:val="21"/>
          <w:szCs w:val="21"/>
          <w:lang w:eastAsia="zh-CN"/>
        </w:rPr>
        <w:t>3台货梯</w:t>
      </w:r>
    </w:p>
    <w:p w14:paraId="755B79EE">
      <w:pPr>
        <w:spacing w:before="240" w:after="120"/>
        <w:rPr>
          <w:lang w:eastAsia="zh-CN"/>
        </w:rPr>
      </w:pPr>
      <w:r>
        <w:rPr>
          <w:rFonts w:ascii="黑体" w:hAnsi="黑体" w:eastAsia="黑体"/>
          <w:b/>
          <w:color w:val="000000"/>
          <w:sz w:val="24"/>
          <w:lang w:eastAsia="zh-CN"/>
        </w:rPr>
        <w:t>3.2设备技术要求</w:t>
      </w:r>
    </w:p>
    <w:p w14:paraId="35E1D09F">
      <w:pPr>
        <w:pStyle w:val="14"/>
        <w:numPr>
          <w:ilvl w:val="0"/>
          <w:numId w:val="0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b/>
          <w:color w:val="000000"/>
          <w:sz w:val="21"/>
          <w:lang w:eastAsia="zh-CN"/>
        </w:rPr>
        <w:t>1.</w:t>
      </w:r>
      <w:r>
        <w:rPr>
          <w:rFonts w:ascii="宋体" w:hAnsi="宋体" w:eastAsia="宋体"/>
          <w:color w:val="000000"/>
          <w:sz w:val="21"/>
          <w:lang w:eastAsia="zh-CN"/>
        </w:rPr>
        <w:t>驱动控制：曳引驱动，全电脑集选控制，VVVF变频调速；轿厢、厅门采用发纹不锈钢面板；轿厢地坎、厅门地坎采用耐磨加强型，适配叉车货物搬运；轿厢预留防撞护板安装条件。</w:t>
      </w:r>
    </w:p>
    <w:p w14:paraId="6EBF0562">
      <w:pPr>
        <w:pStyle w:val="14"/>
        <w:numPr>
          <w:ilvl w:val="0"/>
          <w:numId w:val="0"/>
        </w:numPr>
        <w:spacing w:after="80" w:line="360" w:lineRule="auto"/>
        <w:rPr>
          <w:lang w:eastAsia="zh-CN"/>
        </w:rPr>
      </w:pPr>
      <w:r>
        <w:rPr>
          <w:rFonts w:hint="eastAsia" w:ascii="宋体" w:hAnsi="宋体" w:eastAsia="宋体"/>
          <w:b/>
          <w:color w:val="000000"/>
          <w:sz w:val="21"/>
          <w:lang w:eastAsia="zh-CN"/>
        </w:rPr>
        <w:t>2</w:t>
      </w:r>
      <w:r>
        <w:rPr>
          <w:rFonts w:ascii="宋体" w:hAnsi="宋体" w:eastAsia="宋体"/>
          <w:b/>
          <w:color w:val="000000"/>
          <w:sz w:val="21"/>
          <w:lang w:eastAsia="zh-CN"/>
        </w:rPr>
        <w:t>.</w:t>
      </w:r>
      <w:r>
        <w:rPr>
          <w:rFonts w:ascii="宋体" w:hAnsi="宋体" w:eastAsia="宋体"/>
          <w:color w:val="000000"/>
          <w:sz w:val="21"/>
          <w:lang w:eastAsia="zh-CN"/>
        </w:rPr>
        <w:t>安全配置（满足TSG T7001-2023）：限速器-安全钳系统、液压缓冲器；超载报警、故障自诊断；机房紧急电动救援操作装置。</w:t>
      </w:r>
    </w:p>
    <w:p w14:paraId="45F0E2C3">
      <w:pPr>
        <w:pStyle w:val="14"/>
        <w:numPr>
          <w:ilvl w:val="0"/>
          <w:numId w:val="0"/>
        </w:numPr>
        <w:spacing w:after="80" w:line="360" w:lineRule="auto"/>
        <w:rPr>
          <w:lang w:eastAsia="zh-CN"/>
        </w:rPr>
      </w:pPr>
      <w:r>
        <w:rPr>
          <w:rFonts w:hint="eastAsia" w:ascii="宋体" w:hAnsi="宋体" w:eastAsia="宋体"/>
          <w:b/>
          <w:color w:val="000000"/>
          <w:sz w:val="21"/>
          <w:lang w:eastAsia="zh-CN"/>
        </w:rPr>
        <w:t>3</w:t>
      </w:r>
      <w:r>
        <w:rPr>
          <w:rFonts w:ascii="宋体" w:hAnsi="宋体" w:eastAsia="宋体"/>
          <w:b/>
          <w:color w:val="000000"/>
          <w:sz w:val="21"/>
          <w:lang w:eastAsia="zh-CN"/>
        </w:rPr>
        <w:t>.</w:t>
      </w:r>
      <w:r>
        <w:rPr>
          <w:rFonts w:ascii="宋体" w:hAnsi="宋体" w:eastAsia="宋体"/>
          <w:color w:val="000000"/>
          <w:sz w:val="21"/>
          <w:lang w:eastAsia="zh-CN"/>
        </w:rPr>
        <w:t>消防功能：具备消防迫降返回基站功能，接入消防联动控制器，火灾时自动迫降至指定楼层并开门锁梯。</w:t>
      </w:r>
    </w:p>
    <w:p w14:paraId="7246A5DE">
      <w:pPr>
        <w:pStyle w:val="14"/>
        <w:numPr>
          <w:ilvl w:val="0"/>
          <w:numId w:val="0"/>
        </w:numPr>
        <w:spacing w:after="80" w:line="360" w:lineRule="auto"/>
        <w:rPr>
          <w:lang w:eastAsia="zh-CN"/>
        </w:rPr>
      </w:pPr>
      <w:r>
        <w:rPr>
          <w:rFonts w:hint="eastAsia" w:ascii="宋体" w:hAnsi="宋体" w:eastAsia="宋体"/>
          <w:b/>
          <w:color w:val="000000"/>
          <w:sz w:val="21"/>
          <w:lang w:eastAsia="zh-CN"/>
        </w:rPr>
        <w:t>4</w:t>
      </w:r>
      <w:r>
        <w:rPr>
          <w:rFonts w:ascii="宋体" w:hAnsi="宋体" w:eastAsia="宋体"/>
          <w:b/>
          <w:color w:val="000000"/>
          <w:sz w:val="21"/>
          <w:lang w:eastAsia="zh-CN"/>
        </w:rPr>
        <w:t>.</w:t>
      </w:r>
      <w:r>
        <w:rPr>
          <w:rFonts w:ascii="宋体" w:hAnsi="宋体" w:eastAsia="宋体"/>
          <w:color w:val="000000"/>
          <w:sz w:val="21"/>
          <w:lang w:eastAsia="zh-CN"/>
        </w:rPr>
        <w:t>五方对讲系统：全套由</w:t>
      </w:r>
      <w:r>
        <w:rPr>
          <w:rFonts w:hint="eastAsia" w:ascii="宋体" w:hAnsi="宋体" w:eastAsia="宋体"/>
          <w:color w:val="000000"/>
          <w:sz w:val="21"/>
          <w:lang w:eastAsia="zh-CN"/>
        </w:rPr>
        <w:t>供应商</w:t>
      </w:r>
      <w:r>
        <w:rPr>
          <w:rFonts w:ascii="宋体" w:hAnsi="宋体" w:eastAsia="宋体"/>
          <w:color w:val="000000"/>
          <w:sz w:val="21"/>
          <w:lang w:eastAsia="zh-CN"/>
        </w:rPr>
        <w:t>供货、布线、安装；覆盖轿厢、轿顶、底坑、机房、园区监控值班室；有线式，具备断电应急工作能力，满足特检验收；轿厢预留监控摄像头安装点位及接口。</w:t>
      </w:r>
    </w:p>
    <w:p w14:paraId="0B4D4DEA">
      <w:pPr>
        <w:pStyle w:val="14"/>
        <w:numPr>
          <w:ilvl w:val="0"/>
          <w:numId w:val="0"/>
        </w:numPr>
        <w:spacing w:after="80" w:line="360" w:lineRule="auto"/>
        <w:ind w:left="360" w:hanging="360"/>
        <w:rPr>
          <w:rFonts w:ascii="宋体" w:hAnsi="宋体" w:eastAsia="宋体"/>
          <w:color w:val="000000"/>
          <w:sz w:val="21"/>
          <w:lang w:eastAsia="zh-CN"/>
        </w:rPr>
      </w:pPr>
      <w:r>
        <w:rPr>
          <w:rFonts w:hint="eastAsia" w:ascii="宋体" w:hAnsi="宋体" w:eastAsia="宋体"/>
          <w:b/>
          <w:color w:val="000000"/>
          <w:sz w:val="21"/>
          <w:lang w:eastAsia="zh-CN"/>
        </w:rPr>
        <w:t>5</w:t>
      </w:r>
      <w:r>
        <w:rPr>
          <w:rFonts w:ascii="宋体" w:hAnsi="宋体" w:eastAsia="宋体"/>
          <w:b/>
          <w:color w:val="000000"/>
          <w:sz w:val="21"/>
          <w:lang w:eastAsia="zh-CN"/>
        </w:rPr>
        <w:t>.</w:t>
      </w:r>
      <w:r>
        <w:rPr>
          <w:rFonts w:ascii="宋体" w:hAnsi="宋体" w:eastAsia="宋体"/>
          <w:color w:val="000000"/>
          <w:sz w:val="21"/>
          <w:lang w:eastAsia="zh-CN"/>
        </w:rPr>
        <w:t>接地：电梯全套系统设置完整PE保护接地，所有金属构件可靠接地，接地电阻满足国标要求。</w:t>
      </w:r>
    </w:p>
    <w:p w14:paraId="769DA77F">
      <w:pPr>
        <w:pStyle w:val="14"/>
        <w:numPr>
          <w:ilvl w:val="0"/>
          <w:numId w:val="0"/>
        </w:numPr>
        <w:spacing w:after="80" w:line="360" w:lineRule="auto"/>
        <w:ind w:left="360" w:hanging="360"/>
        <w:rPr>
          <w:lang w:eastAsia="zh-CN"/>
        </w:rPr>
      </w:pPr>
      <w:r>
        <w:rPr>
          <w:rFonts w:ascii="黑体" w:hAnsi="黑体" w:eastAsia="黑体"/>
          <w:b/>
          <w:color w:val="000000"/>
          <w:sz w:val="24"/>
          <w:lang w:eastAsia="zh-CN"/>
        </w:rPr>
        <w:t>3.3 供货及安装范围</w:t>
      </w:r>
    </w:p>
    <w:p w14:paraId="3969D2A0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货梯全套设备（含轿厢、曳引机、控制柜、门机、导轨、缓冲器、限速器等）；</w:t>
      </w:r>
    </w:p>
    <w:p w14:paraId="7845C104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井道内全部安装材料（导轨支架、线缆、随行电缆等）；</w:t>
      </w:r>
    </w:p>
    <w:p w14:paraId="4AF197B6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机房内工字钢梁、曳引机承重梁及设备布置，含承重梁深化设计、供货、安装，满足设备载荷；</w:t>
      </w:r>
    </w:p>
    <w:p w14:paraId="20680DF6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全套厅门、门套、内外操纵盘、整套五方对讲系统、井道照明、底坑插座、井道线槽线管及接地系统；</w:t>
      </w:r>
    </w:p>
    <w:p w14:paraId="5DE7AB30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井道及机房垃圾清运、成品保护；全套竣工资料、运维人员培训；</w:t>
      </w:r>
    </w:p>
    <w:p w14:paraId="01F4862B">
      <w:pPr>
        <w:pStyle w:val="16"/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设备调试、报装、验收、取证。</w:t>
      </w:r>
    </w:p>
    <w:p w14:paraId="623EC205">
      <w:pPr>
        <w:spacing w:before="240" w:after="120"/>
        <w:rPr>
          <w:rFonts w:ascii="黑体" w:hAnsi="黑体" w:eastAsia="黑体"/>
          <w:sz w:val="24"/>
          <w:szCs w:val="24"/>
          <w:lang w:eastAsia="zh-CN"/>
        </w:rPr>
      </w:pPr>
      <w:r>
        <w:rPr>
          <w:rFonts w:ascii="黑体" w:hAnsi="黑体" w:eastAsia="黑体"/>
          <w:b/>
          <w:color w:val="000000"/>
          <w:sz w:val="24"/>
          <w:szCs w:val="24"/>
          <w:lang w:eastAsia="zh-CN"/>
        </w:rPr>
        <w:t>四、电源及配电要求</w:t>
      </w:r>
    </w:p>
    <w:p w14:paraId="23C25B15">
      <w:pPr>
        <w:spacing w:after="120" w:line="360" w:lineRule="auto"/>
        <w:rPr>
          <w:lang w:eastAsia="zh-CN"/>
        </w:rPr>
      </w:pPr>
      <w:r>
        <w:rPr>
          <w:rFonts w:hint="eastAsia" w:ascii="宋体" w:hAnsi="宋体" w:eastAsia="宋体" w:cs="Segoe UI"/>
          <w:sz w:val="21"/>
          <w:szCs w:val="21"/>
          <w:shd w:val="clear" w:color="auto" w:fill="FFFFFF"/>
          <w:lang w:eastAsia="zh-CN"/>
        </w:rPr>
        <w:t>招标人</w:t>
      </w:r>
      <w:r>
        <w:rPr>
          <w:rFonts w:ascii="宋体" w:hAnsi="宋体" w:eastAsia="宋体" w:cs="Segoe UI"/>
          <w:sz w:val="21"/>
          <w:szCs w:val="21"/>
          <w:shd w:val="clear" w:color="auto" w:fill="FFFFFF"/>
          <w:lang w:eastAsia="zh-CN"/>
        </w:rPr>
        <w:t>在1楼配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电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房提供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电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源接入点，供应商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负责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从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该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接入点至自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动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人行道控制柜及</w:t>
      </w:r>
      <w:r>
        <w:rPr>
          <w:rFonts w:ascii="宋体" w:hAnsi="宋体" w:eastAsia="宋体" w:cs="Segoe UI"/>
          <w:sz w:val="21"/>
          <w:szCs w:val="21"/>
          <w:shd w:val="clear" w:color="auto" w:fill="FFFFFF"/>
          <w:lang w:eastAsia="zh-CN"/>
        </w:rPr>
        <w:t>D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栋</w:t>
      </w:r>
      <w:r>
        <w:rPr>
          <w:rFonts w:ascii="宋体" w:hAnsi="宋体" w:eastAsia="宋体" w:cs="Segoe UI"/>
          <w:sz w:val="21"/>
          <w:szCs w:val="21"/>
          <w:shd w:val="clear" w:color="auto" w:fill="FFFFFF"/>
          <w:lang w:eastAsia="zh-CN"/>
        </w:rPr>
        <w:t>3台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货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梯机房的全部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电缆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桥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架、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线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管、开关、配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电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箱等供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货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及安装，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费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用含在合同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总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价内。供应商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须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根据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图纸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及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现场实测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自行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计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算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电缆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用量，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电缆费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用包干，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结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算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时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不因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实际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用量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变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化而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调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整</w:t>
      </w:r>
      <w:r>
        <w:rPr>
          <w:rFonts w:ascii="Segoe UI" w:hAnsi="Segoe UI" w:cs="Segoe UI"/>
          <w:shd w:val="clear" w:color="auto" w:fill="FFFFFF"/>
          <w:lang w:eastAsia="zh-CN"/>
        </w:rPr>
        <w:t>。</w:t>
      </w:r>
      <w:r>
        <w:rPr>
          <w:rFonts w:ascii="宋体" w:hAnsi="宋体" w:eastAsia="宋体"/>
          <w:color w:val="000000"/>
          <w:sz w:val="21"/>
          <w:lang w:eastAsia="zh-CN"/>
        </w:rPr>
        <w:t>具体要求如下：</w:t>
      </w:r>
    </w:p>
    <w:p w14:paraId="6BD8C5B6">
      <w:pPr>
        <w:pStyle w:val="14"/>
        <w:numPr>
          <w:ilvl w:val="0"/>
          <w:numId w:val="7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自动人行道：</w:t>
      </w:r>
      <w:r>
        <w:rPr>
          <w:rFonts w:ascii="宋体" w:hAnsi="宋体" w:eastAsia="宋体" w:cs="Segoe UI"/>
          <w:sz w:val="21"/>
          <w:szCs w:val="21"/>
          <w:shd w:val="clear" w:color="auto" w:fill="FFFFFF"/>
          <w:lang w:eastAsia="zh-CN"/>
        </w:rPr>
        <w:t>自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动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人行道配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电须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接入建筑</w:t>
      </w:r>
      <w:r>
        <w:rPr>
          <w:rFonts w:ascii="宋体" w:hAnsi="宋体" w:eastAsia="宋体" w:cs="Segoe UI"/>
          <w:sz w:val="21"/>
          <w:szCs w:val="21"/>
          <w:shd w:val="clear" w:color="auto" w:fill="FFFFFF"/>
          <w:lang w:eastAsia="zh-CN"/>
        </w:rPr>
        <w:t>"切断非消防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电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源</w:t>
      </w:r>
      <w:r>
        <w:rPr>
          <w:rFonts w:ascii="宋体" w:hAnsi="宋体" w:eastAsia="宋体" w:cs="Segoe UI"/>
          <w:sz w:val="21"/>
          <w:szCs w:val="21"/>
          <w:shd w:val="clear" w:color="auto" w:fill="FFFFFF"/>
          <w:lang w:eastAsia="zh-CN"/>
        </w:rPr>
        <w:t>"系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统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，火灾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报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警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时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自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动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切断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电</w:t>
      </w:r>
      <w:r>
        <w:rPr>
          <w:rFonts w:ascii="宋体" w:hAnsi="宋体" w:eastAsia="宋体" w:cs="Segoe UI"/>
          <w:sz w:val="21"/>
          <w:szCs w:val="21"/>
          <w:shd w:val="clear" w:color="auto" w:fill="FFFFFF"/>
          <w:lang w:eastAsia="zh-CN"/>
        </w:rPr>
        <w:t>源</w:t>
      </w:r>
      <w:r>
        <w:rPr>
          <w:rFonts w:ascii="宋体" w:hAnsi="宋体" w:eastAsia="宋体"/>
          <w:color w:val="000000"/>
          <w:sz w:val="21"/>
          <w:lang w:eastAsia="zh-CN"/>
        </w:rPr>
        <w:t>。</w:t>
      </w:r>
    </w:p>
    <w:p w14:paraId="3ED9856C">
      <w:pPr>
        <w:pStyle w:val="14"/>
        <w:numPr>
          <w:ilvl w:val="0"/>
          <w:numId w:val="7"/>
        </w:numPr>
        <w:spacing w:after="80" w:line="360" w:lineRule="auto"/>
        <w:rPr>
          <w:lang w:eastAsia="zh-CN"/>
        </w:rPr>
      </w:pPr>
      <w:r>
        <w:rPr>
          <w:rFonts w:hint="eastAsia" w:ascii="宋体" w:hAnsi="宋体" w:eastAsia="宋体"/>
          <w:color w:val="000000"/>
          <w:sz w:val="21"/>
          <w:lang w:eastAsia="zh-CN"/>
        </w:rPr>
        <w:t>D</w:t>
      </w:r>
      <w:r>
        <w:rPr>
          <w:rFonts w:ascii="宋体" w:hAnsi="宋体" w:eastAsia="宋体"/>
          <w:color w:val="000000"/>
          <w:sz w:val="21"/>
          <w:lang w:eastAsia="zh-CN"/>
        </w:rPr>
        <w:t>栋货梯：</w:t>
      </w:r>
      <w:r>
        <w:rPr>
          <w:rFonts w:ascii="宋体" w:hAnsi="宋体" w:eastAsia="宋体" w:cs="Segoe UI"/>
          <w:sz w:val="21"/>
          <w:szCs w:val="21"/>
          <w:shd w:val="clear" w:color="auto" w:fill="FFFFFF"/>
          <w:lang w:eastAsia="zh-CN"/>
        </w:rPr>
        <w:t>D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栋货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梯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须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具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备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消防迫降功能，控制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线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路接入消防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联动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控制器，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实现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火灾自</w:t>
      </w:r>
      <w:r>
        <w:rPr>
          <w:rFonts w:hint="eastAsia" w:ascii="宋体" w:hAnsi="宋体" w:eastAsia="宋体" w:cs="微软雅黑"/>
          <w:sz w:val="21"/>
          <w:szCs w:val="21"/>
          <w:shd w:val="clear" w:color="auto" w:fill="FFFFFF"/>
          <w:lang w:eastAsia="zh-CN"/>
        </w:rPr>
        <w:t>动</w:t>
      </w:r>
      <w:r>
        <w:rPr>
          <w:rFonts w:hint="eastAsia" w:ascii="宋体" w:hAnsi="宋体" w:eastAsia="宋体" w:cs="Yu Gothic UI"/>
          <w:sz w:val="21"/>
          <w:szCs w:val="21"/>
          <w:shd w:val="clear" w:color="auto" w:fill="FFFFFF"/>
          <w:lang w:eastAsia="zh-CN"/>
        </w:rPr>
        <w:t>迫</w:t>
      </w:r>
      <w:r>
        <w:rPr>
          <w:rFonts w:ascii="宋体" w:hAnsi="宋体" w:eastAsia="宋体" w:cs="Segoe UI"/>
          <w:sz w:val="21"/>
          <w:szCs w:val="21"/>
          <w:shd w:val="clear" w:color="auto" w:fill="FFFFFF"/>
          <w:lang w:eastAsia="zh-CN"/>
        </w:rPr>
        <w:t>降</w:t>
      </w:r>
      <w:r>
        <w:rPr>
          <w:rFonts w:ascii="宋体" w:hAnsi="宋体" w:eastAsia="宋体"/>
          <w:color w:val="000000"/>
          <w:sz w:val="21"/>
          <w:lang w:eastAsia="zh-CN"/>
        </w:rPr>
        <w:t>。</w:t>
      </w:r>
    </w:p>
    <w:p w14:paraId="6CEEABBF">
      <w:pPr>
        <w:pStyle w:val="14"/>
        <w:numPr>
          <w:ilvl w:val="0"/>
          <w:numId w:val="7"/>
        </w:numPr>
        <w:spacing w:after="80" w:line="360" w:lineRule="auto"/>
        <w:rPr>
          <w:lang w:eastAsia="zh-CN"/>
        </w:rPr>
      </w:pPr>
      <w:r>
        <w:rPr>
          <w:rFonts w:hint="eastAsia" w:ascii="宋体" w:hAnsi="宋体" w:eastAsia="宋体"/>
          <w:color w:val="000000"/>
          <w:sz w:val="21"/>
          <w:lang w:eastAsia="zh-CN"/>
        </w:rPr>
        <w:t>供应商</w:t>
      </w:r>
      <w:r>
        <w:rPr>
          <w:rFonts w:ascii="宋体" w:hAnsi="宋体" w:eastAsia="宋体"/>
          <w:color w:val="000000"/>
          <w:sz w:val="21"/>
          <w:lang w:eastAsia="zh-CN"/>
        </w:rPr>
        <w:t>须在投标时提交用电负荷计算书及线缆规格，经</w:t>
      </w:r>
      <w:r>
        <w:rPr>
          <w:rFonts w:hint="eastAsia" w:ascii="宋体" w:hAnsi="宋体" w:eastAsia="宋体"/>
          <w:color w:val="000000"/>
          <w:sz w:val="21"/>
          <w:lang w:eastAsia="zh-CN"/>
        </w:rPr>
        <w:t>招标人</w:t>
      </w:r>
      <w:r>
        <w:rPr>
          <w:rFonts w:ascii="宋体" w:hAnsi="宋体" w:eastAsia="宋体"/>
          <w:color w:val="000000"/>
          <w:sz w:val="21"/>
          <w:lang w:eastAsia="zh-CN"/>
        </w:rPr>
        <w:t>确认后实施。</w:t>
      </w:r>
    </w:p>
    <w:p w14:paraId="269B6A81">
      <w:pPr>
        <w:spacing w:before="240" w:after="120"/>
        <w:rPr>
          <w:rFonts w:ascii="黑体" w:hAnsi="黑体" w:eastAsia="黑体"/>
          <w:sz w:val="24"/>
          <w:szCs w:val="24"/>
          <w:lang w:eastAsia="zh-CN"/>
        </w:rPr>
      </w:pPr>
      <w:r>
        <w:rPr>
          <w:rFonts w:ascii="黑体" w:hAnsi="黑体" w:eastAsia="黑体"/>
          <w:b/>
          <w:color w:val="000000"/>
          <w:sz w:val="24"/>
          <w:szCs w:val="24"/>
          <w:lang w:eastAsia="zh-CN"/>
        </w:rPr>
        <w:t>五、资质及投标要求</w:t>
      </w:r>
    </w:p>
    <w:p w14:paraId="4F6F6AE6">
      <w:pPr>
        <w:pStyle w:val="14"/>
        <w:numPr>
          <w:ilvl w:val="0"/>
          <w:numId w:val="8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制造商投标：须具备有效特种设备生产许可证，许可子项目需同时覆盖曳引驱动载货电梯制造（含安装修理）、自动人行道制造（含安装修理）。</w:t>
      </w:r>
    </w:p>
    <w:p w14:paraId="35F1B751">
      <w:pPr>
        <w:pStyle w:val="14"/>
        <w:numPr>
          <w:ilvl w:val="0"/>
          <w:numId w:val="8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代理商投标：须具备电梯安装（含修理）特种设备生产许可证，提供本项目厂家唯一专项授权书，原厂资质满足上述制造许可。</w:t>
      </w:r>
    </w:p>
    <w:p w14:paraId="02F4B389">
      <w:pPr>
        <w:pStyle w:val="14"/>
        <w:numPr>
          <w:ilvl w:val="0"/>
          <w:numId w:val="8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不接受联合体投标；同一制造商仅允许委托一家代理商参与本项目投标。</w:t>
      </w:r>
    </w:p>
    <w:p w14:paraId="1E207EC8">
      <w:pPr>
        <w:pStyle w:val="14"/>
        <w:numPr>
          <w:ilvl w:val="0"/>
          <w:numId w:val="8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投标阶段须提供自动人行道、5t货梯整机、限速器、安全钳、缓冲器型式试验证书。</w:t>
      </w:r>
    </w:p>
    <w:p w14:paraId="5CCE729A">
      <w:pPr>
        <w:pStyle w:val="14"/>
        <w:numPr>
          <w:ilvl w:val="0"/>
          <w:numId w:val="8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中标单位收到图纸后10日历天内完成现场实测复核，出具正式复核报告；若土建存在偏差出具书面土建整改清单提交</w:t>
      </w:r>
      <w:r>
        <w:rPr>
          <w:rFonts w:hint="eastAsia" w:ascii="宋体" w:hAnsi="宋体" w:eastAsia="宋体"/>
          <w:color w:val="000000"/>
          <w:sz w:val="21"/>
          <w:lang w:eastAsia="zh-CN"/>
        </w:rPr>
        <w:t>招标人</w:t>
      </w:r>
      <w:r>
        <w:rPr>
          <w:rFonts w:ascii="宋体" w:hAnsi="宋体" w:eastAsia="宋体"/>
          <w:color w:val="000000"/>
          <w:sz w:val="21"/>
          <w:lang w:eastAsia="zh-CN"/>
        </w:rPr>
        <w:t>，因</w:t>
      </w:r>
      <w:r>
        <w:rPr>
          <w:rFonts w:hint="eastAsia" w:ascii="宋体" w:hAnsi="宋体" w:eastAsia="宋体"/>
          <w:color w:val="000000"/>
          <w:sz w:val="21"/>
          <w:lang w:eastAsia="zh-CN"/>
        </w:rPr>
        <w:t>供应商</w:t>
      </w:r>
      <w:r>
        <w:rPr>
          <w:rFonts w:ascii="宋体" w:hAnsi="宋体" w:eastAsia="宋体"/>
          <w:color w:val="000000"/>
          <w:sz w:val="21"/>
          <w:lang w:eastAsia="zh-CN"/>
        </w:rPr>
        <w:t>复核失误造成的整改，全部费用由</w:t>
      </w:r>
      <w:r>
        <w:rPr>
          <w:rFonts w:hint="eastAsia" w:ascii="宋体" w:hAnsi="宋体" w:eastAsia="宋体"/>
          <w:color w:val="000000"/>
          <w:sz w:val="21"/>
          <w:lang w:eastAsia="zh-CN"/>
        </w:rPr>
        <w:t>供应商</w:t>
      </w:r>
      <w:r>
        <w:rPr>
          <w:rFonts w:ascii="宋体" w:hAnsi="宋体" w:eastAsia="宋体"/>
          <w:color w:val="000000"/>
          <w:sz w:val="21"/>
          <w:lang w:eastAsia="zh-CN"/>
        </w:rPr>
        <w:t>承担。</w:t>
      </w:r>
    </w:p>
    <w:p w14:paraId="062FD044">
      <w:pPr>
        <w:pStyle w:val="14"/>
        <w:numPr>
          <w:ilvl w:val="0"/>
          <w:numId w:val="8"/>
        </w:numPr>
        <w:spacing w:after="80" w:line="360" w:lineRule="auto"/>
        <w:rPr>
          <w:rFonts w:ascii="宋体" w:hAnsi="宋体" w:eastAsia="宋体"/>
          <w:color w:val="000000"/>
          <w:sz w:val="21"/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中标后</w:t>
      </w:r>
      <w:r>
        <w:rPr>
          <w:rFonts w:hint="eastAsia" w:ascii="宋体" w:hAnsi="宋体" w:eastAsia="宋体"/>
          <w:color w:val="000000"/>
          <w:sz w:val="21"/>
          <w:lang w:eastAsia="zh-CN"/>
        </w:rPr>
        <w:t>供应商</w:t>
      </w:r>
      <w:r>
        <w:rPr>
          <w:rFonts w:ascii="宋体" w:hAnsi="宋体" w:eastAsia="宋体"/>
          <w:color w:val="000000"/>
          <w:sz w:val="21"/>
          <w:lang w:eastAsia="zh-CN"/>
        </w:rPr>
        <w:t>提交深化施工图、预埋件图、机房布置图、承重梁施工图，经</w:t>
      </w:r>
      <w:r>
        <w:rPr>
          <w:rFonts w:hint="eastAsia" w:ascii="宋体" w:hAnsi="宋体" w:eastAsia="宋体"/>
          <w:color w:val="000000"/>
          <w:sz w:val="21"/>
          <w:lang w:eastAsia="zh-CN"/>
        </w:rPr>
        <w:t>招标人</w:t>
      </w:r>
      <w:r>
        <w:rPr>
          <w:rFonts w:ascii="宋体" w:hAnsi="宋体" w:eastAsia="宋体"/>
          <w:color w:val="000000"/>
          <w:sz w:val="21"/>
          <w:lang w:eastAsia="zh-CN"/>
        </w:rPr>
        <w:t>及设计确认后方可生产施工。</w:t>
      </w:r>
    </w:p>
    <w:p w14:paraId="48952C35">
      <w:pPr>
        <w:pStyle w:val="14"/>
        <w:numPr>
          <w:ilvl w:val="0"/>
          <w:numId w:val="8"/>
        </w:numPr>
        <w:spacing w:after="80" w:line="360" w:lineRule="auto"/>
        <w:rPr>
          <w:rStyle w:val="133"/>
          <w:b w:val="0"/>
          <w:bCs w:val="0"/>
          <w:lang w:eastAsia="zh-CN"/>
        </w:rPr>
      </w:pPr>
      <w:r>
        <w:rPr>
          <w:rStyle w:val="133"/>
          <w:rFonts w:ascii="宋体" w:hAnsi="宋体" w:eastAsia="宋体" w:cs="Segoe UI"/>
          <w:b w:val="0"/>
          <w:sz w:val="21"/>
          <w:szCs w:val="21"/>
          <w:shd w:val="clear" w:color="auto" w:fill="FFFFFF"/>
          <w:lang w:eastAsia="zh-CN"/>
        </w:rPr>
        <w:t>本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目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实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行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总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价包干，合同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总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价包含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设备费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、安装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、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电缆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及配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电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材料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、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报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装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验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收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、土建整改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、成品保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护费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、垃圾清运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、培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训费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、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质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保期内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维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保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等全部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费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用，除招标人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书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面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变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更外，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结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算不予</w:t>
      </w:r>
      <w:r>
        <w:rPr>
          <w:rStyle w:val="133"/>
          <w:rFonts w:hint="eastAsia" w:ascii="宋体" w:hAnsi="宋体" w:eastAsia="宋体" w:cs="微软雅黑"/>
          <w:b w:val="0"/>
          <w:sz w:val="21"/>
          <w:szCs w:val="21"/>
          <w:shd w:val="clear" w:color="auto" w:fill="FFFFFF"/>
          <w:lang w:eastAsia="zh-CN"/>
        </w:rPr>
        <w:t>调</w:t>
      </w:r>
      <w:r>
        <w:rPr>
          <w:rStyle w:val="133"/>
          <w:rFonts w:hint="eastAsia" w:ascii="宋体" w:hAnsi="宋体" w:eastAsia="宋体" w:cs="Yu Gothic UI"/>
          <w:b w:val="0"/>
          <w:sz w:val="21"/>
          <w:szCs w:val="21"/>
          <w:shd w:val="clear" w:color="auto" w:fill="FFFFFF"/>
          <w:lang w:eastAsia="zh-CN"/>
        </w:rPr>
        <w:t>整。</w:t>
      </w:r>
    </w:p>
    <w:p w14:paraId="1DAB9C53">
      <w:pPr>
        <w:pStyle w:val="14"/>
        <w:numPr>
          <w:ilvl w:val="0"/>
          <w:numId w:val="0"/>
        </w:numPr>
        <w:spacing w:after="80" w:line="360" w:lineRule="auto"/>
        <w:ind w:left="360"/>
        <w:rPr>
          <w:rStyle w:val="133"/>
          <w:b w:val="0"/>
          <w:bCs w:val="0"/>
          <w:lang w:eastAsia="zh-CN"/>
        </w:rPr>
      </w:pPr>
    </w:p>
    <w:p w14:paraId="17F6C19E">
      <w:pPr>
        <w:pStyle w:val="14"/>
        <w:numPr>
          <w:ilvl w:val="0"/>
          <w:numId w:val="0"/>
        </w:numPr>
        <w:spacing w:after="80" w:line="360" w:lineRule="auto"/>
        <w:rPr>
          <w:rFonts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 w:cs="微软雅黑"/>
          <w:b/>
          <w:color w:val="000000"/>
          <w:sz w:val="24"/>
          <w:szCs w:val="24"/>
          <w:lang w:eastAsia="zh-CN"/>
        </w:rPr>
        <w:t>六、验</w:t>
      </w:r>
      <w:r>
        <w:rPr>
          <w:rFonts w:hint="eastAsia" w:ascii="黑体" w:hAnsi="黑体" w:eastAsia="黑体" w:cs="Yu Gothic UI"/>
          <w:b/>
          <w:color w:val="000000"/>
          <w:sz w:val="24"/>
          <w:szCs w:val="24"/>
          <w:lang w:eastAsia="zh-CN"/>
        </w:rPr>
        <w:t>收及</w:t>
      </w:r>
      <w:r>
        <w:rPr>
          <w:rFonts w:hint="eastAsia" w:ascii="黑体" w:hAnsi="黑体" w:eastAsia="黑体" w:cs="微软雅黑"/>
          <w:b/>
          <w:color w:val="000000"/>
          <w:sz w:val="24"/>
          <w:szCs w:val="24"/>
          <w:lang w:eastAsia="zh-CN"/>
        </w:rPr>
        <w:t>资</w:t>
      </w:r>
      <w:r>
        <w:rPr>
          <w:rFonts w:hint="eastAsia" w:ascii="黑体" w:hAnsi="黑体" w:eastAsia="黑体" w:cs="Yu Gothic UI"/>
          <w:b/>
          <w:color w:val="000000"/>
          <w:sz w:val="24"/>
          <w:szCs w:val="24"/>
          <w:lang w:eastAsia="zh-CN"/>
        </w:rPr>
        <w:t>料交付</w:t>
      </w:r>
    </w:p>
    <w:p w14:paraId="02834F4C">
      <w:pPr>
        <w:pStyle w:val="14"/>
        <w:numPr>
          <w:ilvl w:val="0"/>
          <w:numId w:val="9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验收执行标准：GB 16899-2011、TSG T7001-2023及国家现行规范；</w:t>
      </w:r>
      <w:r>
        <w:rPr>
          <w:rFonts w:hint="eastAsia" w:ascii="宋体" w:hAnsi="宋体" w:eastAsia="宋体"/>
          <w:color w:val="000000"/>
          <w:sz w:val="21"/>
          <w:lang w:eastAsia="zh-CN"/>
        </w:rPr>
        <w:t>供应商</w:t>
      </w:r>
      <w:r>
        <w:rPr>
          <w:rFonts w:ascii="宋体" w:hAnsi="宋体" w:eastAsia="宋体"/>
          <w:color w:val="000000"/>
          <w:sz w:val="21"/>
          <w:lang w:eastAsia="zh-CN"/>
        </w:rPr>
        <w:t>全权负责报检，直至取得特种设备使用登记证，检验相关全部费用包含在合同总价。</w:t>
      </w:r>
    </w:p>
    <w:p w14:paraId="659C1DC2">
      <w:pPr>
        <w:pStyle w:val="14"/>
        <w:numPr>
          <w:ilvl w:val="0"/>
          <w:numId w:val="9"/>
        </w:numPr>
        <w:spacing w:after="80" w:line="360" w:lineRule="auto"/>
        <w:rPr>
          <w:rFonts w:ascii="宋体" w:hAnsi="宋体" w:eastAsia="宋体"/>
          <w:color w:val="000000"/>
          <w:sz w:val="21"/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竣工资料交付：纸质版4套 + 电子版U盘1套；含许可证、型式试验报告、设备合格证、安装自检记录、电气原理图、设备总图、操作手册、维保手册、监督检验报告、特种设备使用登记证复印件。</w:t>
      </w:r>
    </w:p>
    <w:p w14:paraId="5DBD8AAE">
      <w:pPr>
        <w:spacing w:before="240" w:after="120"/>
        <w:rPr>
          <w:rFonts w:ascii="黑体" w:hAnsi="黑体" w:eastAsia="黑体"/>
          <w:sz w:val="24"/>
          <w:szCs w:val="24"/>
          <w:lang w:eastAsia="zh-CN"/>
        </w:rPr>
      </w:pPr>
      <w:r>
        <w:rPr>
          <w:rFonts w:ascii="黑体" w:hAnsi="黑体" w:eastAsia="黑体"/>
          <w:b/>
          <w:color w:val="000000"/>
          <w:sz w:val="24"/>
          <w:szCs w:val="24"/>
          <w:lang w:eastAsia="zh-CN"/>
        </w:rPr>
        <w:t>七、售后服务及质保</w:t>
      </w:r>
    </w:p>
    <w:p w14:paraId="2BC56DEA">
      <w:pPr>
        <w:pStyle w:val="14"/>
        <w:numPr>
          <w:ilvl w:val="0"/>
          <w:numId w:val="10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整机质保不少于24个月，自特种设备监督检验合格并取得特种设备使用登记证之日起算；质保期内提供每月定期维保服务。</w:t>
      </w:r>
    </w:p>
    <w:p w14:paraId="1C95DA74">
      <w:pPr>
        <w:pStyle w:val="14"/>
        <w:numPr>
          <w:ilvl w:val="0"/>
          <w:numId w:val="10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货梯核心部件（曳引机、控制柜、限速器、安全钳、缓冲器）质保不少于3年。</w:t>
      </w:r>
    </w:p>
    <w:p w14:paraId="76DA6F00">
      <w:pPr>
        <w:pStyle w:val="14"/>
        <w:numPr>
          <w:ilvl w:val="0"/>
          <w:numId w:val="10"/>
        </w:numPr>
        <w:spacing w:after="80" w:line="360" w:lineRule="auto"/>
        <w:rPr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故障响应：接到报修30分钟响应，2小时到达项目现场；非人为损坏故障免费维修及更换配件。</w:t>
      </w:r>
    </w:p>
    <w:p w14:paraId="3F42F324">
      <w:pPr>
        <w:pStyle w:val="14"/>
        <w:numPr>
          <w:ilvl w:val="0"/>
          <w:numId w:val="10"/>
        </w:numPr>
        <w:spacing w:after="80" w:line="360" w:lineRule="auto"/>
        <w:rPr>
          <w:rFonts w:hint="eastAsia"/>
          <w:lang w:eastAsia="zh-CN"/>
        </w:rPr>
      </w:pPr>
      <w:r>
        <w:rPr>
          <w:rFonts w:ascii="宋体" w:hAnsi="宋体" w:eastAsia="宋体"/>
          <w:color w:val="000000"/>
          <w:sz w:val="21"/>
          <w:lang w:eastAsia="zh-CN"/>
        </w:rPr>
        <w:t>完成</w:t>
      </w:r>
      <w:r>
        <w:rPr>
          <w:rFonts w:hint="eastAsia" w:ascii="宋体" w:hAnsi="宋体" w:eastAsia="宋体"/>
          <w:color w:val="000000"/>
          <w:sz w:val="21"/>
          <w:lang w:eastAsia="zh-CN"/>
        </w:rPr>
        <w:t>招标人</w:t>
      </w:r>
      <w:r>
        <w:rPr>
          <w:rFonts w:ascii="宋体" w:hAnsi="宋体" w:eastAsia="宋体"/>
          <w:color w:val="000000"/>
          <w:sz w:val="21"/>
          <w:lang w:eastAsia="zh-CN"/>
        </w:rPr>
        <w:t>运维人员操作、日常点检、应急救援培训。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36E664E"/>
    <w:multiLevelType w:val="multilevel"/>
    <w:tmpl w:val="236E664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eastAsia="宋体"/>
        <w:color w:val="000000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DBE25F7"/>
    <w:multiLevelType w:val="multilevel"/>
    <w:tmpl w:val="4DBE25F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eastAsia="宋体"/>
        <w:color w:val="000000"/>
        <w:sz w:val="21"/>
      </w:rPr>
    </w:lvl>
    <w:lvl w:ilvl="1" w:tentative="0">
      <w:start w:val="6"/>
      <w:numFmt w:val="japaneseCounting"/>
      <w:lvlText w:val="%2、"/>
      <w:lvlJc w:val="left"/>
      <w:pPr>
        <w:ind w:left="580" w:hanging="580"/>
      </w:pPr>
      <w:rPr>
        <w:rFonts w:hint="default" w:ascii="宋体" w:hAnsi="宋体" w:eastAsia="宋体" w:cs="微软雅黑"/>
        <w:b/>
        <w:color w:val="000000"/>
        <w:sz w:val="24"/>
        <w:szCs w:val="24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CD55B9"/>
    <w:multiLevelType w:val="multilevel"/>
    <w:tmpl w:val="64CD55B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eastAsia="宋体"/>
        <w:color w:val="000000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880BD0"/>
    <w:multiLevelType w:val="multilevel"/>
    <w:tmpl w:val="7E880BD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eastAsia="宋体"/>
        <w:color w:val="000000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80EC1"/>
    <w:rsid w:val="000F1C81"/>
    <w:rsid w:val="0015074B"/>
    <w:rsid w:val="001F4FC8"/>
    <w:rsid w:val="00291396"/>
    <w:rsid w:val="0029639D"/>
    <w:rsid w:val="00326F90"/>
    <w:rsid w:val="00343E66"/>
    <w:rsid w:val="00345E88"/>
    <w:rsid w:val="00406732"/>
    <w:rsid w:val="005A3F36"/>
    <w:rsid w:val="00AA1D8D"/>
    <w:rsid w:val="00AC45BC"/>
    <w:rsid w:val="00B11B74"/>
    <w:rsid w:val="00B47730"/>
    <w:rsid w:val="00BA0326"/>
    <w:rsid w:val="00BC63D8"/>
    <w:rsid w:val="00C45B65"/>
    <w:rsid w:val="00C5519F"/>
    <w:rsid w:val="00CB0664"/>
    <w:rsid w:val="00DF5EEB"/>
    <w:rsid w:val="00E520DA"/>
    <w:rsid w:val="00EC72DF"/>
    <w:rsid w:val="00F91DE8"/>
    <w:rsid w:val="00FC693F"/>
    <w:rsid w:val="4EFA7BDF"/>
    <w:rsid w:val="75BE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qFormat/>
    <w:uiPriority w:val="99"/>
  </w:style>
  <w:style w:type="character" w:customStyle="1" w:styleId="136">
    <w:name w:val="页脚 字符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uiPriority w:val="99"/>
  </w:style>
  <w:style w:type="character" w:customStyle="1" w:styleId="145">
    <w:name w:val="正文文本 2 字符"/>
    <w:basedOn w:val="132"/>
    <w:link w:val="28"/>
    <w:uiPriority w:val="99"/>
  </w:style>
  <w:style w:type="character" w:customStyle="1" w:styleId="146">
    <w:name w:val="正文文本 3 字符"/>
    <w:basedOn w:val="132"/>
    <w:link w:val="17"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CE8FB5-2051-4F84-A930-08A9FDC7C0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2366</Words>
  <Characters>2590</Characters>
  <Lines>19</Lines>
  <Paragraphs>5</Paragraphs>
  <TotalTime>1</TotalTime>
  <ScaleCrop>false</ScaleCrop>
  <LinksUpToDate>false</LinksUpToDate>
  <CharactersWithSpaces>2619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2026-08-30T05:20:00Z</dcterms:created>
  <dc:creator>python-docx</dc:creator>
  <dc:description>generated by python-docx</dc:description>
  <cp:lastModifiedBy>GC</cp:lastModifiedBy>
  <dcterms:modified xsi:type="dcterms:W3CDTF">2026-09-01T03:32:19Z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eyJoZGlkIjoiOTczZjUzNjRmZWJlY2Q1OTViM2IyODU2MDgxNDkyMTQiLCJ1c2VySWQiOiIyMjk3NjA5In0=</vt:lpwstr>
  </property>
  <property fmtid="{D5CDD505-2E9C-101B-9397-08002B2CF9AE}" pid="3" name="KSOProductBuildVer">
    <vt:lpwstr>2052-12.1.0.28022</vt:lpwstr>
  </property>
  <property fmtid="{D5CDD505-2E9C-101B-9397-08002B2CF9AE}" pid="4" name="ICV">
    <vt:lpwstr>CA03D772AE7846898F60E00E285B3806_12</vt:lpwstr>
  </property>
</Properties>
</file>