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C6A73">
      <w:pPr>
        <w:jc w:val="center"/>
        <w:rPr>
          <w:rFonts w:hint="eastAsia" w:ascii="宋体" w:hAnsi="宋体" w:eastAsia="宋体" w:cs="宋体"/>
          <w:b/>
          <w:bCs/>
          <w:sz w:val="36"/>
          <w:szCs w:val="36"/>
        </w:rPr>
      </w:pPr>
      <w:r>
        <w:rPr>
          <w:rFonts w:hint="eastAsia" w:ascii="宋体" w:hAnsi="宋体" w:eastAsia="宋体" w:cs="宋体"/>
          <w:b/>
          <w:bCs/>
          <w:sz w:val="36"/>
          <w:szCs w:val="36"/>
        </w:rPr>
        <w:t>2026年全国内容服务平台存储维保项目需求</w:t>
      </w:r>
    </w:p>
    <w:p w14:paraId="442C6809">
      <w:pPr>
        <w:spacing w:after="120" w:line="300" w:lineRule="auto"/>
        <w:ind w:firstLine="480"/>
        <w:rPr>
          <w:rFonts w:hint="eastAsia" w:ascii="宋体" w:hAnsi="宋体" w:eastAsia="宋体" w:cs="宋体"/>
          <w:sz w:val="21"/>
          <w:szCs w:val="21"/>
        </w:rPr>
      </w:pPr>
      <w:r>
        <w:rPr>
          <w:rFonts w:hint="eastAsia" w:ascii="宋体" w:hAnsi="宋体" w:eastAsia="宋体" w:cs="宋体"/>
          <w:sz w:val="21"/>
          <w:szCs w:val="21"/>
        </w:rPr>
        <w:t>本次项目为全国内容服务平台的3台华为OceanStor 9000存储设备采购1年Hi-Care高级维保服务，具体生效时间以设备原维保实际到期日的次日开始生效，如果合同签订日期晚于设备原维保实际到期日期，则以合同签订日期的次日开始生效。</w:t>
      </w:r>
    </w:p>
    <w:p w14:paraId="76A00C30">
      <w:pPr>
        <w:pStyle w:val="38"/>
        <w:spacing w:line="300" w:lineRule="auto"/>
        <w:rPr>
          <w:rFonts w:hint="eastAsia" w:ascii="宋体" w:hAnsi="宋体" w:eastAsia="宋体"/>
          <w:sz w:val="21"/>
          <w:szCs w:val="21"/>
        </w:rPr>
      </w:pPr>
      <w:r>
        <w:rPr>
          <w:rFonts w:hint="eastAsia" w:ascii="宋体" w:hAnsi="宋体" w:eastAsia="宋体"/>
          <w:sz w:val="21"/>
          <w:szCs w:val="21"/>
        </w:rPr>
        <w:t>本项目付款方式为按月/季度/年/指定周期，通过项目阶段验收或提供证明材料并根据考核评分结果，在完成该周期服务后，分期平均支付。</w:t>
      </w:r>
    </w:p>
    <w:p w14:paraId="3CE647D4">
      <w:pPr>
        <w:pStyle w:val="38"/>
        <w:spacing w:line="300" w:lineRule="auto"/>
        <w:rPr>
          <w:rFonts w:hint="eastAsia" w:ascii="宋体" w:hAnsi="宋体" w:eastAsia="宋体"/>
          <w:sz w:val="21"/>
          <w:szCs w:val="21"/>
        </w:rPr>
      </w:pPr>
      <w:bookmarkStart w:id="11" w:name="_GoBack"/>
      <w:bookmarkEnd w:id="11"/>
    </w:p>
    <w:p w14:paraId="40EB2D55">
      <w:pPr>
        <w:pStyle w:val="38"/>
        <w:spacing w:line="240" w:lineRule="auto"/>
        <w:rPr>
          <w:rFonts w:hint="eastAsia" w:ascii="宋体" w:hAnsi="宋体" w:eastAsia="宋体"/>
          <w:b/>
          <w:bCs/>
          <w:sz w:val="22"/>
          <w:szCs w:val="22"/>
        </w:rPr>
      </w:pPr>
      <w:bookmarkStart w:id="0" w:name="_Toc22141"/>
      <w:r>
        <w:rPr>
          <w:rFonts w:hint="eastAsia" w:ascii="宋体" w:hAnsi="宋体" w:eastAsia="宋体"/>
          <w:b/>
          <w:bCs/>
          <w:sz w:val="22"/>
          <w:szCs w:val="22"/>
        </w:rPr>
        <w:t>一、维保服务内容</w:t>
      </w:r>
      <w:bookmarkEnd w:id="0"/>
    </w:p>
    <w:p w14:paraId="1936DDF6">
      <w:pPr>
        <w:pStyle w:val="38"/>
        <w:spacing w:line="300" w:lineRule="auto"/>
        <w:rPr>
          <w:rFonts w:hint="eastAsia" w:ascii="宋体" w:hAnsi="宋体" w:eastAsia="宋体"/>
          <w:sz w:val="21"/>
          <w:szCs w:val="21"/>
        </w:rPr>
      </w:pPr>
      <w:r>
        <w:rPr>
          <w:rFonts w:hint="eastAsia" w:ascii="宋体" w:hAnsi="宋体" w:eastAsia="宋体"/>
          <w:sz w:val="21"/>
          <w:szCs w:val="21"/>
        </w:rPr>
        <w:t>1、总体需求</w:t>
      </w:r>
    </w:p>
    <w:p w14:paraId="68EDF62A">
      <w:pPr>
        <w:pStyle w:val="11"/>
        <w:spacing w:after="156" w:line="300" w:lineRule="auto"/>
        <w:ind w:firstLine="560"/>
        <w:rPr>
          <w:rFonts w:hint="eastAsia" w:ascii="宋体" w:hAnsi="宋体" w:eastAsia="宋体" w:cs="宋体"/>
          <w:kern w:val="0"/>
          <w:sz w:val="21"/>
          <w:szCs w:val="21"/>
        </w:rPr>
      </w:pPr>
      <w:r>
        <w:rPr>
          <w:rFonts w:hint="eastAsia" w:ascii="宋体" w:hAnsi="宋体" w:eastAsia="宋体" w:cs="宋体"/>
          <w:kern w:val="0"/>
          <w:sz w:val="21"/>
          <w:szCs w:val="21"/>
        </w:rPr>
        <w:t>华为OceanStor 9000作为大数据存储产品，具有大容量、高性能和易扩展性等方面的突出优势，日常维保服务除了定期巡检设备，更换如硬盘、CPU、电源以及其他硬件外，还需要对主机版本进行更新（起到消除运行隐患的作用）。同时中标人需要对突发事件和严重事故进行快速响应和跟进处理，严格执行相关服务实施及响应时间的规定，保证系统高可用率。</w:t>
      </w:r>
    </w:p>
    <w:p w14:paraId="0C099442">
      <w:pPr>
        <w:pStyle w:val="38"/>
        <w:spacing w:line="300" w:lineRule="auto"/>
        <w:rPr>
          <w:rFonts w:hint="eastAsia" w:ascii="宋体" w:hAnsi="宋体" w:eastAsia="宋体"/>
          <w:sz w:val="21"/>
          <w:szCs w:val="21"/>
        </w:rPr>
      </w:pPr>
      <w:r>
        <w:rPr>
          <w:rFonts w:hint="eastAsia" w:ascii="宋体" w:hAnsi="宋体" w:eastAsia="宋体"/>
          <w:sz w:val="21"/>
          <w:szCs w:val="21"/>
        </w:rPr>
        <w:t>2、服务需求</w:t>
      </w:r>
    </w:p>
    <w:p w14:paraId="66896A23">
      <w:pPr>
        <w:spacing w:after="120" w:line="300" w:lineRule="auto"/>
        <w:ind w:firstLine="420" w:firstLineChars="200"/>
        <w:rPr>
          <w:rFonts w:hint="eastAsia" w:ascii="宋体" w:hAnsi="宋体" w:eastAsia="宋体" w:cs="宋体"/>
          <w:kern w:val="0"/>
          <w:sz w:val="21"/>
          <w:szCs w:val="21"/>
        </w:rPr>
      </w:pPr>
      <w:r>
        <w:rPr>
          <w:rFonts w:hint="eastAsia" w:ascii="宋体" w:hAnsi="宋体" w:eastAsia="宋体" w:cs="宋体"/>
          <w:sz w:val="21"/>
          <w:szCs w:val="21"/>
        </w:rPr>
        <w:t>★</w:t>
      </w:r>
      <w:r>
        <w:rPr>
          <w:rFonts w:hint="eastAsia" w:ascii="宋体" w:hAnsi="宋体" w:eastAsia="宋体" w:cs="宋体"/>
          <w:kern w:val="0"/>
          <w:sz w:val="21"/>
          <w:szCs w:val="21"/>
        </w:rPr>
        <w:t>续保服务要求：需提供Hi-Care高级维保服务。中标人</w:t>
      </w:r>
      <w:r>
        <w:rPr>
          <w:rFonts w:hint="eastAsia" w:ascii="宋体" w:hAnsi="宋体" w:eastAsia="宋体" w:cs="宋体"/>
          <w:kern w:val="0"/>
          <w:sz w:val="21"/>
          <w:szCs w:val="21"/>
          <w:lang w:eastAsia="zh-CN"/>
        </w:rPr>
        <w:t>在</w:t>
      </w:r>
      <w:r>
        <w:rPr>
          <w:rFonts w:hint="eastAsia" w:ascii="宋体" w:hAnsi="宋体" w:eastAsia="宋体" w:cs="宋体"/>
          <w:kern w:val="0"/>
          <w:sz w:val="21"/>
          <w:szCs w:val="21"/>
        </w:rPr>
        <w:t>中标后</w:t>
      </w:r>
      <w:r>
        <w:rPr>
          <w:rFonts w:hint="eastAsia" w:ascii="宋体" w:hAnsi="宋体" w:eastAsia="宋体" w:cs="宋体"/>
          <w:kern w:val="0"/>
          <w:sz w:val="21"/>
          <w:szCs w:val="21"/>
          <w:lang w:val="en-US" w:eastAsia="zh-CN"/>
        </w:rPr>
        <w:t>须</w:t>
      </w:r>
      <w:r>
        <w:rPr>
          <w:rFonts w:hint="eastAsia" w:ascii="宋体" w:hAnsi="宋体" w:eastAsia="宋体" w:cs="宋体"/>
          <w:kern w:val="0"/>
          <w:sz w:val="21"/>
          <w:szCs w:val="21"/>
        </w:rPr>
        <w:t>提供原厂服务承诺函，且设备维保服务信息能</w:t>
      </w:r>
      <w:r>
        <w:rPr>
          <w:rFonts w:hint="eastAsia" w:ascii="宋体" w:hAnsi="宋体" w:eastAsia="宋体" w:cs="宋体"/>
          <w:kern w:val="0"/>
          <w:sz w:val="21"/>
          <w:szCs w:val="21"/>
          <w:lang w:eastAsia="zh-CN"/>
        </w:rPr>
        <w:t>在</w:t>
      </w:r>
      <w:r>
        <w:rPr>
          <w:rFonts w:hint="eastAsia" w:ascii="宋体" w:hAnsi="宋体" w:eastAsia="宋体" w:cs="宋体"/>
          <w:kern w:val="0"/>
          <w:sz w:val="21"/>
          <w:szCs w:val="21"/>
        </w:rPr>
        <w:t>华为官网</w:t>
      </w:r>
      <w:r>
        <w:rPr>
          <w:rFonts w:hint="eastAsia" w:ascii="宋体" w:hAnsi="宋体" w:eastAsia="宋体" w:cs="宋体"/>
          <w:kern w:val="0"/>
          <w:sz w:val="21"/>
          <w:szCs w:val="21"/>
          <w:lang w:val="en-US" w:eastAsia="zh-CN"/>
        </w:rPr>
        <w:t>上</w:t>
      </w:r>
      <w:r>
        <w:rPr>
          <w:rFonts w:hint="eastAsia" w:ascii="宋体" w:hAnsi="宋体" w:eastAsia="宋体" w:cs="宋体"/>
          <w:kern w:val="0"/>
          <w:sz w:val="21"/>
          <w:szCs w:val="21"/>
        </w:rPr>
        <w:t>查询（https://support.huawei.com/enterprise/ecareWechat）。</w:t>
      </w:r>
    </w:p>
    <w:p w14:paraId="40B9A977">
      <w:pPr>
        <w:spacing w:after="156" w:line="30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需要涵盖如下服务内容：</w:t>
      </w:r>
    </w:p>
    <w:tbl>
      <w:tblPr>
        <w:tblStyle w:val="16"/>
        <w:tblW w:w="8392" w:type="dxa"/>
        <w:tblInd w:w="108" w:type="dxa"/>
        <w:tblLayout w:type="fixed"/>
        <w:tblCellMar>
          <w:top w:w="0" w:type="dxa"/>
          <w:left w:w="108" w:type="dxa"/>
          <w:bottom w:w="0" w:type="dxa"/>
          <w:right w:w="108" w:type="dxa"/>
        </w:tblCellMar>
      </w:tblPr>
      <w:tblGrid>
        <w:gridCol w:w="673"/>
        <w:gridCol w:w="1617"/>
        <w:gridCol w:w="6102"/>
      </w:tblGrid>
      <w:tr w14:paraId="34D20922">
        <w:tblPrEx>
          <w:tblCellMar>
            <w:top w:w="0" w:type="dxa"/>
            <w:left w:w="108" w:type="dxa"/>
            <w:bottom w:w="0" w:type="dxa"/>
            <w:right w:w="108" w:type="dxa"/>
          </w:tblCellMar>
        </w:tblPrEx>
        <w:trPr>
          <w:trHeight w:val="454" w:hRule="atLeast"/>
        </w:trPr>
        <w:tc>
          <w:tcPr>
            <w:tcW w:w="673" w:type="dxa"/>
            <w:tcBorders>
              <w:top w:val="single" w:color="auto" w:sz="4" w:space="0"/>
              <w:left w:val="single" w:color="auto" w:sz="4" w:space="0"/>
              <w:bottom w:val="single" w:color="auto" w:sz="4" w:space="0"/>
              <w:right w:val="single" w:color="auto" w:sz="4" w:space="0"/>
            </w:tcBorders>
            <w:vAlign w:val="center"/>
          </w:tcPr>
          <w:p w14:paraId="2DA71186">
            <w:pPr>
              <w:spacing w:after="0"/>
              <w:jc w:val="center"/>
              <w:rPr>
                <w:rFonts w:hint="eastAsia" w:ascii="宋体" w:hAnsi="宋体" w:eastAsia="宋体" w:cs="宋体"/>
                <w:b/>
                <w:bCs/>
                <w:szCs w:val="21"/>
              </w:rPr>
            </w:pPr>
            <w:r>
              <w:rPr>
                <w:rFonts w:hint="eastAsia" w:ascii="宋体" w:hAnsi="宋体" w:eastAsia="宋体" w:cs="宋体"/>
                <w:b/>
                <w:bCs/>
                <w:szCs w:val="21"/>
              </w:rPr>
              <w:t>序号</w:t>
            </w:r>
          </w:p>
        </w:tc>
        <w:tc>
          <w:tcPr>
            <w:tcW w:w="1617" w:type="dxa"/>
            <w:tcBorders>
              <w:top w:val="single" w:color="auto" w:sz="4" w:space="0"/>
              <w:left w:val="single" w:color="auto" w:sz="4" w:space="0"/>
              <w:bottom w:val="single" w:color="auto" w:sz="4" w:space="0"/>
              <w:right w:val="single" w:color="auto" w:sz="4" w:space="0"/>
            </w:tcBorders>
            <w:vAlign w:val="center"/>
          </w:tcPr>
          <w:p w14:paraId="7D580C9B">
            <w:pPr>
              <w:spacing w:after="0"/>
              <w:jc w:val="center"/>
              <w:rPr>
                <w:rFonts w:hint="eastAsia" w:ascii="宋体" w:hAnsi="宋体" w:eastAsia="宋体" w:cs="宋体"/>
                <w:b/>
                <w:bCs/>
                <w:szCs w:val="21"/>
              </w:rPr>
            </w:pPr>
            <w:r>
              <w:rPr>
                <w:rFonts w:hint="eastAsia" w:ascii="宋体" w:hAnsi="宋体" w:eastAsia="宋体" w:cs="宋体"/>
                <w:b/>
                <w:bCs/>
                <w:szCs w:val="21"/>
              </w:rPr>
              <w:t>服务内容</w:t>
            </w:r>
          </w:p>
        </w:tc>
        <w:tc>
          <w:tcPr>
            <w:tcW w:w="6102" w:type="dxa"/>
            <w:tcBorders>
              <w:top w:val="single" w:color="auto" w:sz="4" w:space="0"/>
              <w:left w:val="nil"/>
              <w:bottom w:val="single" w:color="auto" w:sz="4" w:space="0"/>
              <w:right w:val="single" w:color="auto" w:sz="4" w:space="0"/>
            </w:tcBorders>
            <w:vAlign w:val="center"/>
          </w:tcPr>
          <w:p w14:paraId="35E888BA">
            <w:pPr>
              <w:spacing w:after="0"/>
              <w:jc w:val="center"/>
              <w:rPr>
                <w:rFonts w:hint="eastAsia" w:ascii="宋体" w:hAnsi="宋体" w:eastAsia="宋体" w:cs="宋体"/>
                <w:b/>
                <w:bCs/>
                <w:szCs w:val="21"/>
              </w:rPr>
            </w:pPr>
            <w:r>
              <w:rPr>
                <w:rFonts w:hint="eastAsia" w:ascii="宋体" w:hAnsi="宋体" w:eastAsia="宋体" w:cs="宋体"/>
                <w:b/>
                <w:bCs/>
                <w:szCs w:val="21"/>
              </w:rPr>
              <w:t>服务内容描述</w:t>
            </w:r>
          </w:p>
        </w:tc>
      </w:tr>
      <w:tr w14:paraId="216520BD">
        <w:tblPrEx>
          <w:tblCellMar>
            <w:top w:w="0" w:type="dxa"/>
            <w:left w:w="108" w:type="dxa"/>
            <w:bottom w:w="0" w:type="dxa"/>
            <w:right w:w="108" w:type="dxa"/>
          </w:tblCellMar>
        </w:tblPrEx>
        <w:trPr>
          <w:trHeight w:val="454" w:hRule="atLeast"/>
        </w:trPr>
        <w:tc>
          <w:tcPr>
            <w:tcW w:w="673" w:type="dxa"/>
            <w:tcBorders>
              <w:top w:val="nil"/>
              <w:left w:val="single" w:color="auto" w:sz="4" w:space="0"/>
              <w:bottom w:val="single" w:color="auto" w:sz="4" w:space="0"/>
              <w:right w:val="single" w:color="auto" w:sz="4" w:space="0"/>
            </w:tcBorders>
            <w:vAlign w:val="center"/>
          </w:tcPr>
          <w:p w14:paraId="78B534B7">
            <w:pPr>
              <w:spacing w:after="0"/>
              <w:jc w:val="center"/>
              <w:rPr>
                <w:rFonts w:hint="eastAsia" w:ascii="宋体" w:hAnsi="宋体" w:eastAsia="宋体" w:cs="宋体"/>
                <w:bCs/>
                <w:szCs w:val="21"/>
              </w:rPr>
            </w:pPr>
            <w:r>
              <w:rPr>
                <w:rFonts w:hint="eastAsia" w:ascii="宋体" w:hAnsi="宋体" w:eastAsia="宋体" w:cs="宋体"/>
                <w:bCs/>
                <w:szCs w:val="21"/>
              </w:rPr>
              <w:t>1</w:t>
            </w:r>
          </w:p>
        </w:tc>
        <w:tc>
          <w:tcPr>
            <w:tcW w:w="1617" w:type="dxa"/>
            <w:tcBorders>
              <w:top w:val="nil"/>
              <w:left w:val="single" w:color="auto" w:sz="4" w:space="0"/>
              <w:bottom w:val="single" w:color="auto" w:sz="4" w:space="0"/>
              <w:right w:val="single" w:color="auto" w:sz="4" w:space="0"/>
            </w:tcBorders>
            <w:vAlign w:val="center"/>
          </w:tcPr>
          <w:p w14:paraId="5AB448BD">
            <w:pPr>
              <w:spacing w:after="0"/>
              <w:jc w:val="center"/>
              <w:rPr>
                <w:rFonts w:hint="eastAsia" w:ascii="宋体" w:hAnsi="宋体" w:eastAsia="宋体" w:cs="宋体"/>
                <w:bCs/>
                <w:szCs w:val="21"/>
              </w:rPr>
            </w:pPr>
            <w:r>
              <w:rPr>
                <w:rFonts w:hint="eastAsia" w:ascii="宋体" w:hAnsi="宋体" w:eastAsia="宋体" w:cs="宋体"/>
                <w:bCs/>
                <w:szCs w:val="21"/>
              </w:rPr>
              <w:t>Help Desk</w:t>
            </w:r>
          </w:p>
        </w:tc>
        <w:tc>
          <w:tcPr>
            <w:tcW w:w="6102" w:type="dxa"/>
            <w:tcBorders>
              <w:top w:val="nil"/>
              <w:left w:val="nil"/>
              <w:bottom w:val="single" w:color="auto" w:sz="4" w:space="0"/>
              <w:right w:val="single" w:color="auto" w:sz="4" w:space="0"/>
            </w:tcBorders>
            <w:vAlign w:val="center"/>
          </w:tcPr>
          <w:p w14:paraId="51576907">
            <w:pPr>
              <w:spacing w:after="0"/>
              <w:jc w:val="center"/>
              <w:rPr>
                <w:rFonts w:hint="eastAsia" w:ascii="宋体" w:hAnsi="宋体" w:eastAsia="宋体" w:cs="宋体"/>
                <w:bCs/>
                <w:szCs w:val="21"/>
              </w:rPr>
            </w:pPr>
            <w:r>
              <w:rPr>
                <w:rFonts w:hint="eastAsia" w:ascii="宋体" w:hAnsi="宋体" w:eastAsia="宋体" w:cs="宋体"/>
                <w:bCs/>
                <w:szCs w:val="21"/>
              </w:rPr>
              <w:t>7天×24小时覆盖，实时响应</w:t>
            </w:r>
          </w:p>
        </w:tc>
      </w:tr>
      <w:tr w14:paraId="39B6CBDF">
        <w:tblPrEx>
          <w:tblCellMar>
            <w:top w:w="0" w:type="dxa"/>
            <w:left w:w="108" w:type="dxa"/>
            <w:bottom w:w="0" w:type="dxa"/>
            <w:right w:w="108" w:type="dxa"/>
          </w:tblCellMar>
        </w:tblPrEx>
        <w:trPr>
          <w:trHeight w:val="454" w:hRule="atLeast"/>
        </w:trPr>
        <w:tc>
          <w:tcPr>
            <w:tcW w:w="673" w:type="dxa"/>
            <w:tcBorders>
              <w:top w:val="nil"/>
              <w:left w:val="single" w:color="auto" w:sz="4" w:space="0"/>
              <w:bottom w:val="nil"/>
              <w:right w:val="single" w:color="auto" w:sz="4" w:space="0"/>
            </w:tcBorders>
            <w:vAlign w:val="center"/>
          </w:tcPr>
          <w:p w14:paraId="3FA5BB6A">
            <w:pPr>
              <w:spacing w:after="0"/>
              <w:jc w:val="center"/>
              <w:rPr>
                <w:rFonts w:hint="eastAsia" w:ascii="宋体" w:hAnsi="宋体" w:eastAsia="宋体" w:cs="宋体"/>
                <w:bCs/>
                <w:szCs w:val="21"/>
              </w:rPr>
            </w:pPr>
            <w:r>
              <w:rPr>
                <w:rFonts w:hint="eastAsia" w:ascii="宋体" w:hAnsi="宋体" w:eastAsia="宋体" w:cs="宋体"/>
                <w:bCs/>
                <w:szCs w:val="21"/>
              </w:rPr>
              <w:t>2</w:t>
            </w:r>
          </w:p>
        </w:tc>
        <w:tc>
          <w:tcPr>
            <w:tcW w:w="1617" w:type="dxa"/>
            <w:tcBorders>
              <w:top w:val="nil"/>
              <w:left w:val="single" w:color="auto" w:sz="4" w:space="0"/>
              <w:bottom w:val="nil"/>
              <w:right w:val="single" w:color="auto" w:sz="4" w:space="0"/>
            </w:tcBorders>
            <w:vAlign w:val="center"/>
          </w:tcPr>
          <w:p w14:paraId="5413B9A8">
            <w:pPr>
              <w:spacing w:after="0"/>
              <w:jc w:val="center"/>
              <w:rPr>
                <w:rFonts w:hint="eastAsia" w:ascii="宋体" w:hAnsi="宋体" w:eastAsia="宋体" w:cs="宋体"/>
                <w:bCs/>
                <w:szCs w:val="21"/>
              </w:rPr>
            </w:pPr>
            <w:r>
              <w:rPr>
                <w:rFonts w:hint="eastAsia" w:ascii="宋体" w:hAnsi="宋体" w:eastAsia="宋体" w:cs="宋体"/>
                <w:bCs/>
                <w:szCs w:val="21"/>
              </w:rPr>
              <w:t>远程问题处理</w:t>
            </w:r>
          </w:p>
        </w:tc>
        <w:tc>
          <w:tcPr>
            <w:tcW w:w="6102" w:type="dxa"/>
            <w:tcBorders>
              <w:top w:val="nil"/>
              <w:left w:val="nil"/>
              <w:bottom w:val="single" w:color="auto" w:sz="4" w:space="0"/>
              <w:right w:val="single" w:color="auto" w:sz="4" w:space="0"/>
            </w:tcBorders>
            <w:vAlign w:val="center"/>
          </w:tcPr>
          <w:p w14:paraId="13C64E4E">
            <w:pPr>
              <w:spacing w:after="0"/>
              <w:jc w:val="center"/>
              <w:rPr>
                <w:rFonts w:hint="eastAsia" w:ascii="宋体" w:hAnsi="宋体" w:eastAsia="宋体" w:cs="宋体"/>
                <w:bCs/>
                <w:szCs w:val="21"/>
              </w:rPr>
            </w:pPr>
            <w:r>
              <w:rPr>
                <w:rFonts w:hint="eastAsia" w:ascii="宋体" w:hAnsi="宋体" w:eastAsia="宋体" w:cs="宋体"/>
                <w:bCs/>
                <w:szCs w:val="21"/>
              </w:rPr>
              <w:t>7天×24小时覆盖</w:t>
            </w:r>
          </w:p>
        </w:tc>
      </w:tr>
      <w:tr w14:paraId="22AF7171">
        <w:tblPrEx>
          <w:tblCellMar>
            <w:top w:w="0" w:type="dxa"/>
            <w:left w:w="108" w:type="dxa"/>
            <w:bottom w:w="0" w:type="dxa"/>
            <w:right w:w="108" w:type="dxa"/>
          </w:tblCellMar>
        </w:tblPrEx>
        <w:trPr>
          <w:trHeight w:val="454" w:hRule="atLeast"/>
        </w:trPr>
        <w:tc>
          <w:tcPr>
            <w:tcW w:w="673" w:type="dxa"/>
            <w:tcBorders>
              <w:top w:val="single" w:color="auto" w:sz="4" w:space="0"/>
              <w:left w:val="single" w:color="auto" w:sz="4" w:space="0"/>
              <w:bottom w:val="nil"/>
              <w:right w:val="single" w:color="auto" w:sz="4" w:space="0"/>
            </w:tcBorders>
            <w:vAlign w:val="center"/>
          </w:tcPr>
          <w:p w14:paraId="34B7F311">
            <w:pPr>
              <w:spacing w:after="0"/>
              <w:jc w:val="center"/>
              <w:rPr>
                <w:rFonts w:hint="eastAsia" w:ascii="宋体" w:hAnsi="宋体" w:eastAsia="宋体" w:cs="宋体"/>
                <w:bCs/>
                <w:szCs w:val="21"/>
              </w:rPr>
            </w:pPr>
            <w:r>
              <w:rPr>
                <w:rFonts w:hint="eastAsia" w:ascii="宋体" w:hAnsi="宋体" w:eastAsia="宋体" w:cs="宋体"/>
                <w:bCs/>
                <w:szCs w:val="21"/>
              </w:rPr>
              <w:t>3</w:t>
            </w:r>
          </w:p>
        </w:tc>
        <w:tc>
          <w:tcPr>
            <w:tcW w:w="1617" w:type="dxa"/>
            <w:tcBorders>
              <w:top w:val="single" w:color="auto" w:sz="4" w:space="0"/>
              <w:left w:val="single" w:color="auto" w:sz="4" w:space="0"/>
              <w:bottom w:val="nil"/>
              <w:right w:val="single" w:color="auto" w:sz="4" w:space="0"/>
            </w:tcBorders>
            <w:vAlign w:val="center"/>
          </w:tcPr>
          <w:p w14:paraId="0FF4B0D7">
            <w:pPr>
              <w:spacing w:after="0"/>
              <w:jc w:val="center"/>
              <w:rPr>
                <w:rFonts w:hint="eastAsia" w:ascii="宋体" w:hAnsi="宋体" w:eastAsia="宋体" w:cs="宋体"/>
                <w:bCs/>
                <w:szCs w:val="21"/>
              </w:rPr>
            </w:pPr>
            <w:r>
              <w:rPr>
                <w:rFonts w:hint="eastAsia" w:ascii="宋体" w:hAnsi="宋体" w:eastAsia="宋体" w:cs="宋体"/>
                <w:bCs/>
                <w:szCs w:val="21"/>
              </w:rPr>
              <w:t>在线技术支持</w:t>
            </w:r>
          </w:p>
        </w:tc>
        <w:tc>
          <w:tcPr>
            <w:tcW w:w="6102" w:type="dxa"/>
            <w:tcBorders>
              <w:top w:val="nil"/>
              <w:left w:val="nil"/>
              <w:bottom w:val="single" w:color="auto" w:sz="4" w:space="0"/>
              <w:right w:val="single" w:color="auto" w:sz="4" w:space="0"/>
            </w:tcBorders>
            <w:vAlign w:val="center"/>
          </w:tcPr>
          <w:p w14:paraId="3930DD88">
            <w:pPr>
              <w:spacing w:after="0"/>
              <w:jc w:val="center"/>
              <w:rPr>
                <w:rFonts w:hint="eastAsia" w:ascii="宋体" w:hAnsi="宋体" w:eastAsia="宋体" w:cs="宋体"/>
                <w:bCs/>
                <w:szCs w:val="21"/>
              </w:rPr>
            </w:pPr>
            <w:r>
              <w:rPr>
                <w:rFonts w:hint="eastAsia" w:ascii="宋体" w:hAnsi="宋体" w:eastAsia="宋体" w:cs="宋体"/>
                <w:bCs/>
                <w:szCs w:val="21"/>
              </w:rPr>
              <w:t>7天×24小时技术信息共享和补丁下载</w:t>
            </w:r>
          </w:p>
        </w:tc>
      </w:tr>
      <w:tr w14:paraId="1F817597">
        <w:tblPrEx>
          <w:tblCellMar>
            <w:top w:w="0" w:type="dxa"/>
            <w:left w:w="108" w:type="dxa"/>
            <w:bottom w:w="0" w:type="dxa"/>
            <w:right w:w="108" w:type="dxa"/>
          </w:tblCellMar>
        </w:tblPrEx>
        <w:trPr>
          <w:trHeight w:val="454" w:hRule="atLeast"/>
        </w:trPr>
        <w:tc>
          <w:tcPr>
            <w:tcW w:w="673" w:type="dxa"/>
            <w:tcBorders>
              <w:top w:val="single" w:color="auto" w:sz="4" w:space="0"/>
              <w:left w:val="single" w:color="auto" w:sz="4" w:space="0"/>
              <w:bottom w:val="single" w:color="auto" w:sz="4" w:space="0"/>
              <w:right w:val="single" w:color="auto" w:sz="4" w:space="0"/>
            </w:tcBorders>
            <w:vAlign w:val="center"/>
          </w:tcPr>
          <w:p w14:paraId="3F9FB705">
            <w:pPr>
              <w:spacing w:after="0"/>
              <w:jc w:val="center"/>
              <w:rPr>
                <w:rFonts w:hint="eastAsia" w:ascii="宋体" w:hAnsi="宋体" w:eastAsia="宋体" w:cs="宋体"/>
                <w:bCs/>
                <w:szCs w:val="21"/>
              </w:rPr>
            </w:pPr>
            <w:r>
              <w:rPr>
                <w:rFonts w:hint="eastAsia" w:ascii="宋体" w:hAnsi="宋体" w:eastAsia="宋体" w:cs="宋体"/>
                <w:bCs/>
                <w:szCs w:val="21"/>
              </w:rPr>
              <w:t>4</w:t>
            </w:r>
          </w:p>
        </w:tc>
        <w:tc>
          <w:tcPr>
            <w:tcW w:w="1617" w:type="dxa"/>
            <w:tcBorders>
              <w:top w:val="single" w:color="auto" w:sz="4" w:space="0"/>
              <w:left w:val="single" w:color="auto" w:sz="4" w:space="0"/>
              <w:bottom w:val="single" w:color="auto" w:sz="4" w:space="0"/>
              <w:right w:val="single" w:color="auto" w:sz="4" w:space="0"/>
            </w:tcBorders>
            <w:vAlign w:val="center"/>
          </w:tcPr>
          <w:p w14:paraId="6D3D12C8">
            <w:pPr>
              <w:spacing w:after="0"/>
              <w:jc w:val="center"/>
              <w:rPr>
                <w:rFonts w:hint="eastAsia" w:ascii="宋体" w:hAnsi="宋体" w:eastAsia="宋体" w:cs="宋体"/>
                <w:bCs/>
                <w:szCs w:val="21"/>
              </w:rPr>
            </w:pPr>
            <w:r>
              <w:rPr>
                <w:rFonts w:hint="eastAsia" w:ascii="宋体" w:hAnsi="宋体" w:eastAsia="宋体" w:cs="宋体"/>
                <w:bCs/>
                <w:szCs w:val="21"/>
              </w:rPr>
              <w:t>软件更新授权</w:t>
            </w:r>
          </w:p>
        </w:tc>
        <w:tc>
          <w:tcPr>
            <w:tcW w:w="6102" w:type="dxa"/>
            <w:tcBorders>
              <w:top w:val="nil"/>
              <w:left w:val="nil"/>
              <w:bottom w:val="single" w:color="auto" w:sz="4" w:space="0"/>
              <w:right w:val="single" w:color="auto" w:sz="4" w:space="0"/>
            </w:tcBorders>
            <w:vAlign w:val="center"/>
          </w:tcPr>
          <w:p w14:paraId="5B0665EF">
            <w:pPr>
              <w:spacing w:after="0"/>
              <w:jc w:val="center"/>
              <w:rPr>
                <w:rFonts w:hint="eastAsia" w:ascii="宋体" w:hAnsi="宋体" w:eastAsia="宋体" w:cs="宋体"/>
                <w:bCs/>
                <w:szCs w:val="21"/>
              </w:rPr>
            </w:pPr>
            <w:r>
              <w:rPr>
                <w:rFonts w:hint="eastAsia" w:ascii="宋体" w:hAnsi="宋体" w:eastAsia="宋体" w:cs="宋体"/>
                <w:bCs/>
                <w:szCs w:val="21"/>
              </w:rPr>
              <w:t>7天×24小时提供主机版本软件的维护版本(补丁和小版本)</w:t>
            </w:r>
          </w:p>
        </w:tc>
      </w:tr>
      <w:tr w14:paraId="59311717">
        <w:tblPrEx>
          <w:tblCellMar>
            <w:top w:w="0" w:type="dxa"/>
            <w:left w:w="108" w:type="dxa"/>
            <w:bottom w:w="0" w:type="dxa"/>
            <w:right w:w="108" w:type="dxa"/>
          </w:tblCellMar>
        </w:tblPrEx>
        <w:trPr>
          <w:trHeight w:val="454" w:hRule="atLeast"/>
        </w:trPr>
        <w:tc>
          <w:tcPr>
            <w:tcW w:w="673" w:type="dxa"/>
            <w:tcBorders>
              <w:top w:val="single" w:color="auto" w:sz="4" w:space="0"/>
              <w:left w:val="single" w:color="auto" w:sz="4" w:space="0"/>
              <w:bottom w:val="single" w:color="auto" w:sz="4" w:space="0"/>
              <w:right w:val="single" w:color="auto" w:sz="4" w:space="0"/>
            </w:tcBorders>
            <w:vAlign w:val="center"/>
          </w:tcPr>
          <w:p w14:paraId="4488EDAF">
            <w:pPr>
              <w:spacing w:after="0"/>
              <w:jc w:val="center"/>
              <w:rPr>
                <w:rFonts w:hint="eastAsia" w:ascii="宋体" w:hAnsi="宋体" w:eastAsia="宋体" w:cs="宋体"/>
                <w:bCs/>
                <w:szCs w:val="21"/>
              </w:rPr>
            </w:pPr>
            <w:r>
              <w:rPr>
                <w:rFonts w:hint="eastAsia" w:ascii="宋体" w:hAnsi="宋体" w:eastAsia="宋体" w:cs="宋体"/>
                <w:bCs/>
                <w:szCs w:val="21"/>
              </w:rPr>
              <w:t>5</w:t>
            </w:r>
          </w:p>
        </w:tc>
        <w:tc>
          <w:tcPr>
            <w:tcW w:w="1617" w:type="dxa"/>
            <w:tcBorders>
              <w:top w:val="single" w:color="auto" w:sz="4" w:space="0"/>
              <w:left w:val="single" w:color="auto" w:sz="4" w:space="0"/>
              <w:bottom w:val="single" w:color="auto" w:sz="4" w:space="0"/>
              <w:right w:val="single" w:color="auto" w:sz="4" w:space="0"/>
            </w:tcBorders>
            <w:vAlign w:val="center"/>
          </w:tcPr>
          <w:p w14:paraId="54132585">
            <w:pPr>
              <w:spacing w:after="0"/>
              <w:jc w:val="center"/>
              <w:rPr>
                <w:rFonts w:hint="eastAsia" w:ascii="宋体" w:hAnsi="宋体" w:eastAsia="宋体" w:cs="宋体"/>
                <w:bCs/>
                <w:szCs w:val="21"/>
              </w:rPr>
            </w:pPr>
            <w:r>
              <w:rPr>
                <w:rFonts w:hint="eastAsia" w:ascii="宋体" w:hAnsi="宋体" w:eastAsia="宋体" w:cs="宋体"/>
                <w:bCs/>
                <w:szCs w:val="21"/>
              </w:rPr>
              <w:t>备件先行</w:t>
            </w:r>
          </w:p>
        </w:tc>
        <w:tc>
          <w:tcPr>
            <w:tcW w:w="6102" w:type="dxa"/>
            <w:tcBorders>
              <w:top w:val="single" w:color="auto" w:sz="4" w:space="0"/>
              <w:left w:val="nil"/>
              <w:bottom w:val="single" w:color="auto" w:sz="4" w:space="0"/>
              <w:right w:val="single" w:color="auto" w:sz="4" w:space="0"/>
            </w:tcBorders>
            <w:vAlign w:val="center"/>
          </w:tcPr>
          <w:p w14:paraId="7D933C13">
            <w:pPr>
              <w:spacing w:after="0"/>
              <w:jc w:val="center"/>
              <w:rPr>
                <w:rFonts w:hint="eastAsia" w:ascii="宋体" w:hAnsi="宋体" w:eastAsia="宋体" w:cs="宋体"/>
                <w:bCs/>
                <w:szCs w:val="21"/>
              </w:rPr>
            </w:pPr>
            <w:r>
              <w:rPr>
                <w:rFonts w:hint="eastAsia" w:ascii="宋体" w:hAnsi="宋体" w:eastAsia="宋体" w:cs="宋体"/>
                <w:bCs/>
                <w:szCs w:val="21"/>
              </w:rPr>
              <w:t>需提供7天*10小时*ND的标准和服务</w:t>
            </w:r>
          </w:p>
          <w:p w14:paraId="1474A02A">
            <w:pPr>
              <w:spacing w:after="0"/>
              <w:jc w:val="center"/>
              <w:rPr>
                <w:rFonts w:hint="eastAsia" w:ascii="宋体" w:hAnsi="宋体" w:eastAsia="宋体" w:cs="宋体"/>
                <w:bCs/>
                <w:szCs w:val="21"/>
              </w:rPr>
            </w:pPr>
            <w:r>
              <w:rPr>
                <w:rFonts w:hint="eastAsia" w:ascii="宋体" w:hAnsi="宋体" w:eastAsia="宋体" w:cs="宋体"/>
                <w:bCs/>
                <w:szCs w:val="21"/>
              </w:rPr>
              <w:t>注：ND是指下一天到达/送达，每天15:30后申请的备件先行、硬件更换服务可以下一天到达/送达。</w:t>
            </w:r>
          </w:p>
        </w:tc>
      </w:tr>
    </w:tbl>
    <w:p w14:paraId="4B4FB129">
      <w:pPr>
        <w:pStyle w:val="38"/>
        <w:spacing w:line="240" w:lineRule="auto"/>
        <w:rPr>
          <w:rFonts w:hint="eastAsia" w:ascii="宋体" w:hAnsi="宋体" w:eastAsia="宋体"/>
          <w:b/>
          <w:bCs/>
          <w:sz w:val="22"/>
          <w:szCs w:val="22"/>
        </w:rPr>
      </w:pPr>
      <w:r>
        <w:rPr>
          <w:rFonts w:hint="eastAsia" w:ascii="宋体" w:hAnsi="宋体" w:eastAsia="宋体"/>
          <w:b/>
          <w:bCs/>
          <w:sz w:val="22"/>
          <w:szCs w:val="22"/>
        </w:rPr>
        <w:t>二、服务内容</w:t>
      </w:r>
    </w:p>
    <w:p w14:paraId="4B4C49A3">
      <w:pPr>
        <w:pStyle w:val="4"/>
        <w:spacing w:line="300" w:lineRule="auto"/>
        <w:rPr>
          <w:rFonts w:hint="eastAsia" w:ascii="宋体" w:hAnsi="宋体" w:eastAsia="宋体" w:cs="宋体"/>
          <w:b/>
          <w:bCs/>
          <w:sz w:val="21"/>
          <w:szCs w:val="21"/>
        </w:rPr>
      </w:pPr>
      <w:bookmarkStart w:id="1" w:name="_Toc227785878"/>
      <w:r>
        <w:rPr>
          <w:rFonts w:hint="eastAsia" w:ascii="宋体" w:hAnsi="宋体" w:eastAsia="宋体" w:cs="宋体"/>
          <w:sz w:val="21"/>
          <w:szCs w:val="21"/>
        </w:rPr>
        <w:t>2.1 Help Desk</w:t>
      </w:r>
      <w:bookmarkEnd w:id="1"/>
    </w:p>
    <w:p w14:paraId="48B1C097">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中标人需专门设立Help Desk热线，为招标人提供24小时不间断的售后技术支持（故障申报、硬件报修等）、销售及购买咨询、服务政策咨询、投诉及建议等服务请求受理。</w:t>
      </w:r>
    </w:p>
    <w:p w14:paraId="66363A8B">
      <w:pPr>
        <w:pStyle w:val="4"/>
        <w:spacing w:line="300" w:lineRule="auto"/>
        <w:rPr>
          <w:rFonts w:hint="eastAsia" w:ascii="宋体" w:hAnsi="宋体" w:eastAsia="宋体" w:cs="宋体"/>
          <w:b/>
          <w:bCs/>
          <w:sz w:val="21"/>
          <w:szCs w:val="21"/>
        </w:rPr>
      </w:pPr>
      <w:bookmarkStart w:id="2" w:name="_Toc227785879"/>
      <w:r>
        <w:rPr>
          <w:rFonts w:hint="eastAsia" w:ascii="宋体" w:hAnsi="宋体" w:eastAsia="宋体" w:cs="宋体"/>
          <w:sz w:val="21"/>
          <w:szCs w:val="21"/>
        </w:rPr>
        <w:t>2.2远程问题处理</w:t>
      </w:r>
      <w:bookmarkEnd w:id="2"/>
    </w:p>
    <w:p w14:paraId="4970D098">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中标人工程师在接到网络或系统故障申报后，将首先进行远程故障分析与处理，及时排除故障。远程问题处理包括电话支持和远程接入。</w:t>
      </w:r>
    </w:p>
    <w:p w14:paraId="07FF38D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1）电话支持</w:t>
      </w:r>
    </w:p>
    <w:p w14:paraId="6534D0A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中标人接到服务请求后，将在服务等级规定的响应时间内通过电话支持进行响应，帮助</w:t>
      </w:r>
      <w:r>
        <w:rPr>
          <w:rFonts w:hint="eastAsia" w:ascii="宋体" w:hAnsi="宋体" w:eastAsia="宋体" w:cs="宋体"/>
          <w:bCs/>
          <w:sz w:val="21"/>
          <w:szCs w:val="21"/>
          <w:lang w:eastAsia="zh-CN"/>
        </w:rPr>
        <w:t>招标人</w:t>
      </w:r>
      <w:r>
        <w:rPr>
          <w:rFonts w:hint="eastAsia" w:ascii="宋体" w:hAnsi="宋体" w:eastAsia="宋体" w:cs="宋体"/>
          <w:bCs/>
          <w:sz w:val="21"/>
          <w:szCs w:val="21"/>
        </w:rPr>
        <w:t>对问题进行分析、诊断以及定位，提供解决问题的方案，并引导</w:t>
      </w:r>
      <w:r>
        <w:rPr>
          <w:rFonts w:hint="eastAsia" w:ascii="宋体" w:hAnsi="宋体" w:eastAsia="宋体" w:cs="宋体"/>
          <w:bCs/>
          <w:sz w:val="21"/>
          <w:szCs w:val="21"/>
          <w:lang w:eastAsia="zh-CN"/>
        </w:rPr>
        <w:t>招标人</w:t>
      </w:r>
      <w:r>
        <w:rPr>
          <w:rFonts w:hint="eastAsia" w:ascii="宋体" w:hAnsi="宋体" w:eastAsia="宋体" w:cs="宋体"/>
          <w:bCs/>
          <w:sz w:val="21"/>
          <w:szCs w:val="21"/>
        </w:rPr>
        <w:t>实施。</w:t>
      </w:r>
    </w:p>
    <w:p w14:paraId="36362948">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2）远程接入</w:t>
      </w:r>
    </w:p>
    <w:p w14:paraId="56DA7DF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对于通过电话支持服务不能解决的故障或问题，中标人在征得招标人同意后，通过远程终端登陆到故障设备中调查和收集数据，分析故障原因，提出解决方案，指导</w:t>
      </w:r>
      <w:r>
        <w:rPr>
          <w:rFonts w:hint="eastAsia" w:ascii="宋体" w:hAnsi="宋体" w:eastAsia="宋体" w:cs="宋体"/>
          <w:bCs/>
          <w:sz w:val="21"/>
          <w:szCs w:val="21"/>
          <w:lang w:eastAsia="zh-CN"/>
        </w:rPr>
        <w:t>招标人</w:t>
      </w:r>
      <w:r>
        <w:rPr>
          <w:rFonts w:hint="eastAsia" w:ascii="宋体" w:hAnsi="宋体" w:eastAsia="宋体" w:cs="宋体"/>
          <w:bCs/>
          <w:sz w:val="21"/>
          <w:szCs w:val="21"/>
        </w:rPr>
        <w:t>实施，必要时可以提供远程操作。</w:t>
      </w:r>
    </w:p>
    <w:p w14:paraId="171FE353">
      <w:pPr>
        <w:pStyle w:val="4"/>
        <w:spacing w:line="300" w:lineRule="auto"/>
        <w:rPr>
          <w:rFonts w:hint="eastAsia" w:ascii="宋体" w:hAnsi="宋体" w:eastAsia="宋体" w:cs="宋体"/>
          <w:b/>
          <w:bCs/>
          <w:sz w:val="21"/>
          <w:szCs w:val="21"/>
        </w:rPr>
      </w:pPr>
      <w:bookmarkStart w:id="3" w:name="_Toc227785880"/>
      <w:r>
        <w:rPr>
          <w:rFonts w:hint="eastAsia" w:ascii="宋体" w:hAnsi="宋体" w:eastAsia="宋体" w:cs="宋体"/>
          <w:sz w:val="21"/>
          <w:szCs w:val="21"/>
        </w:rPr>
        <w:t>2.3在线技术支持</w:t>
      </w:r>
      <w:bookmarkEnd w:id="3"/>
    </w:p>
    <w:p w14:paraId="3D609229">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中标人应为招标人提供相关的产品和技术资料，如产品手册、配置指南、组网案例、维护经验汇总等，通过为招标人开通技术支持网站相应权限，使招标人可以访问网站并下载相关资料，及时掌握最新的维护经验和技巧、获得最新的产品知识。</w:t>
      </w:r>
    </w:p>
    <w:p w14:paraId="3CD412C6">
      <w:pPr>
        <w:pStyle w:val="4"/>
        <w:spacing w:line="300" w:lineRule="auto"/>
        <w:rPr>
          <w:rFonts w:hint="eastAsia" w:ascii="宋体" w:hAnsi="宋体" w:eastAsia="宋体" w:cs="宋体"/>
          <w:b/>
          <w:bCs/>
          <w:sz w:val="21"/>
          <w:szCs w:val="21"/>
        </w:rPr>
      </w:pPr>
      <w:bookmarkStart w:id="4" w:name="_Toc227785881"/>
      <w:r>
        <w:rPr>
          <w:rFonts w:hint="eastAsia" w:ascii="宋体" w:hAnsi="宋体" w:eastAsia="宋体" w:cs="宋体"/>
          <w:sz w:val="21"/>
          <w:szCs w:val="21"/>
        </w:rPr>
        <w:t>2.4软件更新授权</w:t>
      </w:r>
      <w:bookmarkEnd w:id="4"/>
    </w:p>
    <w:p w14:paraId="2EE114A4">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为确保招标人购买设备的稳定运行，中标人向招标人提供软件修正补丁，由招标人自行安装。补丁是指对原授权软件所做的修正和补充，是此版本软件运行过程中已发现问题的解决措施，这些软件补丁都在实际应用环境或者模拟实验网中得到改进和验证，将对原授权软件起到消除运行隐患的作用。</w:t>
      </w:r>
    </w:p>
    <w:p w14:paraId="0BE1A1D6">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注意：</w:t>
      </w:r>
    </w:p>
    <w:p w14:paraId="6A0A4271">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eastAsia="zh-CN"/>
        </w:rPr>
        <w:t>招标人</w:t>
      </w:r>
      <w:r>
        <w:rPr>
          <w:rFonts w:hint="eastAsia" w:ascii="宋体" w:hAnsi="宋体" w:eastAsia="宋体" w:cs="宋体"/>
          <w:bCs/>
          <w:sz w:val="21"/>
          <w:szCs w:val="21"/>
        </w:rPr>
        <w:t>可通过技术支持网站获得软件修正补丁，更新实施由</w:t>
      </w:r>
      <w:r>
        <w:rPr>
          <w:rFonts w:hint="eastAsia" w:ascii="宋体" w:hAnsi="宋体" w:eastAsia="宋体" w:cs="宋体"/>
          <w:bCs/>
          <w:sz w:val="21"/>
          <w:szCs w:val="21"/>
          <w:lang w:eastAsia="zh-CN"/>
        </w:rPr>
        <w:t>招标人</w:t>
      </w:r>
      <w:r>
        <w:rPr>
          <w:rFonts w:hint="eastAsia" w:ascii="宋体" w:hAnsi="宋体" w:eastAsia="宋体" w:cs="宋体"/>
          <w:bCs/>
          <w:sz w:val="21"/>
          <w:szCs w:val="21"/>
        </w:rPr>
        <w:t>完成。</w:t>
      </w:r>
    </w:p>
    <w:p w14:paraId="26A3CFA1">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2、软件升级或者新功能新特性的提供不在该服务的范围内。</w:t>
      </w:r>
    </w:p>
    <w:p w14:paraId="75612083">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3、此服务仅针对主机版本软件，不包含业务软件（如网管软件等）更新。</w:t>
      </w:r>
    </w:p>
    <w:p w14:paraId="2A29374E">
      <w:pPr>
        <w:pStyle w:val="4"/>
        <w:spacing w:line="300" w:lineRule="auto"/>
        <w:rPr>
          <w:rFonts w:hint="eastAsia" w:ascii="宋体" w:hAnsi="宋体" w:eastAsia="宋体" w:cs="宋体"/>
          <w:b/>
          <w:bCs/>
          <w:sz w:val="21"/>
          <w:szCs w:val="21"/>
        </w:rPr>
      </w:pPr>
      <w:bookmarkStart w:id="5" w:name="_Toc227785882"/>
      <w:r>
        <w:rPr>
          <w:rFonts w:hint="eastAsia" w:ascii="宋体" w:hAnsi="宋体" w:eastAsia="宋体" w:cs="宋体"/>
          <w:sz w:val="21"/>
          <w:szCs w:val="21"/>
        </w:rPr>
        <w:t>2.5备件先行服务</w:t>
      </w:r>
      <w:bookmarkEnd w:id="5"/>
    </w:p>
    <w:p w14:paraId="0A3B6C9A">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备件先行服务旨在满足</w:t>
      </w:r>
      <w:r>
        <w:rPr>
          <w:rFonts w:hint="eastAsia" w:ascii="宋体" w:hAnsi="宋体" w:eastAsia="宋体" w:cs="宋体"/>
          <w:bCs/>
          <w:sz w:val="21"/>
          <w:szCs w:val="21"/>
          <w:lang w:eastAsia="zh-CN"/>
        </w:rPr>
        <w:t>招标人</w:t>
      </w:r>
      <w:r>
        <w:rPr>
          <w:rFonts w:hint="eastAsia" w:ascii="宋体" w:hAnsi="宋体" w:eastAsia="宋体" w:cs="宋体"/>
          <w:bCs/>
          <w:sz w:val="21"/>
          <w:szCs w:val="21"/>
        </w:rPr>
        <w:t>的紧急要求，提高响应速度，为招标人提供更快速服务。</w:t>
      </w:r>
    </w:p>
    <w:p w14:paraId="24C20B71">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备件先行服务是指在通过招标人的备件服务申请后，提前提供更换件给招标人，而招标人只需要在收到提供的更换部件后，在15个工作日内将故障件准备好（使用更换件的包材装好），中标人将安排物流商上门取件，中标人将会承担将故障件返还的所有相关运输和保险费用；逾期未返回的将视为招标人购买，并将于下一个收款周期开具发票；并且在超期备件未核销前，会将服务降为备件更换服务。</w:t>
      </w:r>
    </w:p>
    <w:p w14:paraId="433DAA12">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更换件必须是新件或者是同等类型和功能的好件（如该型号产品已停止生产或库存备件耗尽，将提供不低于原件性能的其它型号设备或单板进行更换）。给招标人提供的更换件归招标人所有，而招标人原有的故障件收回，如果招标人由于数据安全、保密等原因，不能返还故障部件，招标人应当提前购买故障件保留服务。</w:t>
      </w:r>
    </w:p>
    <w:p w14:paraId="2FB23AF9">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经更换过的产品/部件，可以继续获得原有整机的剩余维保期服务。</w:t>
      </w:r>
    </w:p>
    <w:p w14:paraId="638D3267">
      <w:pPr>
        <w:pStyle w:val="4"/>
        <w:spacing w:line="300" w:lineRule="auto"/>
        <w:rPr>
          <w:rFonts w:hint="eastAsia" w:ascii="宋体" w:hAnsi="宋体" w:eastAsia="宋体" w:cs="宋体"/>
          <w:b/>
          <w:bCs/>
          <w:sz w:val="21"/>
          <w:szCs w:val="21"/>
        </w:rPr>
      </w:pPr>
      <w:bookmarkStart w:id="6" w:name="_Toc227785883"/>
      <w:r>
        <w:rPr>
          <w:rFonts w:hint="eastAsia" w:ascii="宋体" w:hAnsi="宋体" w:eastAsia="宋体" w:cs="宋体"/>
          <w:sz w:val="21"/>
          <w:szCs w:val="21"/>
        </w:rPr>
        <w:t>2.6现场工程师硬件更换服务</w:t>
      </w:r>
      <w:bookmarkEnd w:id="6"/>
    </w:p>
    <w:p w14:paraId="3AD3925A">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优先通过远程处理</w:t>
      </w:r>
      <w:r>
        <w:rPr>
          <w:rFonts w:hint="eastAsia" w:ascii="宋体" w:hAnsi="宋体" w:eastAsia="宋体" w:cs="宋体"/>
          <w:bCs/>
          <w:sz w:val="21"/>
          <w:szCs w:val="21"/>
          <w:lang w:val="en-US" w:eastAsia="zh-CN"/>
        </w:rPr>
        <w:t>方式</w:t>
      </w:r>
      <w:r>
        <w:rPr>
          <w:rFonts w:hint="eastAsia" w:ascii="宋体" w:hAnsi="宋体" w:eastAsia="宋体" w:cs="宋体"/>
          <w:bCs/>
          <w:sz w:val="21"/>
          <w:szCs w:val="21"/>
        </w:rPr>
        <w:t>解决问题，对于定位为需要硬件更换才能解决的问题，中标人</w:t>
      </w:r>
      <w:r>
        <w:rPr>
          <w:rFonts w:hint="eastAsia" w:ascii="宋体" w:hAnsi="宋体" w:eastAsia="宋体" w:cs="宋体"/>
          <w:bCs/>
          <w:sz w:val="21"/>
          <w:szCs w:val="21"/>
          <w:lang w:val="en-US" w:eastAsia="zh-CN"/>
        </w:rPr>
        <w:t>须</w:t>
      </w:r>
      <w:r>
        <w:rPr>
          <w:rFonts w:hint="eastAsia" w:ascii="宋体" w:hAnsi="宋体" w:eastAsia="宋体" w:cs="宋体"/>
          <w:bCs/>
          <w:sz w:val="21"/>
          <w:szCs w:val="21"/>
        </w:rPr>
        <w:t>安排经验丰富的技术支持工程师在服务协议规定</w:t>
      </w:r>
      <w:r>
        <w:rPr>
          <w:rFonts w:hint="eastAsia" w:ascii="宋体" w:hAnsi="宋体" w:eastAsia="宋体" w:cs="宋体"/>
          <w:bCs/>
          <w:sz w:val="21"/>
          <w:szCs w:val="21"/>
          <w:lang w:eastAsia="zh-CN"/>
        </w:rPr>
        <w:t>的</w:t>
      </w:r>
      <w:r>
        <w:rPr>
          <w:rFonts w:hint="eastAsia" w:ascii="宋体" w:hAnsi="宋体" w:eastAsia="宋体" w:cs="宋体"/>
          <w:bCs/>
          <w:sz w:val="21"/>
          <w:szCs w:val="21"/>
        </w:rPr>
        <w:t>时间内</w:t>
      </w:r>
      <w:r>
        <w:rPr>
          <w:rFonts w:hint="eastAsia" w:ascii="宋体" w:hAnsi="宋体" w:eastAsia="宋体" w:cs="宋体"/>
          <w:bCs/>
          <w:sz w:val="21"/>
          <w:szCs w:val="21"/>
          <w:lang w:val="en-US" w:eastAsia="zh-CN"/>
        </w:rPr>
        <w:t>到达招标人指定</w:t>
      </w:r>
      <w:r>
        <w:rPr>
          <w:rFonts w:hint="eastAsia" w:ascii="宋体" w:hAnsi="宋体" w:eastAsia="宋体" w:cs="宋体"/>
          <w:bCs/>
          <w:sz w:val="21"/>
          <w:szCs w:val="21"/>
        </w:rPr>
        <w:t>现场，进行现场硬件更换，排除故障使系统恢复正常运行。</w:t>
      </w:r>
    </w:p>
    <w:p w14:paraId="61A266FA">
      <w:pPr>
        <w:pStyle w:val="4"/>
        <w:spacing w:line="300" w:lineRule="auto"/>
        <w:rPr>
          <w:rFonts w:hint="eastAsia" w:ascii="宋体" w:hAnsi="宋体" w:eastAsia="宋体" w:cs="宋体"/>
          <w:b/>
          <w:bCs/>
          <w:sz w:val="21"/>
          <w:szCs w:val="21"/>
        </w:rPr>
      </w:pPr>
      <w:bookmarkStart w:id="7" w:name="_Toc227785884"/>
      <w:r>
        <w:rPr>
          <w:rFonts w:hint="eastAsia" w:ascii="宋体" w:hAnsi="宋体" w:eastAsia="宋体" w:cs="宋体"/>
          <w:sz w:val="21"/>
          <w:szCs w:val="21"/>
        </w:rPr>
        <w:t>2.7现场问题处理</w:t>
      </w:r>
      <w:bookmarkEnd w:id="7"/>
    </w:p>
    <w:p w14:paraId="2E556E52">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优先通过远程处理和解决问题，如果遇到通过远程技术支持不能有效解决的设备问题，中标人需安排经验丰富的技术支持工程师在服务协议规定时间内</w:t>
      </w:r>
      <w:r>
        <w:rPr>
          <w:rFonts w:hint="eastAsia" w:ascii="宋体" w:hAnsi="宋体" w:eastAsia="宋体" w:cs="宋体"/>
          <w:bCs/>
          <w:sz w:val="21"/>
          <w:szCs w:val="21"/>
          <w:lang w:val="en-US" w:eastAsia="zh-CN"/>
        </w:rPr>
        <w:t>到达招标人指定</w:t>
      </w:r>
      <w:r>
        <w:rPr>
          <w:rFonts w:hint="eastAsia" w:ascii="宋体" w:hAnsi="宋体" w:eastAsia="宋体" w:cs="宋体"/>
          <w:bCs/>
          <w:sz w:val="21"/>
          <w:szCs w:val="21"/>
        </w:rPr>
        <w:t>现场，协助</w:t>
      </w:r>
      <w:r>
        <w:rPr>
          <w:rFonts w:hint="eastAsia" w:ascii="宋体" w:hAnsi="宋体" w:eastAsia="宋体" w:cs="宋体"/>
          <w:bCs/>
          <w:sz w:val="21"/>
          <w:szCs w:val="21"/>
          <w:lang w:eastAsia="zh-CN"/>
        </w:rPr>
        <w:t>招标人</w:t>
      </w:r>
      <w:r>
        <w:rPr>
          <w:rFonts w:hint="eastAsia" w:ascii="宋体" w:hAnsi="宋体" w:eastAsia="宋体" w:cs="宋体"/>
          <w:bCs/>
          <w:sz w:val="21"/>
          <w:szCs w:val="21"/>
        </w:rPr>
        <w:t>进行现场故障诊断、制定故障恢复方案并现场排除故障。</w:t>
      </w:r>
    </w:p>
    <w:p w14:paraId="1E76100A">
      <w:pPr>
        <w:pStyle w:val="38"/>
        <w:spacing w:line="300" w:lineRule="auto"/>
        <w:ind w:firstLine="591"/>
        <w:rPr>
          <w:rFonts w:hint="eastAsia" w:ascii="宋体" w:hAnsi="宋体" w:eastAsia="宋体"/>
          <w:kern w:val="0"/>
          <w:sz w:val="21"/>
          <w:szCs w:val="21"/>
        </w:rPr>
      </w:pPr>
      <w:r>
        <w:rPr>
          <w:rStyle w:val="35"/>
          <w:rFonts w:hint="eastAsia" w:ascii="宋体" w:hAnsi="宋体" w:eastAsia="宋体"/>
          <w:sz w:val="21"/>
          <w:szCs w:val="21"/>
        </w:rPr>
        <w:t>三、</w:t>
      </w:r>
      <w:r>
        <w:rPr>
          <w:rFonts w:hint="eastAsia" w:ascii="宋体" w:hAnsi="宋体" w:eastAsia="宋体"/>
          <w:kern w:val="0"/>
          <w:sz w:val="21"/>
          <w:szCs w:val="21"/>
        </w:rPr>
        <w:t>维保服务要求</w:t>
      </w:r>
    </w:p>
    <w:p w14:paraId="325217B7">
      <w:pPr>
        <w:pStyle w:val="4"/>
        <w:spacing w:line="300" w:lineRule="auto"/>
        <w:rPr>
          <w:rFonts w:hint="eastAsia" w:ascii="宋体" w:hAnsi="宋体" w:eastAsia="宋体" w:cs="宋体"/>
          <w:b/>
          <w:bCs/>
          <w:sz w:val="21"/>
          <w:szCs w:val="21"/>
        </w:rPr>
      </w:pPr>
      <w:bookmarkStart w:id="8" w:name="_Toc227785886"/>
      <w:r>
        <w:rPr>
          <w:rFonts w:hint="eastAsia" w:ascii="宋体" w:hAnsi="宋体" w:eastAsia="宋体" w:cs="宋体"/>
          <w:sz w:val="21"/>
          <w:szCs w:val="21"/>
        </w:rPr>
        <w:t>3.1巡检要求</w:t>
      </w:r>
      <w:bookmarkEnd w:id="8"/>
    </w:p>
    <w:p w14:paraId="12649748">
      <w:pPr>
        <w:autoSpaceDE w:val="0"/>
        <w:autoSpaceDN w:val="0"/>
        <w:spacing w:after="156" w:line="300" w:lineRule="auto"/>
        <w:ind w:firstLine="480"/>
        <w:rPr>
          <w:rFonts w:hint="eastAsia" w:ascii="宋体" w:hAnsi="宋体" w:eastAsia="宋体" w:cs="宋体"/>
          <w:b/>
          <w:bCs/>
          <w:snapToGrid w:val="0"/>
          <w:kern w:val="0"/>
          <w:sz w:val="21"/>
          <w:szCs w:val="21"/>
        </w:rPr>
      </w:pPr>
      <w:r>
        <w:rPr>
          <w:rFonts w:hint="eastAsia" w:ascii="宋体" w:hAnsi="宋体" w:eastAsia="宋体" w:cs="宋体"/>
          <w:bCs/>
          <w:sz w:val="21"/>
          <w:szCs w:val="21"/>
        </w:rPr>
        <w:t>1）</w:t>
      </w:r>
      <w:r>
        <w:rPr>
          <w:rFonts w:hint="eastAsia" w:ascii="宋体" w:hAnsi="宋体" w:eastAsia="宋体" w:cs="宋体"/>
          <w:bCs/>
          <w:snapToGrid w:val="0"/>
          <w:kern w:val="0"/>
          <w:sz w:val="21"/>
          <w:szCs w:val="21"/>
        </w:rPr>
        <w:t>在维保期内，中标人每年</w:t>
      </w:r>
      <w:r>
        <w:rPr>
          <w:rFonts w:hint="eastAsia" w:ascii="宋体" w:hAnsi="宋体" w:eastAsia="宋体" w:cs="宋体"/>
          <w:bCs/>
          <w:snapToGrid w:val="0"/>
          <w:kern w:val="0"/>
          <w:sz w:val="21"/>
          <w:szCs w:val="21"/>
          <w:lang w:val="en-US" w:eastAsia="zh-CN"/>
        </w:rPr>
        <w:t>须</w:t>
      </w:r>
      <w:r>
        <w:rPr>
          <w:rFonts w:hint="eastAsia" w:ascii="宋体" w:hAnsi="宋体" w:eastAsia="宋体" w:cs="宋体"/>
          <w:bCs/>
          <w:sz w:val="21"/>
          <w:szCs w:val="21"/>
        </w:rPr>
        <w:t>针对被维保设备和系统</w:t>
      </w:r>
      <w:r>
        <w:rPr>
          <w:rFonts w:hint="eastAsia" w:ascii="宋体" w:hAnsi="宋体" w:eastAsia="宋体" w:cs="宋体"/>
          <w:bCs/>
          <w:snapToGrid w:val="0"/>
          <w:kern w:val="0"/>
          <w:sz w:val="21"/>
          <w:szCs w:val="21"/>
        </w:rPr>
        <w:t>为招标人提供</w:t>
      </w:r>
      <w:r>
        <w:rPr>
          <w:rFonts w:hint="eastAsia" w:ascii="宋体" w:hAnsi="宋体" w:eastAsia="宋体" w:cs="宋体"/>
          <w:bCs/>
          <w:sz w:val="21"/>
          <w:szCs w:val="21"/>
        </w:rPr>
        <w:t>不少于四次季度现场巡检服务</w:t>
      </w:r>
      <w:r>
        <w:rPr>
          <w:rFonts w:hint="eastAsia" w:ascii="宋体" w:hAnsi="宋体" w:eastAsia="宋体" w:cs="宋体"/>
          <w:bCs/>
          <w:snapToGrid w:val="0"/>
          <w:kern w:val="0"/>
          <w:sz w:val="21"/>
          <w:szCs w:val="21"/>
        </w:rPr>
        <w:t>，每次巡检由中标人向招标人提前3天预约或按招标人指定时间进行,</w:t>
      </w:r>
      <w:r>
        <w:rPr>
          <w:rFonts w:hint="eastAsia" w:ascii="宋体" w:hAnsi="宋体" w:eastAsia="宋体" w:cs="宋体"/>
          <w:bCs/>
          <w:sz w:val="21"/>
          <w:szCs w:val="21"/>
        </w:rPr>
        <w:t>巡检服务完成后5个工作日内提供</w:t>
      </w:r>
      <w:r>
        <w:rPr>
          <w:rFonts w:hint="eastAsia" w:ascii="宋体" w:hAnsi="宋体" w:eastAsia="宋体" w:cs="宋体"/>
          <w:bCs/>
          <w:snapToGrid w:val="0"/>
          <w:kern w:val="0"/>
          <w:sz w:val="21"/>
          <w:szCs w:val="21"/>
        </w:rPr>
        <w:t>书面</w:t>
      </w:r>
      <w:r>
        <w:rPr>
          <w:rFonts w:hint="eastAsia" w:ascii="宋体" w:hAnsi="宋体" w:eastAsia="宋体" w:cs="宋体"/>
          <w:bCs/>
          <w:sz w:val="21"/>
          <w:szCs w:val="21"/>
        </w:rPr>
        <w:t>巡检服务报告，且</w:t>
      </w:r>
      <w:r>
        <w:rPr>
          <w:rFonts w:hint="eastAsia" w:ascii="宋体" w:hAnsi="宋体" w:eastAsia="宋体" w:cs="宋体"/>
          <w:bCs/>
          <w:snapToGrid w:val="0"/>
          <w:kern w:val="0"/>
          <w:sz w:val="21"/>
          <w:szCs w:val="21"/>
        </w:rPr>
        <w:t>巡检报告内容需由中标人工程师签字确认。</w:t>
      </w:r>
    </w:p>
    <w:p w14:paraId="380C69CB">
      <w:pPr>
        <w:autoSpaceDE w:val="0"/>
        <w:autoSpaceDN w:val="0"/>
        <w:spacing w:after="156" w:line="300" w:lineRule="auto"/>
        <w:ind w:firstLine="480"/>
        <w:rPr>
          <w:rFonts w:hint="eastAsia" w:ascii="宋体" w:hAnsi="宋体" w:eastAsia="宋体" w:cs="宋体"/>
          <w:b/>
          <w:bCs/>
          <w:snapToGrid w:val="0"/>
          <w:kern w:val="0"/>
          <w:sz w:val="21"/>
          <w:szCs w:val="21"/>
        </w:rPr>
      </w:pPr>
      <w:r>
        <w:rPr>
          <w:rFonts w:hint="eastAsia" w:ascii="宋体" w:hAnsi="宋体" w:eastAsia="宋体" w:cs="宋体"/>
          <w:bCs/>
          <w:sz w:val="21"/>
          <w:szCs w:val="21"/>
        </w:rPr>
        <w:t>2）</w:t>
      </w:r>
      <w:r>
        <w:rPr>
          <w:rFonts w:hint="eastAsia" w:ascii="宋体" w:hAnsi="宋体" w:eastAsia="宋体" w:cs="宋体"/>
          <w:bCs/>
          <w:snapToGrid w:val="0"/>
          <w:kern w:val="0"/>
          <w:sz w:val="21"/>
          <w:szCs w:val="21"/>
        </w:rPr>
        <w:t>巡检内容包括</w:t>
      </w:r>
      <w:r>
        <w:rPr>
          <w:rFonts w:hint="eastAsia" w:ascii="宋体" w:hAnsi="宋体" w:eastAsia="宋体" w:cs="宋体"/>
          <w:bCs/>
          <w:snapToGrid w:val="0"/>
          <w:kern w:val="0"/>
          <w:sz w:val="21"/>
          <w:szCs w:val="21"/>
          <w:lang w:eastAsia="zh-Hans"/>
        </w:rPr>
        <w:t>设备</w:t>
      </w:r>
      <w:r>
        <w:rPr>
          <w:rFonts w:hint="eastAsia" w:ascii="宋体" w:hAnsi="宋体" w:eastAsia="宋体" w:cs="宋体"/>
          <w:bCs/>
          <w:snapToGrid w:val="0"/>
          <w:kern w:val="0"/>
          <w:sz w:val="21"/>
          <w:szCs w:val="21"/>
        </w:rPr>
        <w:t>的硬件和系统健康状况、</w:t>
      </w:r>
      <w:r>
        <w:rPr>
          <w:rFonts w:hint="eastAsia" w:ascii="宋体" w:hAnsi="宋体" w:eastAsia="宋体" w:cs="宋体"/>
          <w:bCs/>
          <w:snapToGrid w:val="0"/>
          <w:kern w:val="0"/>
          <w:sz w:val="21"/>
          <w:szCs w:val="21"/>
          <w:lang w:eastAsia="zh-Hans"/>
        </w:rPr>
        <w:t>设备</w:t>
      </w:r>
      <w:r>
        <w:rPr>
          <w:rFonts w:hint="eastAsia" w:ascii="宋体" w:hAnsi="宋体" w:eastAsia="宋体" w:cs="宋体"/>
          <w:bCs/>
          <w:snapToGrid w:val="0"/>
          <w:kern w:val="0"/>
          <w:sz w:val="21"/>
          <w:szCs w:val="21"/>
        </w:rPr>
        <w:t>的当前使用负荷、</w:t>
      </w:r>
      <w:r>
        <w:rPr>
          <w:rFonts w:hint="eastAsia" w:ascii="宋体" w:hAnsi="宋体" w:eastAsia="宋体" w:cs="宋体"/>
          <w:bCs/>
          <w:snapToGrid w:val="0"/>
          <w:kern w:val="0"/>
          <w:sz w:val="21"/>
          <w:szCs w:val="21"/>
          <w:lang w:eastAsia="zh-Hans"/>
        </w:rPr>
        <w:t>设备</w:t>
      </w:r>
      <w:r>
        <w:rPr>
          <w:rFonts w:hint="eastAsia" w:ascii="宋体" w:hAnsi="宋体" w:eastAsia="宋体" w:cs="宋体"/>
          <w:bCs/>
          <w:snapToGrid w:val="0"/>
          <w:kern w:val="0"/>
          <w:sz w:val="21"/>
          <w:szCs w:val="21"/>
        </w:rPr>
        <w:t>的性能状况等。</w:t>
      </w:r>
    </w:p>
    <w:p w14:paraId="4F4352E8">
      <w:pPr>
        <w:autoSpaceDE w:val="0"/>
        <w:autoSpaceDN w:val="0"/>
        <w:spacing w:after="156" w:line="300" w:lineRule="auto"/>
        <w:ind w:firstLine="480"/>
        <w:rPr>
          <w:rFonts w:hint="eastAsia" w:ascii="宋体" w:hAnsi="宋体" w:eastAsia="宋体" w:cs="宋体"/>
          <w:b/>
          <w:bCs/>
          <w:snapToGrid w:val="0"/>
          <w:kern w:val="0"/>
          <w:sz w:val="21"/>
          <w:szCs w:val="21"/>
        </w:rPr>
      </w:pPr>
      <w:r>
        <w:rPr>
          <w:rFonts w:hint="eastAsia" w:ascii="宋体" w:hAnsi="宋体" w:eastAsia="宋体" w:cs="宋体"/>
          <w:bCs/>
          <w:sz w:val="21"/>
          <w:szCs w:val="21"/>
        </w:rPr>
        <w:t>3）根据巡检结果</w:t>
      </w:r>
      <w:r>
        <w:rPr>
          <w:rFonts w:hint="eastAsia" w:ascii="宋体" w:hAnsi="宋体" w:eastAsia="宋体" w:cs="宋体"/>
          <w:bCs/>
          <w:snapToGrid w:val="0"/>
          <w:kern w:val="0"/>
          <w:sz w:val="21"/>
          <w:szCs w:val="21"/>
        </w:rPr>
        <w:t>对巡检中过程发现的问题，中标人应负责制定相应的改善计划及预防性措施</w:t>
      </w:r>
      <w:r>
        <w:rPr>
          <w:rFonts w:hint="eastAsia" w:ascii="宋体" w:hAnsi="宋体" w:eastAsia="宋体" w:cs="宋体"/>
          <w:bCs/>
          <w:sz w:val="21"/>
          <w:szCs w:val="21"/>
        </w:rPr>
        <w:t>对系统进行优化，</w:t>
      </w:r>
      <w:r>
        <w:rPr>
          <w:rFonts w:hint="eastAsia" w:ascii="宋体" w:hAnsi="宋体" w:eastAsia="宋体" w:cs="宋体"/>
          <w:bCs/>
          <w:snapToGrid w:val="0"/>
          <w:kern w:val="0"/>
          <w:sz w:val="21"/>
          <w:szCs w:val="21"/>
        </w:rPr>
        <w:t>处理完成设备和系统的异常告警和故障后，需出具书面故障服务报告供招标人存档。</w:t>
      </w:r>
    </w:p>
    <w:p w14:paraId="64D07707">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4）技术人员需具备计算机技术与软件专业技术资格考试等级为中级或以上合格证书</w:t>
      </w:r>
      <w:r>
        <w:rPr>
          <w:rFonts w:hint="eastAsia" w:ascii="宋体" w:hAnsi="宋体" w:eastAsia="宋体" w:cs="宋体"/>
          <w:bCs/>
          <w:snapToGrid w:val="0"/>
          <w:kern w:val="0"/>
          <w:sz w:val="21"/>
          <w:szCs w:val="21"/>
        </w:rPr>
        <w:t>。</w:t>
      </w:r>
    </w:p>
    <w:p w14:paraId="2C734533">
      <w:pPr>
        <w:pStyle w:val="4"/>
        <w:spacing w:line="300" w:lineRule="auto"/>
        <w:rPr>
          <w:rFonts w:hint="eastAsia" w:ascii="宋体" w:hAnsi="宋体" w:eastAsia="宋体" w:cs="宋体"/>
          <w:b/>
          <w:bCs/>
          <w:sz w:val="21"/>
          <w:szCs w:val="21"/>
        </w:rPr>
      </w:pPr>
      <w:bookmarkStart w:id="9" w:name="_Toc227785887"/>
      <w:r>
        <w:rPr>
          <w:rFonts w:hint="eastAsia" w:ascii="宋体" w:hAnsi="宋体" w:eastAsia="宋体" w:cs="宋体"/>
          <w:sz w:val="21"/>
          <w:szCs w:val="21"/>
        </w:rPr>
        <w:t>3.2培训要求</w:t>
      </w:r>
      <w:bookmarkEnd w:id="9"/>
    </w:p>
    <w:p w14:paraId="5D328074">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在维保期内，由中标人为招标人定期对招标人提供不少于1次的技术培训。培训内容包括系统设备的维护、设备管理、日常管理等。</w:t>
      </w:r>
    </w:p>
    <w:p w14:paraId="7576D48E">
      <w:pPr>
        <w:pStyle w:val="4"/>
        <w:spacing w:line="300" w:lineRule="auto"/>
        <w:rPr>
          <w:rFonts w:hint="eastAsia" w:ascii="宋体" w:hAnsi="宋体" w:eastAsia="宋体" w:cs="宋体"/>
          <w:b/>
          <w:bCs/>
          <w:sz w:val="21"/>
          <w:szCs w:val="21"/>
        </w:rPr>
      </w:pPr>
      <w:bookmarkStart w:id="10" w:name="_Toc227785888"/>
      <w:r>
        <w:rPr>
          <w:rFonts w:hint="eastAsia" w:ascii="宋体" w:hAnsi="宋体" w:eastAsia="宋体" w:cs="宋体"/>
          <w:sz w:val="21"/>
          <w:szCs w:val="21"/>
        </w:rPr>
        <w:t>3.3等级要求</w:t>
      </w:r>
      <w:bookmarkEnd w:id="10"/>
    </w:p>
    <w:p w14:paraId="6AC5336F">
      <w:pPr>
        <w:spacing w:after="156" w:line="300" w:lineRule="auto"/>
        <w:rPr>
          <w:rFonts w:hint="eastAsia" w:ascii="宋体" w:hAnsi="宋体" w:eastAsia="宋体" w:cs="宋体"/>
          <w:sz w:val="21"/>
          <w:szCs w:val="21"/>
        </w:rPr>
      </w:pPr>
      <w:r>
        <w:rPr>
          <w:rFonts w:hint="eastAsia" w:ascii="宋体" w:hAnsi="宋体" w:eastAsia="宋体" w:cs="宋体"/>
          <w:sz w:val="21"/>
          <w:szCs w:val="21"/>
        </w:rPr>
        <w:t>维保服务需满足等级要求：</w:t>
      </w:r>
    </w:p>
    <w:p w14:paraId="2A53203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1、故障级别定义</w:t>
      </w:r>
    </w:p>
    <w:p w14:paraId="520881D3">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故障级别由出现问题对招标人最终用户的影响的大小来决定。所有申请的级别都将由招标人和中标人支持机构共同决定，并以最终用户业务为重。</w:t>
      </w:r>
    </w:p>
    <w:p w14:paraId="2B69684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 xml:space="preserve">a)一级故障 </w:t>
      </w:r>
    </w:p>
    <w:p w14:paraId="05D313F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-在商业、经济、技术、安全等方面给最终用户造成重大损失的故障。</w:t>
      </w:r>
    </w:p>
    <w:p w14:paraId="0DB2855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-严重影响整个或局部系统运行，系统功能，或系统可靠性的故障。</w:t>
      </w:r>
    </w:p>
    <w:p w14:paraId="14B2F9F5">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-严重影响最终用户服务质量的故障。</w:t>
      </w:r>
    </w:p>
    <w:p w14:paraId="312BF62F">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例如：</w:t>
      </w:r>
    </w:p>
    <w:p w14:paraId="7E903C2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－设备系统瘫痪，致使无法向用户提供业务服务。</w:t>
      </w:r>
    </w:p>
    <w:p w14:paraId="7E612851">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－分节点故障，致使部分用户无法使用业务服务，不能提供正常网络服务。</w:t>
      </w:r>
    </w:p>
    <w:p w14:paraId="70549E70">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－受到大面积的安全攻击，致使大量重要业务无法使用。</w:t>
      </w:r>
    </w:p>
    <w:p w14:paraId="794F27F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 xml:space="preserve">b)二级故障 </w:t>
      </w:r>
    </w:p>
    <w:p w14:paraId="6CBE3E7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－在商业、经济、技术、安全等方面给最终用户造成较严重损失的故障。</w:t>
      </w:r>
    </w:p>
    <w:p w14:paraId="596F83E5">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－影响局部系统运行，系统功能，或系统可靠性的故障。</w:t>
      </w:r>
    </w:p>
    <w:p w14:paraId="2623BD3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－影响最终用户服务质量的故障。</w:t>
      </w:r>
    </w:p>
    <w:p w14:paraId="441F86D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例如：</w:t>
      </w:r>
    </w:p>
    <w:p w14:paraId="0885542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－单台设备故障，致使失去冗余备份，系统整体的的可靠性降低。</w:t>
      </w:r>
    </w:p>
    <w:p w14:paraId="7DFA38C7">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－设备性能超负荷，致使最终用户感受到业务性能下降。</w:t>
      </w:r>
    </w:p>
    <w:p w14:paraId="0361179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c)三级故障</w:t>
      </w:r>
    </w:p>
    <w:p w14:paraId="3ED3BC7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－对最终用户造成较轻微影响的故障。</w:t>
      </w:r>
    </w:p>
    <w:p w14:paraId="5BF25103">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－对产品功能造成轻微影响的故障。</w:t>
      </w:r>
    </w:p>
    <w:p w14:paraId="7A1ABEDF">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－在商业、经济方面给最终用户造成轻微损失的故障。</w:t>
      </w:r>
    </w:p>
    <w:p w14:paraId="6F19689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－除紧急故障和严重故障外的其他问题。</w:t>
      </w:r>
    </w:p>
    <w:p w14:paraId="3CCE8B86">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例如：</w:t>
      </w:r>
    </w:p>
    <w:p w14:paraId="5ACB7AB4">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－一般节点故障，导致为部分用户提供的服务质量较差。</w:t>
      </w:r>
    </w:p>
    <w:p w14:paraId="4B2F423A">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－显示错误。</w:t>
      </w:r>
    </w:p>
    <w:p w14:paraId="6F0C880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－文件出错。</w:t>
      </w:r>
    </w:p>
    <w:p w14:paraId="4ECC6AE2">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2、故障处理服务规范</w:t>
      </w:r>
    </w:p>
    <w:p w14:paraId="132D4C3A">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招标人维护人员发现故障后，向中标人申告故障，中标人在收到招标人申告后为招标人进行故障处理服务，并根据招标人申告的故障级别提供相应的服务。</w:t>
      </w:r>
    </w:p>
    <w:p w14:paraId="4BD204A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a)一级故障</w:t>
      </w:r>
    </w:p>
    <w:p w14:paraId="5309E56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中标人在收到招标人故障申告后，应立即联系相关工程师，中标人工程师在5分钟内给予招标人电话响应，15分钟内远程登陆网络。</w:t>
      </w:r>
    </w:p>
    <w:p w14:paraId="3DB316C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如果需要到现场，中标人需在保证远程处理的同时增派驻点工程师到达现场，广州120分钟内到达现场。</w:t>
      </w:r>
    </w:p>
    <w:p w14:paraId="1A7DD97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中标人工程师需制定可行的临时应急方案，并在招标人许可后实施，在30分钟内恢复业务基本运行，使网络恢复到不影响招标人重要业务的运行或最终用户仅感受业务质量有轻微下降。</w:t>
      </w:r>
    </w:p>
    <w:p w14:paraId="690D5A4A">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中标人工程师在12小时内解决全部故障，其中包括硬件提供和更换的时间。</w:t>
      </w:r>
    </w:p>
    <w:p w14:paraId="404DA67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中标人工程师在故障最终解决后1个工作日内提供故障报告。</w:t>
      </w:r>
    </w:p>
    <w:p w14:paraId="7DF81E6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b)二级故障</w:t>
      </w:r>
    </w:p>
    <w:p w14:paraId="32B393A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中标人在收到招标人故障申告后，应立即联系相关工程师，中标人工程师在10分钟内给予招标人电话响应，20分钟内远程登陆网络。</w:t>
      </w:r>
    </w:p>
    <w:p w14:paraId="2E349B6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如果需要到现场，中标人需在保证远程处理的同时增派驻点工程师到达现场，广州节点2小时内到达现场，深圳、佛山等节点4小时内到达现场。</w:t>
      </w:r>
    </w:p>
    <w:p w14:paraId="333B870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中标人工程师需制定可行的临时应急方案，并在招标人许可后实施，在30分钟内恢复业务基本运行，使设备或系统恢复到不影响招标人重要业务的运行或最终用户仅感受业务质量有轻微下降。</w:t>
      </w:r>
    </w:p>
    <w:p w14:paraId="0DB8F17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中标人工程师在24小时内解决全部故障，其中包括硬件更换的时间。</w:t>
      </w:r>
    </w:p>
    <w:p w14:paraId="0B15143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中标人工程师在故障最终解决后1个工作日内提供故障报告。</w:t>
      </w:r>
    </w:p>
    <w:p w14:paraId="42B63B1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c)三级故障</w:t>
      </w:r>
    </w:p>
    <w:p w14:paraId="64065791">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中标人在收到招标人故障申告后，应立即联系相关工程师，中标人工程师在30分钟内给予招标人电话响应，2小时内远程登陆网络。</w:t>
      </w:r>
    </w:p>
    <w:p w14:paraId="625A50E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如果需要到现场，中标人派工程师在1个工作日内到达现场。</w:t>
      </w:r>
    </w:p>
    <w:p w14:paraId="3DDFB2F2">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中标人工程师需制定可行的临时应急方案，并在招标人许可后实施，在1个工作日内恢复业务基本运行，使网络恢复到不影响招标人重要业务的运行或最终用户仅感受业务质量有轻微下降。</w:t>
      </w:r>
    </w:p>
    <w:p w14:paraId="49E0CAC0">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中标人工程师在3个工作日内解决全部故障，其中包括硬件提供和更换的时间。</w:t>
      </w:r>
    </w:p>
    <w:p w14:paraId="4FCF039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中标人工程师在故障最终解决后2个工作日内提供故障报告。</w:t>
      </w:r>
    </w:p>
    <w:p w14:paraId="53CA6C0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要求通过先进、标准、可控的技术、工具和方法，安装系统，评估系统趋势，定位系统运行瓶颈，实现系统稳定运行、各项性能指标正常高效、故障响应和处理及时、提升系统运行质量。</w:t>
      </w:r>
    </w:p>
    <w:p w14:paraId="179F727C">
      <w:pPr>
        <w:pStyle w:val="38"/>
        <w:spacing w:line="300" w:lineRule="auto"/>
        <w:ind w:firstLine="591"/>
        <w:rPr>
          <w:rStyle w:val="35"/>
          <w:rFonts w:hint="eastAsia" w:ascii="宋体" w:hAnsi="宋体" w:eastAsia="宋体"/>
          <w:sz w:val="21"/>
          <w:szCs w:val="21"/>
        </w:rPr>
      </w:pPr>
    </w:p>
    <w:p w14:paraId="5AF7B106">
      <w:pPr>
        <w:widowControl/>
        <w:spacing w:after="160" w:line="300" w:lineRule="auto"/>
        <w:jc w:val="left"/>
        <w:rPr>
          <w:rStyle w:val="35"/>
          <w:rFonts w:hint="eastAsia" w:ascii="宋体" w:hAnsi="宋体" w:eastAsia="宋体" w:cs="宋体"/>
          <w:sz w:val="21"/>
          <w:szCs w:val="21"/>
        </w:rPr>
      </w:pPr>
      <w:r>
        <w:rPr>
          <w:rStyle w:val="35"/>
          <w:rFonts w:hint="eastAsia" w:ascii="宋体" w:hAnsi="宋体" w:eastAsia="宋体" w:cs="宋体"/>
          <w:szCs w:val="21"/>
        </w:rPr>
        <w:br w:type="page"/>
      </w:r>
    </w:p>
    <w:p w14:paraId="6B4F12F0">
      <w:pPr>
        <w:pStyle w:val="38"/>
        <w:spacing w:line="300" w:lineRule="auto"/>
        <w:ind w:firstLine="591"/>
        <w:rPr>
          <w:rStyle w:val="35"/>
          <w:rFonts w:hint="eastAsia" w:ascii="宋体" w:hAnsi="宋体" w:eastAsia="宋体"/>
          <w:b/>
          <w:bCs/>
          <w:color w:val="auto"/>
          <w:sz w:val="21"/>
          <w:szCs w:val="21"/>
        </w:rPr>
      </w:pPr>
      <w:r>
        <w:rPr>
          <w:rStyle w:val="35"/>
          <w:rFonts w:hint="eastAsia" w:ascii="宋体" w:hAnsi="宋体" w:eastAsia="宋体"/>
          <w:b/>
          <w:bCs/>
          <w:color w:val="auto"/>
          <w:sz w:val="21"/>
          <w:szCs w:val="21"/>
        </w:rPr>
        <w:t>附表1、项目维保清单</w:t>
      </w:r>
    </w:p>
    <w:tbl>
      <w:tblPr>
        <w:tblStyle w:val="16"/>
        <w:tblW w:w="5193" w:type="pct"/>
        <w:jc w:val="center"/>
        <w:tblLayout w:type="fixed"/>
        <w:tblCellMar>
          <w:top w:w="0" w:type="dxa"/>
          <w:left w:w="108" w:type="dxa"/>
          <w:bottom w:w="0" w:type="dxa"/>
          <w:right w:w="108" w:type="dxa"/>
        </w:tblCellMar>
      </w:tblPr>
      <w:tblGrid>
        <w:gridCol w:w="636"/>
        <w:gridCol w:w="1314"/>
        <w:gridCol w:w="1095"/>
        <w:gridCol w:w="1255"/>
        <w:gridCol w:w="725"/>
        <w:gridCol w:w="2341"/>
        <w:gridCol w:w="1485"/>
      </w:tblGrid>
      <w:tr w14:paraId="3F3AD6C1">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53966045">
            <w:pPr>
              <w:spacing w:after="0" w:line="300" w:lineRule="auto"/>
              <w:jc w:val="center"/>
              <w:rPr>
                <w:rFonts w:hint="eastAsia" w:ascii="宋体" w:hAnsi="宋体" w:eastAsia="宋体" w:cs="宋体"/>
                <w:szCs w:val="21"/>
              </w:rPr>
            </w:pPr>
            <w:r>
              <w:rPr>
                <w:rFonts w:hint="eastAsia" w:ascii="宋体" w:hAnsi="宋体" w:eastAsia="宋体" w:cs="宋体"/>
                <w:szCs w:val="21"/>
              </w:rPr>
              <w:t>序号</w:t>
            </w:r>
          </w:p>
        </w:tc>
        <w:tc>
          <w:tcPr>
            <w:tcW w:w="742" w:type="pct"/>
            <w:tcBorders>
              <w:top w:val="single" w:color="auto" w:sz="4" w:space="0"/>
              <w:left w:val="nil"/>
              <w:bottom w:val="single" w:color="auto" w:sz="4" w:space="0"/>
              <w:right w:val="single" w:color="auto" w:sz="4" w:space="0"/>
            </w:tcBorders>
            <w:noWrap/>
            <w:vAlign w:val="center"/>
          </w:tcPr>
          <w:p w14:paraId="4AF8243D">
            <w:pPr>
              <w:spacing w:after="0" w:line="300" w:lineRule="auto"/>
              <w:jc w:val="center"/>
              <w:rPr>
                <w:rFonts w:hint="eastAsia" w:ascii="宋体" w:hAnsi="宋体" w:eastAsia="宋体" w:cs="宋体"/>
                <w:szCs w:val="21"/>
              </w:rPr>
            </w:pPr>
            <w:r>
              <w:rPr>
                <w:rFonts w:hint="eastAsia" w:ascii="宋体" w:hAnsi="宋体" w:eastAsia="宋体" w:cs="宋体"/>
                <w:szCs w:val="21"/>
              </w:rPr>
              <w:t>机房</w:t>
            </w:r>
          </w:p>
        </w:tc>
        <w:tc>
          <w:tcPr>
            <w:tcW w:w="618" w:type="pct"/>
            <w:tcBorders>
              <w:top w:val="single" w:color="auto" w:sz="4" w:space="0"/>
              <w:left w:val="nil"/>
              <w:bottom w:val="single" w:color="auto" w:sz="4" w:space="0"/>
              <w:right w:val="single" w:color="auto" w:sz="4" w:space="0"/>
            </w:tcBorders>
            <w:noWrap/>
            <w:vAlign w:val="center"/>
          </w:tcPr>
          <w:p w14:paraId="2C930497">
            <w:pPr>
              <w:spacing w:after="0" w:line="300" w:lineRule="auto"/>
              <w:jc w:val="center"/>
              <w:rPr>
                <w:rFonts w:hint="eastAsia" w:ascii="宋体" w:hAnsi="宋体" w:eastAsia="宋体" w:cs="宋体"/>
                <w:szCs w:val="21"/>
              </w:rPr>
            </w:pPr>
            <w:r>
              <w:rPr>
                <w:rFonts w:hint="eastAsia" w:ascii="宋体" w:hAnsi="宋体" w:eastAsia="宋体" w:cs="宋体"/>
                <w:szCs w:val="21"/>
              </w:rPr>
              <w:t>设备品牌</w:t>
            </w:r>
          </w:p>
        </w:tc>
        <w:tc>
          <w:tcPr>
            <w:tcW w:w="708" w:type="pct"/>
            <w:tcBorders>
              <w:top w:val="single" w:color="auto" w:sz="4" w:space="0"/>
              <w:left w:val="nil"/>
              <w:bottom w:val="single" w:color="auto" w:sz="4" w:space="0"/>
              <w:right w:val="single" w:color="auto" w:sz="4" w:space="0"/>
            </w:tcBorders>
            <w:noWrap/>
            <w:vAlign w:val="center"/>
          </w:tcPr>
          <w:p w14:paraId="1F23D2D3">
            <w:pPr>
              <w:spacing w:after="0" w:line="300" w:lineRule="auto"/>
              <w:jc w:val="center"/>
              <w:rPr>
                <w:rFonts w:hint="eastAsia" w:ascii="宋体" w:hAnsi="宋体" w:eastAsia="宋体" w:cs="宋体"/>
                <w:szCs w:val="21"/>
              </w:rPr>
            </w:pPr>
            <w:r>
              <w:rPr>
                <w:rFonts w:hint="eastAsia" w:ascii="宋体" w:hAnsi="宋体" w:eastAsia="宋体" w:cs="宋体"/>
                <w:szCs w:val="21"/>
              </w:rPr>
              <w:t>设备型号</w:t>
            </w:r>
          </w:p>
        </w:tc>
        <w:tc>
          <w:tcPr>
            <w:tcW w:w="409" w:type="pct"/>
            <w:tcBorders>
              <w:top w:val="single" w:color="auto" w:sz="4" w:space="0"/>
              <w:left w:val="nil"/>
              <w:bottom w:val="single" w:color="auto" w:sz="4" w:space="0"/>
              <w:right w:val="single" w:color="auto" w:sz="4" w:space="0"/>
            </w:tcBorders>
            <w:noWrap/>
            <w:vAlign w:val="center"/>
          </w:tcPr>
          <w:p w14:paraId="3C5BA472">
            <w:pPr>
              <w:spacing w:after="0" w:line="300" w:lineRule="auto"/>
              <w:jc w:val="center"/>
              <w:rPr>
                <w:rFonts w:hint="eastAsia" w:ascii="宋体" w:hAnsi="宋体" w:eastAsia="宋体" w:cs="宋体"/>
                <w:szCs w:val="21"/>
              </w:rPr>
            </w:pPr>
            <w:r>
              <w:rPr>
                <w:rFonts w:hint="eastAsia" w:ascii="宋体" w:hAnsi="宋体" w:eastAsia="宋体" w:cs="宋体"/>
                <w:szCs w:val="21"/>
              </w:rPr>
              <w:t>数量</w:t>
            </w:r>
          </w:p>
        </w:tc>
        <w:tc>
          <w:tcPr>
            <w:tcW w:w="1322" w:type="pct"/>
            <w:tcBorders>
              <w:top w:val="single" w:color="auto" w:sz="4" w:space="0"/>
              <w:left w:val="nil"/>
              <w:bottom w:val="single" w:color="auto" w:sz="4" w:space="0"/>
              <w:right w:val="single" w:color="auto" w:sz="4" w:space="0"/>
            </w:tcBorders>
            <w:noWrap/>
            <w:vAlign w:val="center"/>
          </w:tcPr>
          <w:p w14:paraId="22C0814F">
            <w:pPr>
              <w:spacing w:after="0" w:line="300" w:lineRule="auto"/>
              <w:jc w:val="center"/>
              <w:rPr>
                <w:rFonts w:hint="eastAsia" w:ascii="宋体" w:hAnsi="宋体" w:eastAsia="宋体" w:cs="宋体"/>
                <w:szCs w:val="21"/>
              </w:rPr>
            </w:pPr>
            <w:r>
              <w:rPr>
                <w:rFonts w:hint="eastAsia" w:ascii="宋体" w:hAnsi="宋体" w:eastAsia="宋体" w:cs="宋体"/>
                <w:szCs w:val="21"/>
              </w:rPr>
              <w:t>序列号</w:t>
            </w:r>
          </w:p>
        </w:tc>
        <w:tc>
          <w:tcPr>
            <w:tcW w:w="838" w:type="pct"/>
            <w:tcBorders>
              <w:top w:val="single" w:color="auto" w:sz="4" w:space="0"/>
              <w:left w:val="nil"/>
              <w:bottom w:val="single" w:color="auto" w:sz="4" w:space="0"/>
              <w:right w:val="single" w:color="auto" w:sz="4" w:space="0"/>
            </w:tcBorders>
            <w:vAlign w:val="center"/>
          </w:tcPr>
          <w:p w14:paraId="4E2D69A6">
            <w:pPr>
              <w:spacing w:after="0" w:line="300" w:lineRule="auto"/>
              <w:jc w:val="center"/>
              <w:rPr>
                <w:rFonts w:hint="eastAsia" w:ascii="宋体" w:hAnsi="宋体" w:eastAsia="宋体" w:cs="宋体"/>
                <w:szCs w:val="21"/>
              </w:rPr>
            </w:pPr>
            <w:r>
              <w:rPr>
                <w:rFonts w:hint="eastAsia" w:ascii="宋体" w:hAnsi="宋体" w:eastAsia="宋体" w:cs="宋体"/>
                <w:kern w:val="0"/>
                <w:szCs w:val="21"/>
              </w:rPr>
              <w:t>设备原维保实际到期日期</w:t>
            </w:r>
          </w:p>
        </w:tc>
      </w:tr>
      <w:tr w14:paraId="211D9D1F">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4F4D6E99">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742" w:type="pct"/>
            <w:tcBorders>
              <w:top w:val="single" w:color="auto" w:sz="4" w:space="0"/>
              <w:left w:val="single" w:color="auto" w:sz="4" w:space="0"/>
              <w:bottom w:val="single" w:color="auto" w:sz="4" w:space="0"/>
              <w:right w:val="single" w:color="auto" w:sz="4" w:space="0"/>
            </w:tcBorders>
            <w:noWrap/>
            <w:vAlign w:val="center"/>
          </w:tcPr>
          <w:p w14:paraId="6898BE2B">
            <w:pPr>
              <w:spacing w:after="0" w:line="300" w:lineRule="auto"/>
              <w:jc w:val="center"/>
              <w:rPr>
                <w:rFonts w:hint="eastAsia" w:ascii="宋体" w:hAnsi="宋体" w:eastAsia="宋体" w:cs="宋体"/>
                <w:szCs w:val="21"/>
              </w:rPr>
            </w:pPr>
            <w:r>
              <w:rPr>
                <w:rFonts w:hint="eastAsia" w:ascii="宋体" w:hAnsi="宋体" w:eastAsia="宋体" w:cs="宋体"/>
                <w:szCs w:val="21"/>
              </w:rPr>
              <w:t>人民北机房</w:t>
            </w:r>
          </w:p>
        </w:tc>
        <w:tc>
          <w:tcPr>
            <w:tcW w:w="618" w:type="pct"/>
            <w:tcBorders>
              <w:top w:val="single" w:color="auto" w:sz="4" w:space="0"/>
              <w:left w:val="single" w:color="auto" w:sz="4" w:space="0"/>
              <w:bottom w:val="single" w:color="auto" w:sz="4" w:space="0"/>
              <w:right w:val="single" w:color="auto" w:sz="4" w:space="0"/>
            </w:tcBorders>
            <w:noWrap/>
            <w:vAlign w:val="center"/>
          </w:tcPr>
          <w:p w14:paraId="46C4689D">
            <w:pPr>
              <w:spacing w:after="0" w:line="300" w:lineRule="auto"/>
              <w:jc w:val="center"/>
              <w:rPr>
                <w:rFonts w:hint="eastAsia" w:ascii="宋体" w:hAnsi="宋体" w:eastAsia="宋体" w:cs="宋体"/>
                <w:szCs w:val="21"/>
              </w:rPr>
            </w:pPr>
            <w:r>
              <w:rPr>
                <w:rFonts w:hint="eastAsia" w:ascii="宋体" w:hAnsi="宋体" w:eastAsia="宋体" w:cs="宋体"/>
                <w:szCs w:val="21"/>
              </w:rPr>
              <w:t>华为</w:t>
            </w:r>
          </w:p>
        </w:tc>
        <w:tc>
          <w:tcPr>
            <w:tcW w:w="708" w:type="pct"/>
            <w:tcBorders>
              <w:top w:val="single" w:color="auto" w:sz="4" w:space="0"/>
              <w:left w:val="single" w:color="auto" w:sz="4" w:space="0"/>
              <w:bottom w:val="single" w:color="auto" w:sz="4" w:space="0"/>
              <w:right w:val="single" w:color="auto" w:sz="4" w:space="0"/>
            </w:tcBorders>
            <w:noWrap/>
            <w:vAlign w:val="center"/>
          </w:tcPr>
          <w:p w14:paraId="77EE2593">
            <w:pPr>
              <w:spacing w:after="0" w:line="300" w:lineRule="auto"/>
              <w:jc w:val="center"/>
              <w:rPr>
                <w:rFonts w:hint="eastAsia" w:ascii="宋体" w:hAnsi="宋体" w:eastAsia="宋体" w:cs="宋体"/>
                <w:szCs w:val="21"/>
              </w:rPr>
            </w:pPr>
            <w:r>
              <w:rPr>
                <w:rFonts w:hint="eastAsia" w:ascii="宋体" w:hAnsi="宋体" w:eastAsia="宋体" w:cs="宋体"/>
                <w:szCs w:val="21"/>
              </w:rPr>
              <w:t>OceanStor 9000</w:t>
            </w:r>
          </w:p>
        </w:tc>
        <w:tc>
          <w:tcPr>
            <w:tcW w:w="409" w:type="pct"/>
            <w:tcBorders>
              <w:top w:val="single" w:color="auto" w:sz="4" w:space="0"/>
              <w:left w:val="single" w:color="auto" w:sz="4" w:space="0"/>
              <w:bottom w:val="single" w:color="auto" w:sz="4" w:space="0"/>
              <w:right w:val="single" w:color="auto" w:sz="4" w:space="0"/>
            </w:tcBorders>
            <w:noWrap/>
            <w:vAlign w:val="center"/>
          </w:tcPr>
          <w:p w14:paraId="062470BE">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1322" w:type="pct"/>
            <w:tcBorders>
              <w:top w:val="single" w:color="auto" w:sz="4" w:space="0"/>
              <w:left w:val="single" w:color="auto" w:sz="4" w:space="0"/>
              <w:bottom w:val="single" w:color="auto" w:sz="4" w:space="0"/>
              <w:right w:val="single" w:color="auto" w:sz="4" w:space="0"/>
            </w:tcBorders>
            <w:noWrap/>
            <w:vAlign w:val="center"/>
          </w:tcPr>
          <w:p w14:paraId="3F05D1B6">
            <w:pPr>
              <w:spacing w:after="0" w:line="300" w:lineRule="auto"/>
              <w:jc w:val="center"/>
              <w:rPr>
                <w:rFonts w:hint="eastAsia" w:ascii="宋体" w:hAnsi="宋体" w:eastAsia="宋体" w:cs="宋体"/>
                <w:szCs w:val="21"/>
              </w:rPr>
            </w:pPr>
            <w:r>
              <w:rPr>
                <w:rFonts w:hint="eastAsia" w:ascii="宋体" w:hAnsi="宋体" w:eastAsia="宋体" w:cs="宋体"/>
                <w:szCs w:val="21"/>
              </w:rPr>
              <w:t>2102352SNG10K4000003</w:t>
            </w:r>
          </w:p>
        </w:tc>
        <w:tc>
          <w:tcPr>
            <w:tcW w:w="838" w:type="pct"/>
            <w:tcBorders>
              <w:top w:val="single" w:color="auto" w:sz="4" w:space="0"/>
              <w:left w:val="single" w:color="auto" w:sz="4" w:space="0"/>
              <w:bottom w:val="single" w:color="auto" w:sz="4" w:space="0"/>
              <w:right w:val="single" w:color="auto" w:sz="4" w:space="0"/>
            </w:tcBorders>
            <w:vAlign w:val="center"/>
          </w:tcPr>
          <w:p w14:paraId="5D4AFECB">
            <w:pPr>
              <w:spacing w:after="0" w:line="300" w:lineRule="auto"/>
              <w:jc w:val="center"/>
              <w:rPr>
                <w:rFonts w:hint="eastAsia" w:ascii="宋体" w:hAnsi="宋体" w:eastAsia="宋体" w:cs="宋体"/>
                <w:szCs w:val="21"/>
              </w:rPr>
            </w:pPr>
            <w:r>
              <w:rPr>
                <w:rFonts w:hint="eastAsia" w:ascii="宋体" w:hAnsi="宋体" w:eastAsia="宋体" w:cs="宋体"/>
                <w:szCs w:val="21"/>
              </w:rPr>
              <w:t>2027/2/28</w:t>
            </w:r>
          </w:p>
        </w:tc>
      </w:tr>
      <w:tr w14:paraId="25762A9B">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08216CE8">
            <w:pPr>
              <w:spacing w:after="0" w:line="300" w:lineRule="auto"/>
              <w:jc w:val="center"/>
              <w:rPr>
                <w:rFonts w:hint="eastAsia" w:ascii="宋体" w:hAnsi="宋体" w:eastAsia="宋体" w:cs="宋体"/>
                <w:szCs w:val="21"/>
              </w:rPr>
            </w:pPr>
            <w:r>
              <w:rPr>
                <w:rFonts w:hint="eastAsia" w:ascii="宋体" w:hAnsi="宋体" w:eastAsia="宋体" w:cs="宋体"/>
                <w:szCs w:val="21"/>
              </w:rPr>
              <w:t>2</w:t>
            </w:r>
          </w:p>
        </w:tc>
        <w:tc>
          <w:tcPr>
            <w:tcW w:w="742" w:type="pct"/>
            <w:tcBorders>
              <w:top w:val="single" w:color="auto" w:sz="4" w:space="0"/>
              <w:left w:val="single" w:color="auto" w:sz="4" w:space="0"/>
              <w:bottom w:val="single" w:color="auto" w:sz="4" w:space="0"/>
              <w:right w:val="single" w:color="auto" w:sz="4" w:space="0"/>
            </w:tcBorders>
            <w:noWrap/>
            <w:vAlign w:val="center"/>
          </w:tcPr>
          <w:p w14:paraId="055BAE11">
            <w:pPr>
              <w:spacing w:after="0" w:line="300" w:lineRule="auto"/>
              <w:jc w:val="center"/>
              <w:rPr>
                <w:rFonts w:hint="eastAsia" w:ascii="宋体" w:hAnsi="宋体" w:eastAsia="宋体" w:cs="宋体"/>
                <w:szCs w:val="21"/>
              </w:rPr>
            </w:pPr>
            <w:r>
              <w:rPr>
                <w:rFonts w:hint="eastAsia" w:ascii="宋体" w:hAnsi="宋体" w:eastAsia="宋体" w:cs="宋体"/>
                <w:szCs w:val="21"/>
              </w:rPr>
              <w:t>人民北机房</w:t>
            </w:r>
          </w:p>
        </w:tc>
        <w:tc>
          <w:tcPr>
            <w:tcW w:w="618" w:type="pct"/>
            <w:tcBorders>
              <w:top w:val="single" w:color="auto" w:sz="4" w:space="0"/>
              <w:left w:val="single" w:color="auto" w:sz="4" w:space="0"/>
              <w:bottom w:val="single" w:color="auto" w:sz="4" w:space="0"/>
              <w:right w:val="single" w:color="auto" w:sz="4" w:space="0"/>
            </w:tcBorders>
            <w:noWrap/>
            <w:vAlign w:val="center"/>
          </w:tcPr>
          <w:p w14:paraId="293174FB">
            <w:pPr>
              <w:spacing w:after="0" w:line="300" w:lineRule="auto"/>
              <w:jc w:val="center"/>
              <w:rPr>
                <w:rFonts w:hint="eastAsia" w:ascii="宋体" w:hAnsi="宋体" w:eastAsia="宋体" w:cs="宋体"/>
                <w:szCs w:val="21"/>
              </w:rPr>
            </w:pPr>
            <w:r>
              <w:rPr>
                <w:rFonts w:hint="eastAsia" w:ascii="宋体" w:hAnsi="宋体" w:eastAsia="宋体" w:cs="宋体"/>
                <w:szCs w:val="21"/>
              </w:rPr>
              <w:t>华为</w:t>
            </w:r>
          </w:p>
        </w:tc>
        <w:tc>
          <w:tcPr>
            <w:tcW w:w="708" w:type="pct"/>
            <w:tcBorders>
              <w:top w:val="single" w:color="auto" w:sz="4" w:space="0"/>
              <w:left w:val="single" w:color="auto" w:sz="4" w:space="0"/>
              <w:bottom w:val="single" w:color="auto" w:sz="4" w:space="0"/>
              <w:right w:val="single" w:color="auto" w:sz="4" w:space="0"/>
            </w:tcBorders>
            <w:noWrap/>
            <w:vAlign w:val="center"/>
          </w:tcPr>
          <w:p w14:paraId="69617A80">
            <w:pPr>
              <w:spacing w:after="0" w:line="300" w:lineRule="auto"/>
              <w:jc w:val="center"/>
              <w:rPr>
                <w:rFonts w:hint="eastAsia" w:ascii="宋体" w:hAnsi="宋体" w:eastAsia="宋体" w:cs="宋体"/>
                <w:szCs w:val="21"/>
              </w:rPr>
            </w:pPr>
            <w:r>
              <w:rPr>
                <w:rFonts w:hint="eastAsia" w:ascii="宋体" w:hAnsi="宋体" w:eastAsia="宋体" w:cs="宋体"/>
                <w:szCs w:val="21"/>
              </w:rPr>
              <w:t>OceanStor 9000</w:t>
            </w:r>
          </w:p>
        </w:tc>
        <w:tc>
          <w:tcPr>
            <w:tcW w:w="409" w:type="pct"/>
            <w:tcBorders>
              <w:top w:val="single" w:color="auto" w:sz="4" w:space="0"/>
              <w:left w:val="single" w:color="auto" w:sz="4" w:space="0"/>
              <w:bottom w:val="single" w:color="auto" w:sz="4" w:space="0"/>
              <w:right w:val="single" w:color="auto" w:sz="4" w:space="0"/>
            </w:tcBorders>
            <w:noWrap/>
            <w:vAlign w:val="center"/>
          </w:tcPr>
          <w:p w14:paraId="5BA57EFA">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1322" w:type="pct"/>
            <w:tcBorders>
              <w:top w:val="single" w:color="auto" w:sz="4" w:space="0"/>
              <w:left w:val="single" w:color="auto" w:sz="4" w:space="0"/>
              <w:bottom w:val="single" w:color="auto" w:sz="4" w:space="0"/>
              <w:right w:val="single" w:color="auto" w:sz="4" w:space="0"/>
            </w:tcBorders>
            <w:noWrap/>
            <w:vAlign w:val="center"/>
          </w:tcPr>
          <w:p w14:paraId="77052E09">
            <w:pPr>
              <w:spacing w:after="0" w:line="300" w:lineRule="auto"/>
              <w:jc w:val="center"/>
              <w:rPr>
                <w:rFonts w:hint="eastAsia" w:ascii="宋体" w:hAnsi="宋体" w:eastAsia="宋体" w:cs="宋体"/>
                <w:szCs w:val="21"/>
              </w:rPr>
            </w:pPr>
            <w:r>
              <w:rPr>
                <w:rFonts w:hint="eastAsia" w:ascii="宋体" w:hAnsi="宋体" w:eastAsia="宋体" w:cs="宋体"/>
                <w:szCs w:val="21"/>
              </w:rPr>
              <w:t>2102352SNG10K4000002</w:t>
            </w:r>
          </w:p>
        </w:tc>
        <w:tc>
          <w:tcPr>
            <w:tcW w:w="838" w:type="pct"/>
            <w:tcBorders>
              <w:top w:val="single" w:color="auto" w:sz="4" w:space="0"/>
              <w:left w:val="single" w:color="auto" w:sz="4" w:space="0"/>
              <w:bottom w:val="single" w:color="auto" w:sz="4" w:space="0"/>
              <w:right w:val="single" w:color="auto" w:sz="4" w:space="0"/>
            </w:tcBorders>
            <w:vAlign w:val="center"/>
          </w:tcPr>
          <w:p w14:paraId="1CC3FAB8">
            <w:pPr>
              <w:spacing w:after="0" w:line="300" w:lineRule="auto"/>
              <w:jc w:val="center"/>
              <w:rPr>
                <w:rFonts w:hint="eastAsia" w:ascii="宋体" w:hAnsi="宋体" w:eastAsia="宋体" w:cs="宋体"/>
                <w:szCs w:val="21"/>
              </w:rPr>
            </w:pPr>
            <w:r>
              <w:rPr>
                <w:rFonts w:hint="eastAsia" w:ascii="宋体" w:hAnsi="宋体" w:eastAsia="宋体" w:cs="宋体"/>
                <w:szCs w:val="21"/>
              </w:rPr>
              <w:t>2027/2/28</w:t>
            </w:r>
          </w:p>
        </w:tc>
      </w:tr>
      <w:tr w14:paraId="196F1A73">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414D33E8">
            <w:pPr>
              <w:spacing w:after="0" w:line="300" w:lineRule="auto"/>
              <w:jc w:val="center"/>
              <w:rPr>
                <w:rFonts w:hint="eastAsia" w:ascii="宋体" w:hAnsi="宋体" w:eastAsia="宋体" w:cs="宋体"/>
                <w:szCs w:val="21"/>
              </w:rPr>
            </w:pPr>
            <w:r>
              <w:rPr>
                <w:rFonts w:hint="eastAsia" w:ascii="宋体" w:hAnsi="宋体" w:eastAsia="宋体" w:cs="宋体"/>
                <w:szCs w:val="21"/>
              </w:rPr>
              <w:t>3</w:t>
            </w:r>
          </w:p>
        </w:tc>
        <w:tc>
          <w:tcPr>
            <w:tcW w:w="742" w:type="pct"/>
            <w:tcBorders>
              <w:top w:val="single" w:color="auto" w:sz="4" w:space="0"/>
              <w:left w:val="single" w:color="auto" w:sz="4" w:space="0"/>
              <w:bottom w:val="single" w:color="auto" w:sz="4" w:space="0"/>
              <w:right w:val="single" w:color="auto" w:sz="4" w:space="0"/>
            </w:tcBorders>
            <w:noWrap/>
            <w:vAlign w:val="center"/>
          </w:tcPr>
          <w:p w14:paraId="49CD1C94">
            <w:pPr>
              <w:spacing w:after="0" w:line="300" w:lineRule="auto"/>
              <w:jc w:val="center"/>
              <w:rPr>
                <w:rFonts w:hint="eastAsia" w:ascii="宋体" w:hAnsi="宋体" w:eastAsia="宋体" w:cs="宋体"/>
                <w:szCs w:val="21"/>
              </w:rPr>
            </w:pPr>
            <w:r>
              <w:rPr>
                <w:rFonts w:hint="eastAsia" w:ascii="宋体" w:hAnsi="宋体" w:eastAsia="宋体" w:cs="宋体"/>
                <w:szCs w:val="21"/>
              </w:rPr>
              <w:t>人民北机房</w:t>
            </w:r>
          </w:p>
        </w:tc>
        <w:tc>
          <w:tcPr>
            <w:tcW w:w="618" w:type="pct"/>
            <w:tcBorders>
              <w:top w:val="single" w:color="auto" w:sz="4" w:space="0"/>
              <w:left w:val="single" w:color="auto" w:sz="4" w:space="0"/>
              <w:bottom w:val="single" w:color="auto" w:sz="4" w:space="0"/>
              <w:right w:val="single" w:color="auto" w:sz="4" w:space="0"/>
            </w:tcBorders>
            <w:noWrap/>
            <w:vAlign w:val="center"/>
          </w:tcPr>
          <w:p w14:paraId="5CCE36AD">
            <w:pPr>
              <w:spacing w:after="0" w:line="300" w:lineRule="auto"/>
              <w:jc w:val="center"/>
              <w:rPr>
                <w:rFonts w:hint="eastAsia" w:ascii="宋体" w:hAnsi="宋体" w:eastAsia="宋体" w:cs="宋体"/>
                <w:szCs w:val="21"/>
              </w:rPr>
            </w:pPr>
            <w:r>
              <w:rPr>
                <w:rFonts w:hint="eastAsia" w:ascii="宋体" w:hAnsi="宋体" w:eastAsia="宋体" w:cs="宋体"/>
                <w:szCs w:val="21"/>
              </w:rPr>
              <w:t>华为</w:t>
            </w:r>
          </w:p>
        </w:tc>
        <w:tc>
          <w:tcPr>
            <w:tcW w:w="708" w:type="pct"/>
            <w:tcBorders>
              <w:top w:val="single" w:color="auto" w:sz="4" w:space="0"/>
              <w:left w:val="single" w:color="auto" w:sz="4" w:space="0"/>
              <w:bottom w:val="single" w:color="auto" w:sz="4" w:space="0"/>
              <w:right w:val="single" w:color="auto" w:sz="4" w:space="0"/>
            </w:tcBorders>
            <w:noWrap/>
            <w:vAlign w:val="center"/>
          </w:tcPr>
          <w:p w14:paraId="6E146DAD">
            <w:pPr>
              <w:spacing w:after="0" w:line="300" w:lineRule="auto"/>
              <w:jc w:val="center"/>
              <w:rPr>
                <w:rFonts w:hint="eastAsia" w:ascii="宋体" w:hAnsi="宋体" w:eastAsia="宋体" w:cs="宋体"/>
                <w:szCs w:val="21"/>
              </w:rPr>
            </w:pPr>
            <w:r>
              <w:rPr>
                <w:rFonts w:hint="eastAsia" w:ascii="宋体" w:hAnsi="宋体" w:eastAsia="宋体" w:cs="宋体"/>
                <w:szCs w:val="21"/>
              </w:rPr>
              <w:t>OceanStor 9000</w:t>
            </w:r>
          </w:p>
        </w:tc>
        <w:tc>
          <w:tcPr>
            <w:tcW w:w="409" w:type="pct"/>
            <w:tcBorders>
              <w:top w:val="single" w:color="auto" w:sz="4" w:space="0"/>
              <w:left w:val="single" w:color="auto" w:sz="4" w:space="0"/>
              <w:bottom w:val="single" w:color="auto" w:sz="4" w:space="0"/>
              <w:right w:val="single" w:color="auto" w:sz="4" w:space="0"/>
            </w:tcBorders>
            <w:noWrap/>
            <w:vAlign w:val="center"/>
          </w:tcPr>
          <w:p w14:paraId="20C07618">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1322" w:type="pct"/>
            <w:tcBorders>
              <w:top w:val="single" w:color="auto" w:sz="4" w:space="0"/>
              <w:left w:val="single" w:color="auto" w:sz="4" w:space="0"/>
              <w:bottom w:val="single" w:color="auto" w:sz="4" w:space="0"/>
              <w:right w:val="single" w:color="auto" w:sz="4" w:space="0"/>
            </w:tcBorders>
            <w:noWrap/>
            <w:vAlign w:val="center"/>
          </w:tcPr>
          <w:p w14:paraId="127F2E18">
            <w:pPr>
              <w:spacing w:after="0" w:line="300" w:lineRule="auto"/>
              <w:jc w:val="center"/>
              <w:rPr>
                <w:rFonts w:hint="eastAsia" w:ascii="宋体" w:hAnsi="宋体" w:eastAsia="宋体" w:cs="宋体"/>
                <w:szCs w:val="21"/>
              </w:rPr>
            </w:pPr>
            <w:r>
              <w:rPr>
                <w:rFonts w:hint="eastAsia" w:ascii="宋体" w:hAnsi="宋体" w:eastAsia="宋体" w:cs="宋体"/>
                <w:szCs w:val="21"/>
              </w:rPr>
              <w:t>2102352SNG10K4000001</w:t>
            </w:r>
          </w:p>
        </w:tc>
        <w:tc>
          <w:tcPr>
            <w:tcW w:w="838" w:type="pct"/>
            <w:tcBorders>
              <w:top w:val="single" w:color="auto" w:sz="4" w:space="0"/>
              <w:left w:val="single" w:color="auto" w:sz="4" w:space="0"/>
              <w:bottom w:val="single" w:color="auto" w:sz="4" w:space="0"/>
              <w:right w:val="single" w:color="auto" w:sz="4" w:space="0"/>
            </w:tcBorders>
            <w:vAlign w:val="center"/>
          </w:tcPr>
          <w:p w14:paraId="34180B1D">
            <w:pPr>
              <w:spacing w:after="0" w:line="300" w:lineRule="auto"/>
              <w:jc w:val="center"/>
              <w:rPr>
                <w:rFonts w:hint="eastAsia" w:ascii="宋体" w:hAnsi="宋体" w:eastAsia="宋体" w:cs="宋体"/>
                <w:szCs w:val="21"/>
              </w:rPr>
            </w:pPr>
            <w:r>
              <w:rPr>
                <w:rFonts w:hint="eastAsia" w:ascii="宋体" w:hAnsi="宋体" w:eastAsia="宋体" w:cs="宋体"/>
                <w:szCs w:val="21"/>
              </w:rPr>
              <w:t>2027/2/28</w:t>
            </w:r>
          </w:p>
        </w:tc>
      </w:tr>
    </w:tbl>
    <w:p w14:paraId="0D00685E">
      <w:pPr>
        <w:widowControl/>
        <w:spacing w:after="160" w:line="300" w:lineRule="auto"/>
        <w:jc w:val="left"/>
        <w:rPr>
          <w:rFonts w:hint="eastAsia"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334"/>
    <w:rsid w:val="0003355D"/>
    <w:rsid w:val="00036633"/>
    <w:rsid w:val="000540CE"/>
    <w:rsid w:val="000F10D6"/>
    <w:rsid w:val="00113D62"/>
    <w:rsid w:val="00143A2A"/>
    <w:rsid w:val="00150889"/>
    <w:rsid w:val="001524A0"/>
    <w:rsid w:val="00175A19"/>
    <w:rsid w:val="00183E16"/>
    <w:rsid w:val="00235B97"/>
    <w:rsid w:val="00292934"/>
    <w:rsid w:val="002F6D17"/>
    <w:rsid w:val="00321B79"/>
    <w:rsid w:val="003402D2"/>
    <w:rsid w:val="003F5C5E"/>
    <w:rsid w:val="00426882"/>
    <w:rsid w:val="0044240F"/>
    <w:rsid w:val="00481CC7"/>
    <w:rsid w:val="004B1997"/>
    <w:rsid w:val="00520D65"/>
    <w:rsid w:val="005635E1"/>
    <w:rsid w:val="0058428D"/>
    <w:rsid w:val="005F6FD3"/>
    <w:rsid w:val="00626103"/>
    <w:rsid w:val="00687FD4"/>
    <w:rsid w:val="00741A69"/>
    <w:rsid w:val="007549F8"/>
    <w:rsid w:val="00765A4A"/>
    <w:rsid w:val="007B3A15"/>
    <w:rsid w:val="008364F4"/>
    <w:rsid w:val="00840B26"/>
    <w:rsid w:val="0087484A"/>
    <w:rsid w:val="00913580"/>
    <w:rsid w:val="00921041"/>
    <w:rsid w:val="00925FBA"/>
    <w:rsid w:val="00953736"/>
    <w:rsid w:val="00990883"/>
    <w:rsid w:val="00991843"/>
    <w:rsid w:val="009F6FE7"/>
    <w:rsid w:val="00A00D32"/>
    <w:rsid w:val="00A80975"/>
    <w:rsid w:val="00AE7193"/>
    <w:rsid w:val="00B353B4"/>
    <w:rsid w:val="00B575EF"/>
    <w:rsid w:val="00BD4505"/>
    <w:rsid w:val="00BE6925"/>
    <w:rsid w:val="00C54A32"/>
    <w:rsid w:val="00C748F3"/>
    <w:rsid w:val="00C75CC6"/>
    <w:rsid w:val="00CA2C94"/>
    <w:rsid w:val="00CA6438"/>
    <w:rsid w:val="00CC652B"/>
    <w:rsid w:val="00CD76A2"/>
    <w:rsid w:val="00CE4D17"/>
    <w:rsid w:val="00D60CE0"/>
    <w:rsid w:val="00D6318F"/>
    <w:rsid w:val="00DA17EF"/>
    <w:rsid w:val="00DA1CC7"/>
    <w:rsid w:val="00DF3334"/>
    <w:rsid w:val="00E1684E"/>
    <w:rsid w:val="00E52E24"/>
    <w:rsid w:val="00EC5AE0"/>
    <w:rsid w:val="00F03951"/>
    <w:rsid w:val="10FC1773"/>
    <w:rsid w:val="34483255"/>
    <w:rsid w:val="43313185"/>
    <w:rsid w:val="643E7476"/>
    <w:rsid w:val="6F91404C"/>
    <w:rsid w:val="7BCA2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0"/>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cstheme="majorBidi"/>
      <w:b/>
      <w:bCs/>
      <w:color w:val="104862" w:themeColor="accent1" w:themeShade="BF"/>
      <w:sz w:val="22"/>
      <w:szCs w:val="24"/>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spacing w:after="50" w:afterLines="50" w:line="360" w:lineRule="auto"/>
      <w:ind w:firstLine="420" w:firstLineChars="200"/>
    </w:pPr>
    <w:rPr>
      <w:rFonts w:ascii="Times New Roman" w:hAnsi="Times New Roman" w:eastAsia="宋体" w:cs="Times New Roman"/>
      <w:szCs w:val="24"/>
    </w:rPr>
  </w:style>
  <w:style w:type="paragraph" w:styleId="12">
    <w:name w:val="footer"/>
    <w:basedOn w:val="1"/>
    <w:link w:val="37"/>
    <w:unhideWhenUsed/>
    <w:qFormat/>
    <w:uiPriority w:val="99"/>
    <w:pPr>
      <w:tabs>
        <w:tab w:val="center" w:pos="4153"/>
        <w:tab w:val="right" w:pos="8306"/>
      </w:tabs>
      <w:snapToGrid w:val="0"/>
    </w:pPr>
    <w:rPr>
      <w:sz w:val="18"/>
      <w:szCs w:val="18"/>
    </w:rPr>
  </w:style>
  <w:style w:type="paragraph" w:styleId="13">
    <w:name w:val="header"/>
    <w:basedOn w:val="1"/>
    <w:link w:val="36"/>
    <w:unhideWhenUsed/>
    <w:qFormat/>
    <w:uiPriority w:val="99"/>
    <w:pPr>
      <w:tabs>
        <w:tab w:val="center" w:pos="4153"/>
        <w:tab w:val="right" w:pos="8306"/>
      </w:tabs>
      <w:snapToGrid w:val="0"/>
      <w:spacing w:after="160"/>
      <w:jc w:val="center"/>
    </w:pPr>
    <w:rPr>
      <w:sz w:val="18"/>
      <w:szCs w:val="18"/>
      <w14:ligatures w14:val="standardContextual"/>
    </w:rPr>
  </w:style>
  <w:style w:type="paragraph" w:styleId="14">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8">
    <w:name w:val="标题 1 字符"/>
    <w:basedOn w:val="17"/>
    <w:link w:val="2"/>
    <w:qFormat/>
    <w:uiPriority w:val="0"/>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link w:val="42"/>
    <w:qFormat/>
    <w:uiPriority w:val="34"/>
    <w:pPr>
      <w:spacing w:after="160" w:line="278" w:lineRule="auto"/>
      <w:ind w:left="720"/>
      <w:contextualSpacing/>
      <w:jc w:val="left"/>
    </w:pPr>
    <w:rPr>
      <w:sz w:val="22"/>
      <w:szCs w:val="24"/>
      <w14:ligatures w14:val="standardContextual"/>
    </w:r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104862" w:themeColor="accent1" w:themeShade="BF"/>
      <w:sz w:val="22"/>
      <w:szCs w:val="24"/>
      <w14:ligatures w14:val="standardContextual"/>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paragraph" w:customStyle="1" w:styleId="38">
    <w:name w:val="snm_正文"/>
    <w:basedOn w:val="1"/>
    <w:link w:val="39"/>
    <w:autoRedefine/>
    <w:qFormat/>
    <w:uiPriority w:val="0"/>
    <w:pPr>
      <w:spacing w:line="360" w:lineRule="auto"/>
      <w:ind w:firstLine="560" w:firstLineChars="200"/>
    </w:pPr>
    <w:rPr>
      <w:rFonts w:ascii="仿宋" w:hAnsi="仿宋" w:eastAsia="仿宋" w:cs="宋体"/>
      <w:sz w:val="28"/>
      <w:szCs w:val="28"/>
    </w:rPr>
  </w:style>
  <w:style w:type="character" w:customStyle="1" w:styleId="39">
    <w:name w:val="snm_正文 Char"/>
    <w:link w:val="38"/>
    <w:autoRedefine/>
    <w:qFormat/>
    <w:uiPriority w:val="0"/>
    <w:rPr>
      <w:rFonts w:ascii="仿宋" w:hAnsi="仿宋" w:eastAsia="仿宋" w:cs="宋体"/>
      <w:sz w:val="28"/>
      <w:szCs w:val="28"/>
      <w14:ligatures w14:val="none"/>
    </w:rPr>
  </w:style>
  <w:style w:type="character" w:customStyle="1" w:styleId="40">
    <w:name w:val="无间隔 字符"/>
    <w:link w:val="41"/>
    <w:qFormat/>
    <w:uiPriority w:val="1"/>
    <w:rPr>
      <w:rFonts w:ascii="Times New Roman" w:hAnsi="Times New Roman" w:eastAsia="宋体" w:cs="Times New Roman"/>
      <w:sz w:val="21"/>
      <w:szCs w:val="21"/>
    </w:rPr>
  </w:style>
  <w:style w:type="paragraph" w:styleId="41">
    <w:name w:val="No Spacing"/>
    <w:link w:val="40"/>
    <w:qFormat/>
    <w:uiPriority w:val="1"/>
    <w:pPr>
      <w:widowControl w:val="0"/>
      <w:adjustRightInd w:val="0"/>
      <w:snapToGrid w:val="0"/>
      <w:spacing w:line="360" w:lineRule="auto"/>
    </w:pPr>
    <w:rPr>
      <w:rFonts w:ascii="Times New Roman" w:hAnsi="Times New Roman" w:eastAsia="宋体" w:cs="Times New Roman"/>
      <w:kern w:val="2"/>
      <w:sz w:val="21"/>
      <w:szCs w:val="21"/>
      <w:lang w:val="en-US" w:eastAsia="zh-CN" w:bidi="ar-SA"/>
      <w14:ligatures w14:val="standardContextual"/>
    </w:rPr>
  </w:style>
  <w:style w:type="character" w:customStyle="1" w:styleId="42">
    <w:name w:val="列表段落 字符"/>
    <w:link w:val="31"/>
    <w:qFormat/>
    <w:uiPriority w:val="0"/>
  </w:style>
  <w:style w:type="paragraph" w:customStyle="1" w:styleId="43">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15524-2BD7-4251-84A3-FBF1E470F272}">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3817</Words>
  <Characters>4201</Characters>
  <Lines>31</Lines>
  <Paragraphs>8</Paragraphs>
  <TotalTime>16</TotalTime>
  <ScaleCrop>false</ScaleCrop>
  <LinksUpToDate>false</LinksUpToDate>
  <CharactersWithSpaces>4217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2026-01-28T03:36:00Z</dcterms:created>
  <dc:creator>e94121</dc:creator>
  <cp:lastModifiedBy>gc</cp:lastModifiedBy>
  <dcterms:modified xsi:type="dcterms:W3CDTF">2026-08-18T02:46:46Z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eyJoZGlkIjoiOWY3NzVhODk5MjBlMWY2OGFmMmY1M2E0MmM2ZTJkYjAiLCJ1c2VySWQiOiI2MjU5ODg1NTIifQ==</vt:lpwstr>
  </property>
  <property fmtid="{D5CDD505-2E9C-101B-9397-08002B2CF9AE}" pid="3" name="KSOProductBuildVer">
    <vt:lpwstr>2052-12.1.0.28022</vt:lpwstr>
  </property>
  <property fmtid="{D5CDD505-2E9C-101B-9397-08002B2CF9AE}" pid="4" name="ICV">
    <vt:lpwstr>5F544540FBD145739B392B39ABEBE715_12</vt:lpwstr>
  </property>
</Properties>
</file>