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2"/>
        <w:gridCol w:w="1536"/>
        <w:gridCol w:w="1462"/>
        <w:gridCol w:w="607"/>
        <w:gridCol w:w="1229"/>
        <w:gridCol w:w="1280"/>
        <w:gridCol w:w="1646"/>
      </w:tblGrid>
      <w:tr w14:paraId="6F540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034" w:type="pct"/>
            <w:gridSpan w:val="6"/>
            <w:tcBorders>
              <w:top w:val="nil"/>
              <w:left w:val="nil"/>
              <w:bottom w:val="single" w:color="auto" w:sz="4" w:space="0"/>
              <w:right w:val="nil"/>
            </w:tcBorders>
            <w:shd w:val="clear" w:color="auto" w:fill="FFFFFF"/>
            <w:noWrap/>
            <w:vAlign w:val="center"/>
          </w:tcPr>
          <w:p w14:paraId="05DC65E9">
            <w:pPr>
              <w:keepNext w:val="0"/>
              <w:keepLines w:val="0"/>
              <w:widowControl/>
              <w:suppressLineNumbers w:val="0"/>
              <w:snapToGrid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A.报价一览表</w:t>
            </w:r>
          </w:p>
        </w:tc>
        <w:tc>
          <w:tcPr>
            <w:tcW w:w="965" w:type="pct"/>
            <w:tcBorders>
              <w:top w:val="nil"/>
              <w:left w:val="nil"/>
              <w:bottom w:val="single" w:color="auto" w:sz="4" w:space="0"/>
              <w:right w:val="nil"/>
            </w:tcBorders>
            <w:shd w:val="clear" w:color="auto" w:fill="FFFFFF"/>
            <w:noWrap/>
            <w:vAlign w:val="center"/>
          </w:tcPr>
          <w:p w14:paraId="1D31BDC3">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8"/>
                <w:szCs w:val="28"/>
                <w:u w:val="none"/>
                <w:lang w:val="en-US" w:eastAsia="zh-CN" w:bidi="ar"/>
              </w:rPr>
            </w:pPr>
          </w:p>
        </w:tc>
      </w:tr>
      <w:tr w14:paraId="749BB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7" w:type="pct"/>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14:paraId="2D69010A">
            <w:pPr>
              <w:keepNext w:val="0"/>
              <w:keepLines w:val="0"/>
              <w:widowControl/>
              <w:suppressLineNumbers w:val="0"/>
              <w:snapToGrid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90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36567A">
            <w:pPr>
              <w:keepNext w:val="0"/>
              <w:keepLines w:val="0"/>
              <w:widowControl/>
              <w:suppressLineNumbers w:val="0"/>
              <w:snapToGrid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51"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F8CA2D">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费用</w:t>
            </w:r>
          </w:p>
        </w:tc>
      </w:tr>
      <w:tr w14:paraId="40DE1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7"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54CE9D30">
            <w:pPr>
              <w:snapToGrid w:val="0"/>
              <w:jc w:val="center"/>
              <w:rPr>
                <w:rFonts w:hint="eastAsia" w:ascii="宋体" w:hAnsi="宋体" w:eastAsia="宋体" w:cs="宋体"/>
                <w:b/>
                <w:bCs/>
                <w:i w:val="0"/>
                <w:iCs w:val="0"/>
                <w:color w:val="000000"/>
                <w:sz w:val="20"/>
                <w:szCs w:val="20"/>
                <w:u w:val="none"/>
              </w:rPr>
            </w:pPr>
          </w:p>
        </w:tc>
        <w:tc>
          <w:tcPr>
            <w:tcW w:w="90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C1D832">
            <w:pPr>
              <w:snapToGrid w:val="0"/>
              <w:jc w:val="center"/>
              <w:rPr>
                <w:rFonts w:hint="eastAsia" w:ascii="宋体" w:hAnsi="宋体" w:eastAsia="宋体" w:cs="宋体"/>
                <w:b/>
                <w:bCs/>
                <w:i w:val="0"/>
                <w:iCs w:val="0"/>
                <w:color w:val="000000"/>
                <w:sz w:val="20"/>
                <w:szCs w:val="20"/>
                <w:u w:val="none"/>
              </w:rPr>
            </w:pPr>
          </w:p>
        </w:tc>
        <w:tc>
          <w:tcPr>
            <w:tcW w:w="858" w:type="pct"/>
            <w:tcBorders>
              <w:top w:val="single" w:color="auto" w:sz="4" w:space="0"/>
              <w:left w:val="single" w:color="auto" w:sz="4" w:space="0"/>
              <w:bottom w:val="single" w:color="auto" w:sz="4" w:space="0"/>
              <w:right w:val="single" w:color="auto" w:sz="4" w:space="0"/>
            </w:tcBorders>
            <w:shd w:val="clear" w:color="auto" w:fill="FFFFFF"/>
            <w:vAlign w:val="center"/>
          </w:tcPr>
          <w:p w14:paraId="02F66E68">
            <w:pPr>
              <w:keepNext w:val="0"/>
              <w:keepLines w:val="0"/>
              <w:widowControl/>
              <w:suppressLineNumbers w:val="0"/>
              <w:snapToGrid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最高含税总价限价</w:t>
            </w:r>
          </w:p>
        </w:tc>
        <w:tc>
          <w:tcPr>
            <w:tcW w:w="356" w:type="pct"/>
            <w:tcBorders>
              <w:top w:val="single" w:color="auto" w:sz="4" w:space="0"/>
              <w:left w:val="single" w:color="auto" w:sz="4" w:space="0"/>
              <w:bottom w:val="single" w:color="auto" w:sz="4" w:space="0"/>
              <w:right w:val="single" w:color="auto" w:sz="4" w:space="0"/>
            </w:tcBorders>
            <w:shd w:val="clear" w:color="auto" w:fill="FFFFFF"/>
            <w:vAlign w:val="center"/>
          </w:tcPr>
          <w:p w14:paraId="5EB7BED3">
            <w:pPr>
              <w:keepNext w:val="0"/>
              <w:keepLines w:val="0"/>
              <w:widowControl/>
              <w:suppressLineNumbers w:val="0"/>
              <w:snapToGrid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721" w:type="pct"/>
            <w:tcBorders>
              <w:top w:val="single" w:color="auto" w:sz="4" w:space="0"/>
              <w:left w:val="single" w:color="auto" w:sz="4" w:space="0"/>
              <w:bottom w:val="single" w:color="auto" w:sz="4" w:space="0"/>
              <w:right w:val="single" w:color="auto" w:sz="4" w:space="0"/>
            </w:tcBorders>
            <w:shd w:val="clear" w:color="auto" w:fill="FFFFFF"/>
            <w:vAlign w:val="center"/>
          </w:tcPr>
          <w:p w14:paraId="0EDC5779">
            <w:pPr>
              <w:keepNext w:val="0"/>
              <w:keepLines w:val="0"/>
              <w:widowControl/>
              <w:suppressLineNumbers w:val="0"/>
              <w:snapToGrid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（a）含税总价</w:t>
            </w:r>
          </w:p>
        </w:tc>
        <w:tc>
          <w:tcPr>
            <w:tcW w:w="749" w:type="pct"/>
            <w:tcBorders>
              <w:top w:val="single" w:color="auto" w:sz="4" w:space="0"/>
              <w:left w:val="single" w:color="auto" w:sz="4" w:space="0"/>
              <w:bottom w:val="single" w:color="auto" w:sz="4" w:space="0"/>
              <w:right w:val="single" w:color="auto" w:sz="4" w:space="0"/>
            </w:tcBorders>
            <w:shd w:val="clear" w:color="auto" w:fill="FFFFFF"/>
            <w:vAlign w:val="center"/>
          </w:tcPr>
          <w:p w14:paraId="0086BC27">
            <w:pPr>
              <w:keepNext w:val="0"/>
              <w:keepLines w:val="0"/>
              <w:widowControl/>
              <w:suppressLineNumbers w:val="0"/>
              <w:snapToGrid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（b）税率（%）</w:t>
            </w:r>
          </w:p>
        </w:tc>
        <w:tc>
          <w:tcPr>
            <w:tcW w:w="965" w:type="pct"/>
            <w:tcBorders>
              <w:top w:val="single" w:color="auto" w:sz="4" w:space="0"/>
              <w:left w:val="single" w:color="auto" w:sz="4" w:space="0"/>
              <w:bottom w:val="single" w:color="auto" w:sz="4" w:space="0"/>
              <w:right w:val="single" w:color="auto" w:sz="4" w:space="0"/>
            </w:tcBorders>
            <w:shd w:val="clear" w:color="auto" w:fill="FFFFFF"/>
            <w:vAlign w:val="center"/>
          </w:tcPr>
          <w:p w14:paraId="100CBFEF">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（c）不含税总价</w:t>
            </w:r>
          </w:p>
          <w:p w14:paraId="49834620">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c=a/(1+b)</w:t>
            </w:r>
          </w:p>
        </w:tc>
      </w:tr>
      <w:tr w14:paraId="2BC7D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47" w:type="pct"/>
            <w:tcBorders>
              <w:top w:val="single" w:color="000000" w:sz="4" w:space="0"/>
              <w:left w:val="single" w:color="000000" w:sz="4" w:space="0"/>
              <w:bottom w:val="single" w:color="000000" w:sz="4" w:space="0"/>
              <w:right w:val="single" w:color="auto" w:sz="4" w:space="0"/>
            </w:tcBorders>
            <w:shd w:val="clear" w:color="auto" w:fill="FFFFFF"/>
            <w:noWrap/>
            <w:vAlign w:val="center"/>
          </w:tcPr>
          <w:p w14:paraId="7B47978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01" w:type="pct"/>
            <w:tcBorders>
              <w:top w:val="single" w:color="auto" w:sz="4" w:space="0"/>
              <w:left w:val="single" w:color="auto" w:sz="4" w:space="0"/>
              <w:bottom w:val="single" w:color="auto" w:sz="4" w:space="0"/>
              <w:right w:val="single" w:color="auto" w:sz="4" w:space="0"/>
            </w:tcBorders>
            <w:shd w:val="clear" w:color="auto" w:fill="FFFFFF"/>
            <w:vAlign w:val="center"/>
          </w:tcPr>
          <w:p w14:paraId="79EB112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放射性药品管理技术指南编写</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5CF9703F">
            <w:pPr>
              <w:keepNext w:val="0"/>
              <w:keepLines w:val="0"/>
              <w:widowControl/>
              <w:suppressLineNumbers w:val="0"/>
              <w:snapToGrid w:val="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FF0000"/>
                <w:kern w:val="0"/>
                <w:sz w:val="21"/>
                <w:szCs w:val="21"/>
                <w:u w:val="none"/>
                <w:lang w:val="en-US" w:eastAsia="zh-CN" w:bidi="ar"/>
              </w:rPr>
              <w:t>300000</w:t>
            </w:r>
          </w:p>
        </w:tc>
        <w:tc>
          <w:tcPr>
            <w:tcW w:w="356" w:type="pct"/>
            <w:tcBorders>
              <w:top w:val="single" w:color="auto" w:sz="4" w:space="0"/>
              <w:left w:val="single" w:color="auto" w:sz="4" w:space="0"/>
              <w:bottom w:val="single" w:color="auto" w:sz="4" w:space="0"/>
              <w:right w:val="single" w:color="auto" w:sz="4" w:space="0"/>
            </w:tcBorders>
            <w:shd w:val="clear" w:color="auto" w:fill="auto"/>
            <w:vAlign w:val="center"/>
          </w:tcPr>
          <w:p w14:paraId="7DD85973">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元</w:t>
            </w:r>
          </w:p>
        </w:tc>
        <w:tc>
          <w:tcPr>
            <w:tcW w:w="721" w:type="pct"/>
            <w:tcBorders>
              <w:top w:val="single" w:color="auto" w:sz="4" w:space="0"/>
              <w:left w:val="single" w:color="auto" w:sz="4" w:space="0"/>
              <w:bottom w:val="single" w:color="auto" w:sz="4" w:space="0"/>
              <w:right w:val="single" w:color="auto" w:sz="4" w:space="0"/>
            </w:tcBorders>
            <w:shd w:val="clear" w:color="auto" w:fill="auto"/>
            <w:vAlign w:val="center"/>
          </w:tcPr>
          <w:p w14:paraId="32A429D2">
            <w:pPr>
              <w:snapToGrid w:val="0"/>
              <w:jc w:val="center"/>
              <w:rPr>
                <w:rFonts w:hint="eastAsia" w:ascii="宋体" w:hAnsi="宋体" w:eastAsia="宋体" w:cs="宋体"/>
                <w:i w:val="0"/>
                <w:iCs w:val="0"/>
                <w:color w:val="000000"/>
                <w:sz w:val="20"/>
                <w:szCs w:val="20"/>
                <w:u w:val="none"/>
              </w:rPr>
            </w:pP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10B0C6B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65" w:type="pct"/>
            <w:tcBorders>
              <w:top w:val="single" w:color="auto" w:sz="4" w:space="0"/>
              <w:left w:val="single" w:color="auto" w:sz="4" w:space="0"/>
              <w:bottom w:val="single" w:color="auto" w:sz="4" w:space="0"/>
              <w:right w:val="single" w:color="auto" w:sz="4" w:space="0"/>
            </w:tcBorders>
            <w:shd w:val="clear" w:color="auto" w:fill="auto"/>
            <w:vAlign w:val="center"/>
          </w:tcPr>
          <w:p w14:paraId="7AC4AEF5">
            <w:pPr>
              <w:keepNext w:val="0"/>
              <w:keepLines w:val="0"/>
              <w:widowControl/>
              <w:suppressLineNumbers w:val="0"/>
              <w:snapToGrid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21A28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B1BBDE">
            <w:pPr>
              <w:keepNext w:val="0"/>
              <w:keepLines w:val="0"/>
              <w:widowControl/>
              <w:suppressLineNumbers w:val="0"/>
              <w:snapToGrid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备注：</w:t>
            </w:r>
            <w:bookmarkStart w:id="0" w:name="_GoBack"/>
            <w:bookmarkEnd w:id="0"/>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1.供应商须按要求填写所有信息，不得随意更改本表格式。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以上报价为供应商对本项目询价范围内的所有服务内容进行的综合报价，当中已包含了所有报告编制、组织会务、报告（或设计专篇）的评审、专家费、会议费等所需的全部费用，且报价应包含了不可预见风险等费用。采购人只接受一个报价，不接受有选择性的报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3.本项目不超过对应的最高含税总价限价，否则视为无效。</w:t>
            </w:r>
          </w:p>
        </w:tc>
      </w:tr>
    </w:tbl>
    <w:p w14:paraId="6B49FCA2">
      <w:pPr>
        <w:keepNext w:val="0"/>
        <w:keepLines w:val="0"/>
        <w:widowControl/>
        <w:numPr>
          <w:ilvl w:val="0"/>
          <w:numId w:val="0"/>
        </w:numPr>
        <w:suppressLineNumbers w:val="0"/>
        <w:snapToGrid w:val="0"/>
        <w:jc w:val="both"/>
        <w:textAlignment w:val="center"/>
        <w:rPr>
          <w:rFonts w:hint="eastAsia" w:ascii="宋体" w:hAnsi="宋体" w:eastAsia="宋体" w:cs="宋体"/>
          <w:b/>
          <w:bCs/>
          <w:i w:val="0"/>
          <w:iCs w:val="0"/>
          <w:color w:val="000000"/>
          <w:kern w:val="0"/>
          <w:sz w:val="28"/>
          <w:szCs w:val="28"/>
          <w:u w:val="none"/>
          <w:lang w:val="en-US" w:eastAsia="zh-CN" w:bidi="ar"/>
        </w:rPr>
      </w:pPr>
    </w:p>
    <w:p w14:paraId="6FFC113A">
      <w:pPr>
        <w:keepNext w:val="0"/>
        <w:keepLines w:val="0"/>
        <w:widowControl/>
        <w:numPr>
          <w:ilvl w:val="0"/>
          <w:numId w:val="0"/>
        </w:numPr>
        <w:suppressLineNumbers w:val="0"/>
        <w:snapToGrid w:val="0"/>
        <w:jc w:val="both"/>
        <w:textAlignment w:val="center"/>
        <w:rPr>
          <w:rFonts w:hint="eastAsia" w:ascii="宋体" w:hAnsi="宋体" w:eastAsia="宋体" w:cs="宋体"/>
          <w:b/>
          <w:bCs/>
          <w:i w:val="0"/>
          <w:iCs w:val="0"/>
          <w:color w:val="000000"/>
          <w:kern w:val="0"/>
          <w:sz w:val="28"/>
          <w:szCs w:val="28"/>
          <w:u w:val="none"/>
          <w:lang w:val="en-US" w:eastAsia="zh-CN" w:bidi="ar"/>
        </w:rPr>
      </w:pPr>
    </w:p>
    <w:p w14:paraId="2D1212A9">
      <w:pPr>
        <w:keepNext w:val="0"/>
        <w:keepLines w:val="0"/>
        <w:widowControl/>
        <w:numPr>
          <w:ilvl w:val="0"/>
          <w:numId w:val="1"/>
        </w:numPr>
        <w:suppressLineNumbers w:val="0"/>
        <w:snapToGrid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分项报价表</w:t>
      </w:r>
    </w:p>
    <w:p w14:paraId="641CCCF0">
      <w:pPr>
        <w:bidi w:val="0"/>
        <w:rPr>
          <w:rFonts w:hint="default"/>
          <w:lang w:val="en-US" w:eastAsia="zh-CN"/>
        </w:rPr>
      </w:pPr>
      <w:r>
        <w:rPr>
          <w:rFonts w:hint="eastAsia"/>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D5C913"/>
    <w:multiLevelType w:val="singleLevel"/>
    <w:tmpl w:val="7DD5C913"/>
    <w:lvl w:ilvl="0" w:tentative="0">
      <w:start w:val="2"/>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232B9"/>
    <w:rsid w:val="649841E3"/>
    <w:rsid w:val="70AD5618"/>
    <w:rsid w:val="7BBB4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31"/>
    <w:basedOn w:val="3"/>
    <w:qFormat/>
    <w:uiPriority w:val="0"/>
    <w:rPr>
      <w:rFonts w:hint="eastAsia" w:ascii="宋体" w:hAnsi="宋体" w:eastAsia="宋体" w:cs="宋体"/>
      <w:color w:val="000000"/>
      <w:sz w:val="20"/>
      <w:szCs w:val="20"/>
      <w:u w:val="none"/>
    </w:rPr>
  </w:style>
  <w:style w:type="character" w:customStyle="1" w:styleId="5">
    <w:name w:val="font21"/>
    <w:basedOn w:val="3"/>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250</Words>
  <Characters>271</Characters>
  <Lines>0</Lines>
  <Paragraphs>0</Paragraphs>
  <TotalTime>6</TotalTime>
  <ScaleCrop>false</ScaleCrop>
  <LinksUpToDate>false</LinksUpToDate>
  <CharactersWithSpaces>272</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2026-04-20T06:29:00Z</dcterms:created>
  <dc:creator>GC</dc:creator>
  <cp:lastModifiedBy>GC</cp:lastModifiedBy>
  <dcterms:modified xsi:type="dcterms:W3CDTF">2026-04-21T08:49:14Z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eyJoZGlkIjoiOTczZjUzNjRmZWJlY2Q1OTViM2IyODU2MDgxNDkyMTQiLCJ1c2VySWQiOiIyMjk3NjA5In0=</vt:lpwstr>
  </property>
  <property fmtid="{D5CDD505-2E9C-101B-9397-08002B2CF9AE}" pid="4" name="ICV">
    <vt:lpwstr>B46AA0C4DA6246B28E1EC3422B8B4960_12</vt:lpwstr>
  </property>
</Properties>
</file>