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E8B7C7">
      <w:pPr>
        <w:pStyle w:val="8"/>
        <w:spacing w:line="360" w:lineRule="auto"/>
        <w:rPr>
          <w:rFonts w:hint="eastAsia" w:ascii="宋体" w:hAnsi="宋体" w:eastAsia="宋体" w:cs="宋体"/>
          <w:color w:val="auto"/>
          <w:sz w:val="36"/>
          <w:szCs w:val="36"/>
          <w:highlight w:val="none"/>
        </w:rPr>
      </w:pPr>
      <w:bookmarkStart w:id="0" w:name="_Toc59125162"/>
      <w:bookmarkStart w:id="1" w:name="_Toc59125109"/>
      <w:r>
        <w:rPr>
          <w:rFonts w:hint="eastAsia" w:ascii="宋体" w:hAnsi="宋体" w:eastAsia="宋体" w:cs="宋体"/>
          <w:color w:val="auto"/>
          <w:sz w:val="36"/>
          <w:szCs w:val="36"/>
          <w:highlight w:val="none"/>
          <w:lang w:val="en-US" w:eastAsia="zh-CN"/>
        </w:rPr>
        <w:t>采购项目</w:t>
      </w:r>
      <w:r>
        <w:rPr>
          <w:rFonts w:hint="eastAsia" w:ascii="宋体" w:hAnsi="宋体" w:eastAsia="宋体" w:cs="宋体"/>
          <w:color w:val="auto"/>
          <w:sz w:val="36"/>
          <w:szCs w:val="36"/>
          <w:highlight w:val="none"/>
        </w:rPr>
        <w:t>采购需求</w:t>
      </w:r>
      <w:bookmarkEnd w:id="0"/>
      <w:bookmarkEnd w:id="1"/>
      <w:r>
        <w:rPr>
          <w:rFonts w:hint="eastAsia" w:ascii="宋体" w:hAnsi="宋体" w:eastAsia="宋体" w:cs="宋体"/>
          <w:color w:val="auto"/>
          <w:sz w:val="36"/>
          <w:szCs w:val="36"/>
          <w:highlight w:val="none"/>
        </w:rPr>
        <w:t>（征求意见稿）</w:t>
      </w:r>
    </w:p>
    <w:p w14:paraId="291DA5A0">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一、项目概况：</w:t>
      </w:r>
    </w:p>
    <w:p w14:paraId="21624ED8">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有关说明</w:t>
      </w:r>
    </w:p>
    <w:p w14:paraId="79D70415">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打“★”号条款为实质性条款，若有任何一条负偏离或不满足则导致投标无效。</w:t>
      </w:r>
    </w:p>
    <w:p w14:paraId="4EFD600A">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打“▲”号条款为重要技术参数，若有部分“▲”条款未响应或不满足，将导致其响应性评审加重扣分，但不作为无效投标条款。</w:t>
      </w:r>
    </w:p>
    <w:p w14:paraId="30CECEF4">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须对本项目的采购标的进行整体响应，任何只对本项目采购标的其中一部分内容、数量进行的响应都被视为无效响应。</w:t>
      </w:r>
    </w:p>
    <w:p w14:paraId="79586EC9">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2.本项目采购的“</w:t>
      </w:r>
      <w:r>
        <w:rPr>
          <w:rFonts w:hint="eastAsia" w:ascii="宋体" w:hAnsi="宋体" w:eastAsia="宋体" w:cs="宋体"/>
          <w:color w:val="auto"/>
          <w:sz w:val="21"/>
          <w:szCs w:val="21"/>
          <w:highlight w:val="none"/>
          <w:lang w:eastAsia="zh-CN"/>
        </w:rPr>
        <w:t>沙东街社区养老服务设施（颐康中心、颐康服务站）采购项目</w:t>
      </w:r>
      <w:r>
        <w:rPr>
          <w:rFonts w:hint="eastAsia" w:ascii="宋体" w:hAnsi="宋体" w:eastAsia="宋体" w:cs="宋体"/>
          <w:color w:val="auto"/>
          <w:sz w:val="21"/>
          <w:szCs w:val="21"/>
          <w:highlight w:val="none"/>
        </w:rPr>
        <w:t>”对应的中小微企业划分标准所属行业为：</w:t>
      </w:r>
      <w:r>
        <w:rPr>
          <w:rFonts w:hint="eastAsia" w:ascii="宋体" w:hAnsi="宋体" w:eastAsia="宋体" w:cs="宋体"/>
          <w:b/>
          <w:bCs/>
          <w:color w:val="auto"/>
          <w:sz w:val="21"/>
          <w:szCs w:val="21"/>
          <w:highlight w:val="none"/>
          <w:u w:val="single"/>
        </w:rPr>
        <w:t>其他未列明行业</w:t>
      </w:r>
      <w:r>
        <w:rPr>
          <w:rFonts w:hint="eastAsia" w:ascii="宋体" w:hAnsi="宋体" w:eastAsia="宋体" w:cs="宋体"/>
          <w:color w:val="auto"/>
          <w:sz w:val="21"/>
          <w:szCs w:val="21"/>
          <w:highlight w:val="none"/>
        </w:rPr>
        <w:t>；项目属性：服务类。</w:t>
      </w:r>
    </w:p>
    <w:p w14:paraId="46F4A7B2">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3.★成交供应商应按照《中华人民共和国劳动法》的相关规定发放工资，服务人员工资不得低于广州市企业职工最低工资标准（工资不含按国家规定供应商必须支付的社会保险及其他应付费用）。</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需</w:t>
      </w:r>
      <w:r>
        <w:rPr>
          <w:rFonts w:hint="eastAsia" w:ascii="宋体" w:hAnsi="宋体" w:eastAsia="宋体" w:cs="宋体"/>
          <w:b/>
          <w:bCs/>
          <w:color w:val="auto"/>
          <w:sz w:val="21"/>
          <w:szCs w:val="21"/>
          <w:highlight w:val="none"/>
        </w:rPr>
        <w:t>提供承诺函,格式自拟)</w:t>
      </w:r>
    </w:p>
    <w:p w14:paraId="598FE4FB">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4.★成交供应商应按照《中华人民共和国社会保险法》和《住房公积金管理条例》的相关规定，支付国家规定必须购买的社会保险费用和缴存住房公积金。</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需</w:t>
      </w:r>
      <w:r>
        <w:rPr>
          <w:rFonts w:hint="eastAsia" w:ascii="宋体" w:hAnsi="宋体" w:eastAsia="宋体" w:cs="宋体"/>
          <w:b/>
          <w:bCs/>
          <w:color w:val="auto"/>
          <w:sz w:val="21"/>
          <w:szCs w:val="21"/>
          <w:highlight w:val="none"/>
        </w:rPr>
        <w:t>提供承诺函,格式自拟)</w:t>
      </w:r>
    </w:p>
    <w:p w14:paraId="7C995152">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根据《政府采购竞争性磋商采购方式管理暂行办法》的通知(财库(2014)214号)第二十四条和《广州市政府采购文件编制指导意见》第二十四条规定：“执行国家统一定价标准和采用固定价格采购的项目，价格不列为评审因素。”本次的预算属于执行国家统一定价标准，</w:t>
      </w:r>
      <w:r>
        <w:rPr>
          <w:rFonts w:hint="eastAsia" w:ascii="宋体" w:hAnsi="宋体" w:eastAsia="宋体" w:cs="宋体"/>
          <w:color w:val="auto"/>
          <w:sz w:val="21"/>
          <w:szCs w:val="21"/>
          <w:highlight w:val="none"/>
          <w:lang w:eastAsia="zh-CN"/>
        </w:rPr>
        <w:t>供应商</w:t>
      </w:r>
      <w:r>
        <w:rPr>
          <w:rFonts w:hint="eastAsia" w:ascii="宋体" w:hAnsi="宋体" w:eastAsia="宋体" w:cs="宋体"/>
          <w:color w:val="auto"/>
          <w:sz w:val="21"/>
          <w:szCs w:val="21"/>
          <w:highlight w:val="none"/>
        </w:rPr>
        <w:t>须无条件认可本次项目的价格定价，一旦中标，须无条件的按照本次项目的定价执行合同，否则由此带来的一切经济损失及责任由该中标人承担。</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需</w:t>
      </w:r>
      <w:r>
        <w:rPr>
          <w:rFonts w:hint="eastAsia" w:ascii="宋体" w:hAnsi="宋体" w:eastAsia="宋体" w:cs="宋体"/>
          <w:b/>
          <w:bCs/>
          <w:color w:val="auto"/>
          <w:sz w:val="21"/>
          <w:szCs w:val="21"/>
          <w:highlight w:val="none"/>
        </w:rPr>
        <w:t>提供承诺函,格式自拟)</w:t>
      </w:r>
    </w:p>
    <w:p w14:paraId="4B46A236">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shd w:val="clear"/>
          <w:lang w:val="en-US" w:eastAsia="zh-CN"/>
        </w:rPr>
        <w:t>6.★供应商需为“沙东街综合养老服务中心（颐康中心）”提供符合相关政策要求的场地。该场地需具备多功能服务的养老综合体，具体包括养老服务向导、生活照料服务、定期巡访、家庭养老床位、日托、康复保健、助餐配餐、对下指导、人员培训、统筹调配各类为老服务资源等功能。若成交供应商无法提供此类场地，可选择依托原沙东街综合养老服务中心（颐康中心）来完成本项目的服务要求。若选择原沙东街综合养老服务中心（颐康中心）完成本项目服务要求的，成交供应商需承担原沙东街</w:t>
      </w:r>
      <w:r>
        <w:rPr>
          <w:rFonts w:hint="eastAsia" w:ascii="宋体" w:hAnsi="宋体" w:eastAsia="宋体" w:cs="宋体"/>
          <w:color w:val="auto"/>
          <w:sz w:val="21"/>
          <w:szCs w:val="21"/>
          <w:highlight w:val="none"/>
          <w:lang w:val="en-US" w:eastAsia="zh-CN"/>
        </w:rPr>
        <w:t>综合养老服务中心（颐康中心）场地的装修折旧费用。该费用将由具备资质的第三方机构按照《企业会计准则》及相关规范进行折旧核算，成交供应商需在项目交接后的15个工作日内，根据核算结果向原承接机构一次性支</w:t>
      </w:r>
      <w:bookmarkStart w:id="2" w:name="_GoBack"/>
      <w:bookmarkEnd w:id="2"/>
      <w:r>
        <w:rPr>
          <w:rFonts w:hint="eastAsia" w:ascii="宋体" w:hAnsi="宋体" w:eastAsia="宋体" w:cs="宋体"/>
          <w:color w:val="auto"/>
          <w:sz w:val="21"/>
          <w:szCs w:val="21"/>
          <w:highlight w:val="none"/>
          <w:lang w:val="en-US" w:eastAsia="zh-CN"/>
        </w:rPr>
        <w:t>付完毕，支付完毕后将支付凭证提交招标单位备案。若逾期支付，每延迟一日按应付金额的1%支付违约金。</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需</w:t>
      </w:r>
      <w:r>
        <w:rPr>
          <w:rFonts w:hint="eastAsia" w:ascii="宋体" w:hAnsi="宋体" w:eastAsia="宋体" w:cs="宋体"/>
          <w:b/>
          <w:bCs/>
          <w:color w:val="auto"/>
          <w:sz w:val="21"/>
          <w:szCs w:val="21"/>
          <w:highlight w:val="none"/>
        </w:rPr>
        <w:t>提供承诺函,格式自拟)</w:t>
      </w:r>
    </w:p>
    <w:p w14:paraId="65F52E10">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必须按照广州市社区居家养老服务有关管理规定和评估标准开展服务，日间托老、助餐配餐等涉及到低偿收费的，应参照</w:t>
      </w:r>
      <w:r>
        <w:rPr>
          <w:rFonts w:hint="eastAsia" w:ascii="宋体" w:hAnsi="宋体" w:eastAsia="宋体" w:cs="宋体"/>
          <w:color w:val="auto"/>
          <w:sz w:val="21"/>
          <w:szCs w:val="21"/>
          <w:highlight w:val="none"/>
          <w:lang w:eastAsia="zh-CN"/>
        </w:rPr>
        <w:t>《广州市居家养老服务指导中心关于印发&lt;广州市社区居家养老服务项目清单与指导参考价（试行）&gt;的通知》（穗居家养老服务指导中心办〔2018〕6号）</w:t>
      </w:r>
      <w:r>
        <w:rPr>
          <w:rFonts w:hint="eastAsia" w:ascii="宋体" w:hAnsi="宋体" w:eastAsia="宋体" w:cs="宋体"/>
          <w:color w:val="auto"/>
          <w:sz w:val="21"/>
          <w:szCs w:val="21"/>
          <w:highlight w:val="none"/>
        </w:rPr>
        <w:t>执行。</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需</w:t>
      </w:r>
      <w:r>
        <w:rPr>
          <w:rFonts w:hint="eastAsia" w:ascii="宋体" w:hAnsi="宋体" w:eastAsia="宋体" w:cs="宋体"/>
          <w:b/>
          <w:bCs/>
          <w:color w:val="auto"/>
          <w:sz w:val="21"/>
          <w:szCs w:val="21"/>
          <w:highlight w:val="none"/>
        </w:rPr>
        <w:t>提供承诺函,格式自拟)</w:t>
      </w:r>
    </w:p>
    <w:p w14:paraId="59978876">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所有财务开支，必须符合广州市和</w:t>
      </w:r>
      <w:r>
        <w:rPr>
          <w:rFonts w:hint="eastAsia" w:ascii="宋体" w:hAnsi="宋体" w:eastAsia="宋体" w:cs="宋体"/>
          <w:color w:val="auto"/>
          <w:sz w:val="21"/>
          <w:szCs w:val="21"/>
          <w:highlight w:val="none"/>
          <w:lang w:val="en-US" w:eastAsia="zh-CN"/>
        </w:rPr>
        <w:t>天河</w:t>
      </w:r>
      <w:r>
        <w:rPr>
          <w:rFonts w:hint="eastAsia" w:ascii="宋体" w:hAnsi="宋体" w:eastAsia="宋体" w:cs="宋体"/>
          <w:color w:val="auto"/>
          <w:sz w:val="21"/>
          <w:szCs w:val="21"/>
          <w:highlight w:val="none"/>
        </w:rPr>
        <w:t>区有关规定，并接受市、区有关部门的检查、评估、审计，接受采购人的监督。</w:t>
      </w:r>
      <w:r>
        <w:rPr>
          <w:rFonts w:hint="eastAsia" w:ascii="宋体" w:hAnsi="宋体" w:eastAsia="宋体" w:cs="宋体"/>
          <w:b/>
          <w:bCs/>
          <w:color w:val="auto"/>
          <w:sz w:val="21"/>
          <w:szCs w:val="21"/>
          <w:highlight w:val="none"/>
        </w:rPr>
        <w:t>（需提供相关承诺函，格式自拟）</w:t>
      </w:r>
    </w:p>
    <w:p w14:paraId="78A69628">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（一）项目名称</w:t>
      </w:r>
    </w:p>
    <w:p w14:paraId="73CD723D">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沙东街社区养老服务设施（颐康中心、颐康服务站）采购项目</w:t>
      </w:r>
      <w:r>
        <w:rPr>
          <w:rFonts w:hint="eastAsia" w:ascii="宋体" w:hAnsi="宋体" w:eastAsia="宋体" w:cs="宋体"/>
          <w:color w:val="auto"/>
          <w:sz w:val="21"/>
          <w:szCs w:val="21"/>
          <w:highlight w:val="none"/>
        </w:rPr>
        <w:t>。</w:t>
      </w:r>
    </w:p>
    <w:p w14:paraId="7DFBFB2A">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（二）服务周期</w:t>
      </w:r>
    </w:p>
    <w:p w14:paraId="1635FF22">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项目服务期为</w:t>
      </w:r>
      <w:r>
        <w:rPr>
          <w:rFonts w:hint="eastAsia" w:ascii="宋体" w:hAnsi="宋体" w:eastAsia="宋体" w:cs="宋体"/>
          <w:color w:val="auto"/>
          <w:sz w:val="21"/>
          <w:szCs w:val="21"/>
          <w:highlight w:val="none"/>
          <w:lang w:val="en-US" w:eastAsia="zh-CN"/>
        </w:rPr>
        <w:t>三年，即2026</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日至</w:t>
      </w:r>
      <w:r>
        <w:rPr>
          <w:rFonts w:hint="eastAsia" w:ascii="宋体" w:hAnsi="宋体" w:eastAsia="宋体" w:cs="宋体"/>
          <w:color w:val="auto"/>
          <w:sz w:val="21"/>
          <w:szCs w:val="21"/>
          <w:highlight w:val="none"/>
          <w:lang w:val="en-US" w:eastAsia="zh-CN"/>
        </w:rPr>
        <w:t>2028</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12</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val="en-US" w:eastAsia="zh-CN"/>
        </w:rPr>
        <w:t>31</w:t>
      </w:r>
      <w:r>
        <w:rPr>
          <w:rFonts w:hint="eastAsia" w:ascii="宋体" w:hAnsi="宋体" w:eastAsia="宋体" w:cs="宋体"/>
          <w:color w:val="auto"/>
          <w:sz w:val="21"/>
          <w:szCs w:val="21"/>
          <w:highlight w:val="none"/>
        </w:rPr>
        <w:t>日，共</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年，周期内一个自然年一签。按照相关评估工作要求，由区居家养老服务指导中心统一开展服务评估，项目年度末期考核评估合格后续签合同，不合格的不予续签。</w:t>
      </w:r>
    </w:p>
    <w:p w14:paraId="755F16F4">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（三）项目经费预算</w:t>
      </w:r>
    </w:p>
    <w:p w14:paraId="2BD215CE">
      <w:pPr>
        <w:shd w:val="clear"/>
        <w:spacing w:line="360" w:lineRule="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 xml:space="preserve">本项目属于养老服务类，项目资金总额最高为人民币 </w:t>
      </w:r>
      <w:r>
        <w:rPr>
          <w:rFonts w:hint="eastAsia" w:ascii="宋体" w:hAnsi="宋体" w:eastAsia="宋体" w:cs="宋体"/>
          <w:color w:val="auto"/>
          <w:sz w:val="21"/>
          <w:szCs w:val="21"/>
          <w:highlight w:val="none"/>
          <w:u w:val="single"/>
          <w:lang w:val="en-US" w:eastAsia="zh-CN"/>
        </w:rPr>
        <w:t>210</w:t>
      </w:r>
      <w:r>
        <w:rPr>
          <w:rFonts w:hint="eastAsia" w:ascii="宋体" w:hAnsi="宋体" w:eastAsia="宋体" w:cs="宋体"/>
          <w:color w:val="auto"/>
          <w:sz w:val="21"/>
          <w:szCs w:val="21"/>
          <w:highlight w:val="none"/>
          <w:lang w:val="en-US" w:eastAsia="zh-CN"/>
        </w:rPr>
        <w:t>万</w:t>
      </w:r>
      <w:r>
        <w:rPr>
          <w:rFonts w:hint="eastAsia" w:ascii="宋体" w:hAnsi="宋体" w:eastAsia="宋体" w:cs="宋体"/>
          <w:color w:val="auto"/>
          <w:sz w:val="21"/>
          <w:szCs w:val="21"/>
          <w:highlight w:val="none"/>
        </w:rPr>
        <w:t>元（服务奖励实际按最终评估档次另行支付）。</w:t>
      </w:r>
      <w:r>
        <w:rPr>
          <w:rFonts w:hint="eastAsia" w:ascii="宋体" w:hAnsi="宋体" w:eastAsia="宋体" w:cs="宋体"/>
          <w:color w:val="auto"/>
          <w:sz w:val="21"/>
          <w:szCs w:val="21"/>
          <w:highlight w:val="none"/>
          <w:lang w:val="en-US" w:eastAsia="zh-CN"/>
        </w:rPr>
        <w:t>本需求所涉金额均为含税价。</w:t>
      </w:r>
    </w:p>
    <w:p w14:paraId="5242E2C9">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1.项目服务期为</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年合计</w:t>
      </w:r>
      <w:r>
        <w:rPr>
          <w:rFonts w:hint="eastAsia" w:ascii="宋体" w:hAnsi="宋体" w:eastAsia="宋体" w:cs="宋体"/>
          <w:color w:val="auto"/>
          <w:sz w:val="21"/>
          <w:szCs w:val="21"/>
          <w:highlight w:val="none"/>
          <w:lang w:val="en-US" w:eastAsia="zh-CN"/>
        </w:rPr>
        <w:t>210万</w:t>
      </w:r>
      <w:r>
        <w:rPr>
          <w:rFonts w:hint="eastAsia" w:ascii="宋体" w:hAnsi="宋体" w:eastAsia="宋体" w:cs="宋体"/>
          <w:color w:val="auto"/>
          <w:sz w:val="21"/>
          <w:szCs w:val="21"/>
          <w:highlight w:val="none"/>
        </w:rPr>
        <w:t>元。此项目包括</w:t>
      </w:r>
      <w:r>
        <w:rPr>
          <w:rFonts w:hint="eastAsia" w:ascii="宋体" w:hAnsi="宋体" w:eastAsia="宋体" w:cs="宋体"/>
          <w:color w:val="auto"/>
          <w:sz w:val="21"/>
          <w:szCs w:val="21"/>
          <w:highlight w:val="none"/>
          <w:u w:val="single"/>
          <w:lang w:val="en-US" w:eastAsia="zh-CN"/>
        </w:rPr>
        <w:t>1</w:t>
      </w:r>
      <w:r>
        <w:rPr>
          <w:rFonts w:hint="eastAsia" w:ascii="宋体" w:hAnsi="宋体" w:eastAsia="宋体" w:cs="宋体"/>
          <w:color w:val="auto"/>
          <w:sz w:val="21"/>
          <w:szCs w:val="21"/>
          <w:highlight w:val="none"/>
          <w:lang w:val="en-US" w:eastAsia="zh-CN"/>
        </w:rPr>
        <w:t>个</w:t>
      </w:r>
      <w:r>
        <w:rPr>
          <w:rFonts w:hint="eastAsia" w:ascii="宋体" w:hAnsi="宋体" w:eastAsia="宋体" w:cs="宋体"/>
          <w:color w:val="auto"/>
          <w:sz w:val="21"/>
          <w:szCs w:val="21"/>
          <w:highlight w:val="none"/>
        </w:rPr>
        <w:t>综合养老服务中心（颐康中心）</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和</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6</w:t>
      </w:r>
      <w:r>
        <w:rPr>
          <w:rFonts w:hint="eastAsia" w:ascii="宋体" w:hAnsi="宋体" w:eastAsia="宋体" w:cs="宋体"/>
          <w:color w:val="auto"/>
          <w:sz w:val="21"/>
          <w:szCs w:val="21"/>
          <w:highlight w:val="none"/>
        </w:rPr>
        <w:t>个社区颐康服务站。（颐康中心运营经费</w:t>
      </w:r>
      <w:r>
        <w:rPr>
          <w:rFonts w:hint="eastAsia" w:ascii="宋体" w:hAnsi="宋体" w:eastAsia="宋体" w:cs="宋体"/>
          <w:color w:val="auto"/>
          <w:sz w:val="21"/>
          <w:szCs w:val="21"/>
          <w:highlight w:val="none"/>
          <w:u w:val="single"/>
        </w:rPr>
        <w:t>40</w:t>
      </w:r>
      <w:r>
        <w:rPr>
          <w:rFonts w:hint="eastAsia" w:ascii="宋体" w:hAnsi="宋体" w:eastAsia="宋体" w:cs="宋体"/>
          <w:color w:val="auto"/>
          <w:sz w:val="21"/>
          <w:szCs w:val="21"/>
          <w:highlight w:val="none"/>
        </w:rPr>
        <w:t>万元/年，社区颐康服务站运营经费</w:t>
      </w:r>
      <w:r>
        <w:rPr>
          <w:rFonts w:hint="eastAsia" w:ascii="宋体" w:hAnsi="宋体" w:eastAsia="宋体" w:cs="宋体"/>
          <w:color w:val="auto"/>
          <w:sz w:val="21"/>
          <w:szCs w:val="21"/>
          <w:highlight w:val="none"/>
          <w:u w:val="single"/>
        </w:rPr>
        <w:t>5</w:t>
      </w:r>
      <w:r>
        <w:rPr>
          <w:rFonts w:hint="eastAsia" w:ascii="宋体" w:hAnsi="宋体" w:eastAsia="宋体" w:cs="宋体"/>
          <w:color w:val="auto"/>
          <w:sz w:val="21"/>
          <w:szCs w:val="21"/>
          <w:highlight w:val="none"/>
        </w:rPr>
        <w:t>万元/年，服务设施满12个月且经服务评估评定评估为优秀、良好、合格等级的，每年颐康中心分别给予30万元、20万元、10万元服务奖励；评估评定为优秀、良好、合格等级的，社区颐康服务站分别给予3万元、2万元、1万元服务奖励，奖补经费根据评估结果另行支付，不在本次采购预算内。）</w:t>
      </w:r>
    </w:p>
    <w:p w14:paraId="735BFC9D">
      <w:pPr>
        <w:shd w:val="clear"/>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2.根据</w:t>
      </w:r>
      <w:r>
        <w:rPr>
          <w:rFonts w:hint="eastAsia" w:ascii="宋体" w:hAnsi="宋体" w:eastAsia="宋体" w:cs="宋体"/>
          <w:color w:val="auto"/>
          <w:sz w:val="21"/>
          <w:szCs w:val="21"/>
          <w:highlight w:val="none"/>
          <w:lang w:eastAsia="zh-CN"/>
        </w:rPr>
        <w:t>《广州市民政局关于开展</w:t>
      </w:r>
      <w:r>
        <w:rPr>
          <w:rFonts w:hint="default" w:ascii="宋体" w:hAnsi="宋体" w:eastAsia="宋体" w:cs="宋体"/>
          <w:color w:val="auto"/>
          <w:sz w:val="21"/>
          <w:szCs w:val="21"/>
          <w:highlight w:val="none"/>
          <w:lang w:val="en-US" w:eastAsia="zh-CN"/>
        </w:rPr>
        <w:t>20</w:t>
      </w:r>
      <w:r>
        <w:rPr>
          <w:rFonts w:hint="eastAsia" w:ascii="宋体" w:hAnsi="宋体" w:eastAsia="宋体" w:cs="宋体"/>
          <w:color w:val="auto"/>
          <w:sz w:val="21"/>
          <w:szCs w:val="21"/>
          <w:highlight w:val="none"/>
          <w:lang w:val="en-US" w:eastAsia="zh-CN"/>
        </w:rPr>
        <w:t>24</w:t>
      </w:r>
      <w:r>
        <w:rPr>
          <w:rFonts w:hint="eastAsia" w:ascii="宋体" w:hAnsi="宋体" w:eastAsia="宋体" w:cs="宋体"/>
          <w:color w:val="auto"/>
          <w:sz w:val="21"/>
          <w:szCs w:val="21"/>
          <w:highlight w:val="none"/>
          <w:lang w:eastAsia="zh-CN"/>
        </w:rPr>
        <w:t>年度居家社区养老服务评估工作的通知》</w:t>
      </w:r>
      <w:r>
        <w:rPr>
          <w:rFonts w:hint="eastAsia" w:ascii="宋体" w:hAnsi="宋体" w:eastAsia="宋体" w:cs="宋体"/>
          <w:color w:val="auto"/>
          <w:sz w:val="21"/>
          <w:szCs w:val="21"/>
          <w:highlight w:val="none"/>
        </w:rPr>
        <w:t>的要求：“为规范本市居家社区养老服务评估工作，各级社区养老服务设施设置单位在采购服务设施运营项目时，应按实际情况调整第一年度的运营服务时间，确保下一年度的服务周期统一调整为自然年度</w:t>
      </w:r>
      <w:r>
        <w:rPr>
          <w:rFonts w:hint="eastAsia" w:ascii="宋体" w:hAnsi="宋体" w:eastAsia="宋体" w:cs="宋体"/>
          <w:color w:val="auto"/>
          <w:sz w:val="21"/>
          <w:szCs w:val="21"/>
          <w:highlight w:val="none"/>
          <w:lang w:eastAsia="zh-CN"/>
        </w:rPr>
        <w:t>。”</w:t>
      </w:r>
    </w:p>
    <w:p w14:paraId="33635715">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（四）服务依据</w:t>
      </w:r>
    </w:p>
    <w:p w14:paraId="4F6FE4F1">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根据</w:t>
      </w:r>
      <w:r>
        <w:rPr>
          <w:rFonts w:hint="eastAsia" w:ascii="宋体" w:hAnsi="宋体" w:eastAsia="宋体" w:cs="宋体"/>
          <w:color w:val="auto"/>
          <w:sz w:val="21"/>
          <w:szCs w:val="21"/>
          <w:highlight w:val="none"/>
          <w:lang w:eastAsia="zh-CN"/>
        </w:rPr>
        <w:t>《广州市人民政府办公厅关于印发广州市居家社区养老服务管理办法的通知》（穗府办规〔2022〕13号）</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广州市天河区人民政府办公室关于印发广州市天河区居家社区养老服务管理办法的通知》（穗天府办规〔2023〕1号）、《社区居家养老服务规范》《综合养老服务中心基本规范》《广州市民政局广州市财政局广州市市场监督管理局关于印发广州市老年人助餐配餐服务管理办法的通知》穗民规字〔2024〕3号）</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《广州市政府购买社区居家养老服务项目指引》《广州市街镇综合养老服务中心（颐康中心）建设提升三年行动方案（2021-2023年）》</w:t>
      </w:r>
      <w:r>
        <w:rPr>
          <w:rFonts w:hint="eastAsia" w:ascii="宋体" w:hAnsi="宋体" w:eastAsia="宋体" w:cs="宋体"/>
          <w:color w:val="auto"/>
          <w:sz w:val="21"/>
          <w:szCs w:val="21"/>
          <w:highlight w:val="none"/>
        </w:rPr>
        <w:t>等文件的相关要求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如项目期与新颁布的法律、法规、政策规定不一致的，以新颁布的法律、法规、政策规定为准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，采用政府购买服务的运作模式，通过</w:t>
      </w:r>
      <w:r>
        <w:rPr>
          <w:rFonts w:hint="eastAsia" w:ascii="宋体" w:hAnsi="宋体" w:eastAsia="宋体" w:cs="宋体"/>
          <w:color w:val="auto"/>
          <w:sz w:val="21"/>
          <w:szCs w:val="21"/>
          <w:highlight w:val="none"/>
          <w:lang w:val="en-US" w:eastAsia="zh-CN"/>
        </w:rPr>
        <w:t>竞争性磋商</w:t>
      </w:r>
      <w:r>
        <w:rPr>
          <w:rFonts w:hint="eastAsia" w:ascii="宋体" w:hAnsi="宋体" w:eastAsia="宋体" w:cs="宋体"/>
          <w:color w:val="auto"/>
          <w:sz w:val="21"/>
          <w:szCs w:val="21"/>
          <w:highlight w:val="none"/>
        </w:rPr>
        <w:t>方式进行采购。</w:t>
      </w:r>
    </w:p>
    <w:p w14:paraId="709C7A88">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二、项目需求</w:t>
      </w:r>
    </w:p>
    <w:p w14:paraId="00D2D553">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（一）项目内容</w:t>
      </w:r>
    </w:p>
    <w:p w14:paraId="02FE6038">
      <w:pPr>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成交供应商应当具备为常住老年人提供养老服务向导、助餐配餐、生活照料、定期巡访、辅具租赁、平安通、家庭照护培训、文体教育、居家适老化改造、家庭养老床位、日间托管、临时托养、医养康养、康复护理等基本养老服务的功能，重点为有需求的失能、失智老年人提供服务，服务项目根据</w:t>
      </w:r>
      <w:r>
        <w:rPr>
          <w:rFonts w:hint="eastAsia" w:ascii="宋体" w:hAnsi="宋体" w:eastAsia="宋体" w:cs="宋体"/>
          <w:color w:val="auto"/>
          <w:sz w:val="21"/>
          <w:szCs w:val="21"/>
          <w:highlight w:val="none"/>
          <w:lang w:val="en-US" w:eastAsia="zh-CN"/>
        </w:rPr>
        <w:t>广州</w:t>
      </w:r>
      <w:r>
        <w:rPr>
          <w:rFonts w:hint="eastAsia" w:ascii="宋体" w:hAnsi="宋体" w:eastAsia="宋体" w:cs="宋体"/>
          <w:color w:val="auto"/>
          <w:sz w:val="21"/>
          <w:szCs w:val="21"/>
          <w:highlight w:val="none"/>
        </w:rPr>
        <w:t>市基本养老服务清单进行动态调整。中心应根据老年人群特点和社区养老服务设施功能要求分区设置、合理布局。如因政策变更影响，成交供应商应无条件按照政策最新的服务要求完成。社区养老服务设施应符合养老设施建筑设计规范，符合环境保护、消防安全、卫生和食品药品安全等要求。提供机构养老服务的，应依法办理备案。</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lang w:val="en-US" w:eastAsia="zh-CN"/>
        </w:rPr>
        <w:t>需</w:t>
      </w:r>
      <w:r>
        <w:rPr>
          <w:rFonts w:hint="eastAsia" w:ascii="宋体" w:hAnsi="宋体" w:eastAsia="宋体" w:cs="宋体"/>
          <w:b/>
          <w:color w:val="auto"/>
          <w:sz w:val="21"/>
          <w:szCs w:val="21"/>
          <w:highlight w:val="none"/>
          <w:lang w:eastAsia="zh-CN"/>
        </w:rPr>
        <w:t>提供承诺函，格式自拟）</w:t>
      </w:r>
    </w:p>
    <w:p w14:paraId="4A8CF99F">
      <w:pP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2、供应商</w:t>
      </w:r>
      <w:r>
        <w:rPr>
          <w:rFonts w:hint="eastAsia" w:ascii="宋体" w:hAnsi="宋体" w:eastAsia="宋体" w:cs="宋体"/>
          <w:color w:val="auto"/>
          <w:sz w:val="21"/>
          <w:szCs w:val="21"/>
          <w:highlight w:val="none"/>
        </w:rPr>
        <w:t>提供食品、医疗服务的，应依法取得相应资质许可或与具备相关医疗机构执业资质、餐饮服务资质的供应商达成合作协议</w:t>
      </w:r>
      <w:r>
        <w:rPr>
          <w:rFonts w:hint="eastAsia" w:ascii="宋体" w:hAnsi="宋体" w:eastAsia="宋体" w:cs="宋体"/>
          <w:color w:val="auto"/>
          <w:sz w:val="21"/>
          <w:szCs w:val="21"/>
          <w:highlight w:val="none"/>
          <w:lang w:eastAsia="zh-CN"/>
        </w:rPr>
        <w:t>。</w:t>
      </w:r>
    </w:p>
    <w:p w14:paraId="72F7EAAE">
      <w:pP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成交供应商使用由采购人提供的场地,承办“沙东街社区养老服务设施（颐康中心、颐康服务站）采购项目”。建成具备养老服务向导、生活照料服务、定期巡访、家庭养老床位、日托、康复保健、助餐配餐、对下指导、人员培训、统筹调配各类为老服务资源等功能的养老综合体。如因政策变更，成交供应商应无条件按最新政策的服务要求完成。</w:t>
      </w:r>
    </w:p>
    <w:p w14:paraId="37779114">
      <w:pPr>
        <w:shd w:val="clea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按照广州市推进建设街道综合养老服务中心（颐康中心）工作部署，结合沙东街居家养老情况，现颐康中心场地（广州大道北沙东段161号（甘园市场二楼）承租面积为719.7平方米（存在与村公司场地租赁合同，后续服务供应商与前承接单位自行协调），服务供应商需按市、区民政局规定的街道综合养老服务中心建设要求和相关法规不少于1000平方米。（具体以市、区民政局下发的文件为准，如遇市、区民政局对街镇养老综合服务中心场地面积增加/减少的政策调整，服务供应商应相应无条件增加/减少运营面积。）如因政策变更，成交方应无条件按政策最新的服务要求完成。（服务供应商需在响应文件中提供承诺函）</w:t>
      </w:r>
    </w:p>
    <w:p w14:paraId="3C6C0695">
      <w:pPr>
        <w:shd w:val="clear"/>
        <w:spacing w:line="360" w:lineRule="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根据《关于印发&lt;广州市养老服务高质量发展2024年工作要点&gt;的通知》（穗养老联席﹝2024﹞2号）第三条“3.提升长者助餐可及性和便捷性。各街镇建有至少1个采取自主供给服务模式的长者饭堂”配备自主供给服务模式的长者饭堂。</w:t>
      </w:r>
    </w:p>
    <w:p w14:paraId="3F89CB8C">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（二）服务设施</w:t>
      </w:r>
    </w:p>
    <w:p w14:paraId="322CD49D">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运营</w:t>
      </w:r>
      <w:r>
        <w:rPr>
          <w:rFonts w:hint="eastAsia" w:ascii="宋体" w:hAnsi="宋体" w:eastAsia="宋体" w:cs="宋体"/>
          <w:color w:val="auto"/>
          <w:sz w:val="21"/>
          <w:szCs w:val="21"/>
          <w:highlight w:val="none"/>
          <w:lang w:val="en-US" w:eastAsia="zh-CN"/>
        </w:rPr>
        <w:t>沙东街</w:t>
      </w:r>
      <w:r>
        <w:rPr>
          <w:rFonts w:hint="eastAsia" w:ascii="宋体" w:hAnsi="宋体" w:eastAsia="宋体" w:cs="宋体"/>
          <w:color w:val="auto"/>
          <w:sz w:val="21"/>
          <w:szCs w:val="21"/>
          <w:highlight w:val="none"/>
        </w:rPr>
        <w:t>综合养老服务中心（颐康中心）、社区颐康服务站等服务场地设施充分发挥场地设备的功能作用，承接好服务设施运营现状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 xml:space="preserve">以片区服务点为依托，为老年人开展专业化服务。      </w:t>
      </w:r>
    </w:p>
    <w:p w14:paraId="64125BBD">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表1服务设施运营表</w:t>
      </w:r>
    </w:p>
    <w:tbl>
      <w:tblPr>
        <w:tblStyle w:val="9"/>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4"/>
        <w:gridCol w:w="3578"/>
        <w:gridCol w:w="4085"/>
      </w:tblGrid>
      <w:tr w14:paraId="1E45C91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shd w:val="clear" w:color="auto" w:fill="auto"/>
          <w:tblCellMar>
            <w:top w:w="0" w:type="dxa"/>
            <w:left w:w="108" w:type="dxa"/>
            <w:bottom w:w="0" w:type="dxa"/>
            <w:right w:w="108" w:type="dxa"/>
          </w:tblCellMar>
        </w:tblPrEx>
        <w:tc>
          <w:tcPr>
            <w:tcW w:w="644" w:type="dxa"/>
            <w:tcBorders>
              <w:top w:val="single" w:color="000000" w:sz="4" w:space="0"/>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2ACBD175">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序号</w:t>
            </w:r>
          </w:p>
        </w:tc>
        <w:tc>
          <w:tcPr>
            <w:tcW w:w="3578" w:type="dxa"/>
            <w:tcBorders>
              <w:top w:val="single" w:color="000000" w:sz="4" w:space="0"/>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02104BC4">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设施名称</w:t>
            </w:r>
          </w:p>
        </w:tc>
        <w:tc>
          <w:tcPr>
            <w:tcW w:w="4085" w:type="dxa"/>
            <w:tcBorders>
              <w:top w:val="single" w:color="000000" w:sz="4" w:space="0"/>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1B0F51F5">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设施地址</w:t>
            </w:r>
          </w:p>
        </w:tc>
      </w:tr>
      <w:tr w14:paraId="7E794E0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44"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79AF089B">
            <w:pPr>
              <w:shd w:val="clear"/>
              <w:spacing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rPr>
              <w:t>1</w:t>
            </w:r>
          </w:p>
        </w:tc>
        <w:tc>
          <w:tcPr>
            <w:tcW w:w="3578"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011A470C">
            <w:pPr>
              <w:shd w:val="clea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沙东街</w:t>
            </w:r>
            <w:r>
              <w:rPr>
                <w:rFonts w:hint="eastAsia" w:ascii="宋体" w:hAnsi="宋体" w:eastAsia="宋体" w:cs="宋体"/>
                <w:color w:val="auto"/>
                <w:sz w:val="21"/>
                <w:szCs w:val="21"/>
                <w:highlight w:val="none"/>
              </w:rPr>
              <w:t>综合养老服务中心（颐康中心）</w:t>
            </w:r>
          </w:p>
        </w:tc>
        <w:tc>
          <w:tcPr>
            <w:tcW w:w="4085"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6C8DD634">
            <w:pPr>
              <w:shd w:val="clea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aps w:val="0"/>
                <w:color w:val="auto"/>
                <w:spacing w:val="0"/>
                <w:sz w:val="21"/>
                <w:szCs w:val="21"/>
                <w:highlight w:val="none"/>
                <w:shd w:val="clear" w:fill="FFFFFF"/>
              </w:rPr>
              <w:t>广州市天河区沙东街广州大道北161号（甘园街203）</w:t>
            </w:r>
          </w:p>
        </w:tc>
      </w:tr>
      <w:tr w14:paraId="0EA89FC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44"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647A652C">
            <w:pPr>
              <w:shd w:val="clear"/>
              <w:spacing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rPr>
              <w:t>2</w:t>
            </w:r>
          </w:p>
        </w:tc>
        <w:tc>
          <w:tcPr>
            <w:tcW w:w="3578"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741F9F62">
            <w:pPr>
              <w:shd w:val="clear"/>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沙东街范屋社区颐康服务站</w:t>
            </w:r>
          </w:p>
        </w:tc>
        <w:tc>
          <w:tcPr>
            <w:tcW w:w="4085"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486B28BF">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广州大道北冠庭园绿安街21号104房</w:t>
            </w:r>
          </w:p>
        </w:tc>
      </w:tr>
      <w:tr w14:paraId="49CD069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shd w:val="clear" w:color="auto" w:fill="auto"/>
          <w:tblCellMar>
            <w:top w:w="0" w:type="dxa"/>
            <w:left w:w="108" w:type="dxa"/>
            <w:bottom w:w="0" w:type="dxa"/>
            <w:right w:w="108" w:type="dxa"/>
          </w:tblCellMar>
        </w:tblPrEx>
        <w:tc>
          <w:tcPr>
            <w:tcW w:w="644"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33D73B89">
            <w:pPr>
              <w:shd w:val="clear"/>
              <w:spacing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rPr>
              <w:t>3</w:t>
            </w:r>
          </w:p>
        </w:tc>
        <w:tc>
          <w:tcPr>
            <w:tcW w:w="3578"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7F23D780">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天河区沙东街陶庄社区颐康服务站</w:t>
            </w:r>
          </w:p>
        </w:tc>
        <w:tc>
          <w:tcPr>
            <w:tcW w:w="4085"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206E2C5D">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广州市天河区沙东街侨乐新村侨乐街86号1楼</w:t>
            </w:r>
          </w:p>
        </w:tc>
      </w:tr>
      <w:tr w14:paraId="405BEB9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44"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513E3457">
            <w:pPr>
              <w:shd w:val="clear"/>
              <w:spacing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rPr>
              <w:t>4</w:t>
            </w:r>
          </w:p>
        </w:tc>
        <w:tc>
          <w:tcPr>
            <w:tcW w:w="3578"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0C1C5308">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天河区沙东街沙和社区颐康服务站</w:t>
            </w:r>
          </w:p>
        </w:tc>
        <w:tc>
          <w:tcPr>
            <w:tcW w:w="4085"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73B4BA82">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天河区江园街128号8栋一楼</w:t>
            </w:r>
          </w:p>
        </w:tc>
      </w:tr>
      <w:tr w14:paraId="5B7A230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44"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38FD2D4D">
            <w:pPr>
              <w:shd w:val="clear"/>
              <w:spacing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rPr>
              <w:t>5</w:t>
            </w:r>
          </w:p>
        </w:tc>
        <w:tc>
          <w:tcPr>
            <w:tcW w:w="3578"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35D0DF4D">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天河区沙东街天平架社区颐康服务站</w:t>
            </w:r>
          </w:p>
        </w:tc>
        <w:tc>
          <w:tcPr>
            <w:tcW w:w="4085"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0E6D5AF0">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天河区沙东街沙和路20号之一206房</w:t>
            </w:r>
          </w:p>
        </w:tc>
      </w:tr>
      <w:tr w14:paraId="3040E00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644"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4A8F4E99">
            <w:pPr>
              <w:shd w:val="clear"/>
              <w:spacing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rPr>
              <w:t>6</w:t>
            </w:r>
          </w:p>
        </w:tc>
        <w:tc>
          <w:tcPr>
            <w:tcW w:w="3578"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6248E215">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天河区沙东街濂泉社区颐康服务站</w:t>
            </w:r>
          </w:p>
        </w:tc>
        <w:tc>
          <w:tcPr>
            <w:tcW w:w="4085"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7C74DF48">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广州市天河区沙东街濂泉社区广园东住宅小区西北门内平房</w:t>
            </w:r>
          </w:p>
        </w:tc>
      </w:tr>
      <w:tr w14:paraId="08DD35F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shd w:val="clear" w:color="auto" w:fill="auto"/>
          <w:tblCellMar>
            <w:top w:w="0" w:type="dxa"/>
            <w:left w:w="108" w:type="dxa"/>
            <w:bottom w:w="0" w:type="dxa"/>
            <w:right w:w="108" w:type="dxa"/>
          </w:tblCellMar>
        </w:tblPrEx>
        <w:tc>
          <w:tcPr>
            <w:tcW w:w="644"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center"/>
          </w:tcPr>
          <w:p w14:paraId="45E07D8B">
            <w:pPr>
              <w:shd w:val="clear"/>
              <w:spacing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rPr>
              <w:t>7</w:t>
            </w:r>
          </w:p>
        </w:tc>
        <w:tc>
          <w:tcPr>
            <w:tcW w:w="3578"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42F3B38D">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天河区沙东街天河山庄社区颐康服务站</w:t>
            </w:r>
          </w:p>
        </w:tc>
        <w:tc>
          <w:tcPr>
            <w:tcW w:w="4085"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6B0CB24A">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广州市天河区沙东街天河山庄社区江园街160号1楼</w:t>
            </w:r>
          </w:p>
        </w:tc>
      </w:tr>
    </w:tbl>
    <w:p w14:paraId="4EDF3696">
      <w:pPr>
        <w:shd w:val="clear"/>
        <w:spacing w:line="360" w:lineRule="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说明：以上场地如因各种原因发生变化，各设施地址可进行变更。</w:t>
      </w:r>
    </w:p>
    <w:p w14:paraId="3196E9EE">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表2服务资助经费一览表</w:t>
      </w:r>
    </w:p>
    <w:tbl>
      <w:tblPr>
        <w:tblStyle w:val="9"/>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4183"/>
        <w:gridCol w:w="1401"/>
        <w:gridCol w:w="2722"/>
      </w:tblGrid>
      <w:tr w14:paraId="53CBA31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183"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31CC832B">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资助对象类型</w:t>
            </w:r>
          </w:p>
        </w:tc>
        <w:tc>
          <w:tcPr>
            <w:tcW w:w="1401"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005EEDC2">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服务人数</w:t>
            </w:r>
          </w:p>
        </w:tc>
        <w:tc>
          <w:tcPr>
            <w:tcW w:w="2722"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66D2042E">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资助金额（人/元/月）</w:t>
            </w:r>
          </w:p>
        </w:tc>
      </w:tr>
      <w:tr w14:paraId="4ACBC8D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183"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0D7177E3">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第一类资助对象中重度失能的</w:t>
            </w:r>
          </w:p>
        </w:tc>
        <w:tc>
          <w:tcPr>
            <w:tcW w:w="1401"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10E3DE6">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据实结算</w:t>
            </w:r>
          </w:p>
        </w:tc>
        <w:tc>
          <w:tcPr>
            <w:tcW w:w="2722"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1EA96E1">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600</w:t>
            </w:r>
          </w:p>
        </w:tc>
      </w:tr>
      <w:tr w14:paraId="1CF2807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183"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CCABD4E">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第一类资助对象中非重度失能的</w:t>
            </w:r>
          </w:p>
        </w:tc>
        <w:tc>
          <w:tcPr>
            <w:tcW w:w="1401"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E61122C">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据实结算</w:t>
            </w:r>
          </w:p>
        </w:tc>
        <w:tc>
          <w:tcPr>
            <w:tcW w:w="2722"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A9F29D3">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400</w:t>
            </w:r>
          </w:p>
        </w:tc>
      </w:tr>
      <w:tr w14:paraId="63CA274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4183"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075214D">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第二类资助对象</w:t>
            </w:r>
          </w:p>
        </w:tc>
        <w:tc>
          <w:tcPr>
            <w:tcW w:w="1401"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597D2F0">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据实结算</w:t>
            </w:r>
          </w:p>
        </w:tc>
        <w:tc>
          <w:tcPr>
            <w:tcW w:w="2722"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B686104">
            <w:pPr>
              <w:shd w:val="clea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200</w:t>
            </w:r>
          </w:p>
        </w:tc>
      </w:tr>
    </w:tbl>
    <w:p w14:paraId="22EAA491">
      <w:pPr>
        <w:shd w:val="clea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服务资助对象人数以广州市为老服务综合平台上实际数为准，根据系统实际人数和服务据实结算。</w:t>
      </w:r>
    </w:p>
    <w:p w14:paraId="374FDDB2">
      <w:pPr>
        <w:shd w:val="clea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表3特困人员护理资助经费一览表</w:t>
      </w:r>
    </w:p>
    <w:tbl>
      <w:tblPr>
        <w:tblStyle w:val="9"/>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2989"/>
        <w:gridCol w:w="2287"/>
        <w:gridCol w:w="3029"/>
      </w:tblGrid>
      <w:tr w14:paraId="6D7B566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989"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00926148">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资助对象类型</w:t>
            </w:r>
          </w:p>
        </w:tc>
        <w:tc>
          <w:tcPr>
            <w:tcW w:w="228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43E9B47B">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服务人数</w:t>
            </w:r>
          </w:p>
        </w:tc>
        <w:tc>
          <w:tcPr>
            <w:tcW w:w="302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7F855381">
            <w:pPr>
              <w:shd w:val="clear"/>
              <w:spacing w:line="36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资助金额（人/元/月）</w:t>
            </w:r>
          </w:p>
        </w:tc>
      </w:tr>
      <w:tr w14:paraId="41199D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98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D971FA9">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A类（全自理）</w:t>
            </w:r>
          </w:p>
        </w:tc>
        <w:tc>
          <w:tcPr>
            <w:tcW w:w="228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58AE9E">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据实结算</w:t>
            </w:r>
          </w:p>
        </w:tc>
        <w:tc>
          <w:tcPr>
            <w:tcW w:w="30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E37D32A">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w:t>
            </w:r>
          </w:p>
        </w:tc>
      </w:tr>
      <w:tr w14:paraId="10B6EB8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98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45B841B">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B类（半自理）</w:t>
            </w:r>
          </w:p>
        </w:tc>
        <w:tc>
          <w:tcPr>
            <w:tcW w:w="228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EB22D4">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据实结算</w:t>
            </w:r>
          </w:p>
        </w:tc>
        <w:tc>
          <w:tcPr>
            <w:tcW w:w="30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B54419">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750</w:t>
            </w:r>
          </w:p>
        </w:tc>
      </w:tr>
      <w:tr w14:paraId="0F9F19F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98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441F719">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C类（全护理）</w:t>
            </w:r>
          </w:p>
        </w:tc>
        <w:tc>
          <w:tcPr>
            <w:tcW w:w="228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C87ECDD">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据实结算</w:t>
            </w:r>
          </w:p>
        </w:tc>
        <w:tc>
          <w:tcPr>
            <w:tcW w:w="30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B9F6709">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1500</w:t>
            </w:r>
          </w:p>
        </w:tc>
      </w:tr>
    </w:tbl>
    <w:p w14:paraId="10F3F3C0">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特困供养人员服务人数以广州市为老服务综合平台上实际数为准，根据系统实际人数和服务据实结算。</w:t>
      </w:r>
    </w:p>
    <w:p w14:paraId="3284982E">
      <w:pPr>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b/>
          <w:bCs/>
          <w:color w:val="auto"/>
          <w:sz w:val="21"/>
          <w:szCs w:val="21"/>
          <w:highlight w:val="none"/>
        </w:rPr>
        <w:t>（三）服务区域</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广州市天区沙东街道</w:t>
      </w:r>
    </w:p>
    <w:p w14:paraId="722D4FF3">
      <w:pPr>
        <w:spacing w:line="360" w:lineRule="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（四）服务对象</w:t>
      </w:r>
      <w:r>
        <w:rPr>
          <w:rFonts w:hint="eastAsia" w:ascii="宋体" w:hAnsi="宋体" w:eastAsia="宋体" w:cs="宋体"/>
          <w:color w:val="auto"/>
          <w:sz w:val="21"/>
          <w:szCs w:val="21"/>
          <w:highlight w:val="none"/>
        </w:rPr>
        <w:t>：本辖区内常住老年人</w:t>
      </w:r>
      <w:r>
        <w:rPr>
          <w:rFonts w:hint="eastAsia" w:ascii="宋体" w:hAnsi="宋体" w:eastAsia="宋体" w:cs="宋体"/>
          <w:color w:val="auto"/>
          <w:sz w:val="21"/>
          <w:szCs w:val="21"/>
          <w:highlight w:val="none"/>
          <w:lang w:val="en-US" w:eastAsia="zh-CN"/>
        </w:rPr>
        <w:t>及本辖区内户籍老年人</w:t>
      </w:r>
      <w:r>
        <w:rPr>
          <w:rFonts w:hint="eastAsia" w:ascii="宋体" w:hAnsi="宋体" w:eastAsia="宋体" w:cs="宋体"/>
          <w:color w:val="auto"/>
          <w:sz w:val="21"/>
          <w:szCs w:val="21"/>
          <w:highlight w:val="none"/>
        </w:rPr>
        <w:t>提供居家社区养老服务，重点为有需求的失能、失智老年人提供服务，优先保障特殊困难老年人群服务需求。其中，符合</w:t>
      </w:r>
      <w:r>
        <w:rPr>
          <w:rFonts w:hint="eastAsia" w:ascii="宋体" w:hAnsi="宋体" w:eastAsia="宋体" w:cs="宋体"/>
          <w:color w:val="auto"/>
          <w:sz w:val="21"/>
          <w:szCs w:val="21"/>
          <w:highlight w:val="none"/>
          <w:lang w:eastAsia="zh-CN"/>
        </w:rPr>
        <w:t>《广州市居家社区养老服务管理办法》</w:t>
      </w:r>
      <w:r>
        <w:rPr>
          <w:rFonts w:hint="eastAsia" w:ascii="宋体" w:hAnsi="宋体" w:eastAsia="宋体" w:cs="宋体"/>
          <w:color w:val="auto"/>
          <w:sz w:val="21"/>
          <w:szCs w:val="21"/>
          <w:highlight w:val="none"/>
        </w:rPr>
        <w:t>规定的资助对象的服务率须达到100%。</w:t>
      </w:r>
    </w:p>
    <w:p w14:paraId="0889835C">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（五）服务形式</w:t>
      </w:r>
    </w:p>
    <w:p w14:paraId="47F6C53D">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根据辖区老年人多元化、个性化的服务需求，分为上门服务和到服务站点服务，提供覆盖老年人全生命周期的各项养老服务项目。</w:t>
      </w:r>
    </w:p>
    <w:p w14:paraId="5B3EA52F">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（六）服务指标</w:t>
      </w:r>
    </w:p>
    <w:p w14:paraId="17672F6A">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参考广州市政府购买居家社区养老服务项目指引、广州市民政局关于开展</w:t>
      </w:r>
      <w:r>
        <w:rPr>
          <w:rFonts w:hint="eastAsia" w:ascii="宋体" w:hAnsi="宋体" w:eastAsia="宋体" w:cs="宋体"/>
          <w:color w:val="auto"/>
          <w:sz w:val="21"/>
          <w:szCs w:val="21"/>
          <w:highlight w:val="none"/>
          <w:lang w:val="en-US" w:eastAsia="zh-CN"/>
        </w:rPr>
        <w:t>2024</w:t>
      </w:r>
      <w:r>
        <w:rPr>
          <w:rFonts w:hint="eastAsia" w:ascii="宋体" w:hAnsi="宋体" w:eastAsia="宋体" w:cs="宋体"/>
          <w:color w:val="auto"/>
          <w:sz w:val="21"/>
          <w:szCs w:val="21"/>
          <w:highlight w:val="none"/>
        </w:rPr>
        <w:t>年度居家社区养老服务评估工作的通知等文件要求，结合本街实际拟定服务指标，详见下表。</w:t>
      </w:r>
    </w:p>
    <w:p w14:paraId="0C7B7640">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 xml:space="preserve">表1 </w:t>
      </w:r>
      <w:r>
        <w:rPr>
          <w:rFonts w:hint="eastAsia" w:ascii="宋体" w:hAnsi="宋体" w:eastAsia="宋体" w:cs="宋体"/>
          <w:b/>
          <w:bCs/>
          <w:color w:val="auto"/>
          <w:sz w:val="21"/>
          <w:szCs w:val="21"/>
          <w:highlight w:val="none"/>
          <w:lang w:val="en-US" w:eastAsia="zh-CN"/>
        </w:rPr>
        <w:t>沙东</w:t>
      </w:r>
      <w:r>
        <w:rPr>
          <w:rFonts w:hint="eastAsia" w:ascii="宋体" w:hAnsi="宋体" w:eastAsia="宋体" w:cs="宋体"/>
          <w:b/>
          <w:bCs/>
          <w:color w:val="auto"/>
          <w:sz w:val="21"/>
          <w:szCs w:val="21"/>
          <w:highlight w:val="none"/>
        </w:rPr>
        <w:t>街综合养老服务中心（颐康中心）工作指标表</w:t>
      </w:r>
    </w:p>
    <w:tbl>
      <w:tblPr>
        <w:tblStyle w:val="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8"/>
        <w:gridCol w:w="1075"/>
        <w:gridCol w:w="6041"/>
        <w:gridCol w:w="639"/>
      </w:tblGrid>
      <w:tr w14:paraId="45CE6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3A0DFDFD">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序号</w:t>
            </w:r>
          </w:p>
        </w:tc>
        <w:tc>
          <w:tcPr>
            <w:tcW w:w="631" w:type="pct"/>
            <w:tcMar>
              <w:top w:w="0" w:type="dxa"/>
              <w:left w:w="105" w:type="dxa"/>
              <w:bottom w:w="0" w:type="dxa"/>
              <w:right w:w="105" w:type="dxa"/>
            </w:tcMar>
            <w:vAlign w:val="top"/>
          </w:tcPr>
          <w:p w14:paraId="33D5FA3D">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服务事项</w:t>
            </w:r>
          </w:p>
        </w:tc>
        <w:tc>
          <w:tcPr>
            <w:tcW w:w="3546" w:type="pct"/>
            <w:tcMar>
              <w:top w:w="0" w:type="dxa"/>
              <w:left w:w="105" w:type="dxa"/>
              <w:bottom w:w="0" w:type="dxa"/>
              <w:right w:w="105" w:type="dxa"/>
            </w:tcMar>
            <w:vAlign w:val="top"/>
          </w:tcPr>
          <w:p w14:paraId="50A9612A">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服务内容</w:t>
            </w:r>
          </w:p>
        </w:tc>
        <w:tc>
          <w:tcPr>
            <w:tcW w:w="375" w:type="pct"/>
            <w:tcMar>
              <w:top w:w="0" w:type="dxa"/>
              <w:left w:w="105" w:type="dxa"/>
              <w:bottom w:w="0" w:type="dxa"/>
              <w:right w:w="105" w:type="dxa"/>
            </w:tcMar>
            <w:vAlign w:val="top"/>
          </w:tcPr>
          <w:p w14:paraId="628DCAFF">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备注</w:t>
            </w:r>
          </w:p>
        </w:tc>
      </w:tr>
      <w:tr w14:paraId="2C293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43BCD14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631" w:type="pct"/>
            <w:tcMar>
              <w:top w:w="0" w:type="dxa"/>
              <w:left w:w="105" w:type="dxa"/>
              <w:bottom w:w="0" w:type="dxa"/>
              <w:right w:w="105" w:type="dxa"/>
            </w:tcMar>
            <w:vAlign w:val="top"/>
          </w:tcPr>
          <w:p w14:paraId="3436D7C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人员培训</w:t>
            </w:r>
          </w:p>
        </w:tc>
        <w:tc>
          <w:tcPr>
            <w:tcW w:w="3546" w:type="pct"/>
            <w:tcMar>
              <w:top w:w="0" w:type="dxa"/>
              <w:left w:w="105" w:type="dxa"/>
              <w:bottom w:w="0" w:type="dxa"/>
              <w:right w:w="105" w:type="dxa"/>
            </w:tcMar>
            <w:vAlign w:val="top"/>
          </w:tcPr>
          <w:p w14:paraId="2534638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1.项目负责人每年参加2次以上的机构外部培训。</w:t>
            </w:r>
          </w:p>
          <w:p w14:paraId="659CF38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2.工作人员每年在岗持续培训12学时以上，建立培训档案。</w:t>
            </w:r>
          </w:p>
        </w:tc>
        <w:tc>
          <w:tcPr>
            <w:tcW w:w="375" w:type="pct"/>
            <w:vMerge w:val="restart"/>
            <w:tcMar>
              <w:top w:w="0" w:type="dxa"/>
              <w:left w:w="105" w:type="dxa"/>
              <w:bottom w:w="0" w:type="dxa"/>
              <w:right w:w="105" w:type="dxa"/>
            </w:tcMar>
            <w:vAlign w:val="top"/>
          </w:tcPr>
          <w:p w14:paraId="6CF374A6">
            <w:pPr>
              <w:spacing w:line="240" w:lineRule="auto"/>
              <w:rPr>
                <w:rFonts w:hint="eastAsia" w:ascii="宋体" w:hAnsi="宋体" w:eastAsia="宋体" w:cs="宋体"/>
                <w:color w:val="auto"/>
                <w:sz w:val="21"/>
                <w:szCs w:val="21"/>
                <w:highlight w:val="none"/>
              </w:rPr>
            </w:pPr>
          </w:p>
        </w:tc>
      </w:tr>
      <w:tr w14:paraId="69A8D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67A413B8">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631" w:type="pct"/>
            <w:tcMar>
              <w:top w:w="0" w:type="dxa"/>
              <w:left w:w="105" w:type="dxa"/>
              <w:bottom w:w="0" w:type="dxa"/>
              <w:right w:w="105" w:type="dxa"/>
            </w:tcMar>
            <w:vAlign w:val="top"/>
          </w:tcPr>
          <w:p w14:paraId="616E507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信息化管理</w:t>
            </w:r>
          </w:p>
        </w:tc>
        <w:tc>
          <w:tcPr>
            <w:tcW w:w="3546" w:type="pct"/>
            <w:tcMar>
              <w:top w:w="0" w:type="dxa"/>
              <w:left w:w="105" w:type="dxa"/>
              <w:bottom w:w="0" w:type="dxa"/>
              <w:right w:w="105" w:type="dxa"/>
            </w:tcMar>
            <w:vAlign w:val="top"/>
          </w:tcPr>
          <w:p w14:paraId="1EB11164">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服务数据接入广州市为老服务综合平台，配备智能设备自动采集服务数据并上传至系统，服务机构、服务设施、工作人员等信息100%准确录入系统并及时更新。</w:t>
            </w:r>
          </w:p>
        </w:tc>
        <w:tc>
          <w:tcPr>
            <w:tcW w:w="375" w:type="pct"/>
            <w:vMerge w:val="continue"/>
          </w:tcPr>
          <w:p w14:paraId="25B38A55">
            <w:pPr>
              <w:spacing w:line="240" w:lineRule="auto"/>
              <w:rPr>
                <w:rFonts w:hint="eastAsia" w:ascii="宋体" w:hAnsi="宋体" w:eastAsia="宋体" w:cs="宋体"/>
                <w:color w:val="auto"/>
                <w:sz w:val="21"/>
                <w:szCs w:val="21"/>
                <w:highlight w:val="none"/>
              </w:rPr>
            </w:pPr>
          </w:p>
        </w:tc>
      </w:tr>
      <w:tr w14:paraId="78E96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restart"/>
            <w:tcMar>
              <w:top w:w="0" w:type="dxa"/>
              <w:left w:w="105" w:type="dxa"/>
              <w:bottom w:w="0" w:type="dxa"/>
              <w:right w:w="105" w:type="dxa"/>
            </w:tcMar>
            <w:vAlign w:val="top"/>
          </w:tcPr>
          <w:p w14:paraId="0A3F739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631" w:type="pct"/>
            <w:vMerge w:val="restart"/>
            <w:tcMar>
              <w:top w:w="0" w:type="dxa"/>
              <w:left w:w="105" w:type="dxa"/>
              <w:bottom w:w="0" w:type="dxa"/>
              <w:right w:w="105" w:type="dxa"/>
            </w:tcMar>
            <w:vAlign w:val="top"/>
          </w:tcPr>
          <w:p w14:paraId="2B6FA8C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服务管理</w:t>
            </w:r>
          </w:p>
        </w:tc>
        <w:tc>
          <w:tcPr>
            <w:tcW w:w="3546" w:type="pct"/>
            <w:tcMar>
              <w:top w:w="0" w:type="dxa"/>
              <w:left w:w="105" w:type="dxa"/>
              <w:bottom w:w="0" w:type="dxa"/>
              <w:right w:w="105" w:type="dxa"/>
            </w:tcMar>
            <w:vAlign w:val="center"/>
          </w:tcPr>
          <w:p w14:paraId="208DE05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服务协议签订规范，明确服务项目、服务时间与频次、收费价格、人身财产安全、法律责任等内容，并为服务对象制定服务方案。</w:t>
            </w:r>
            <w:r>
              <w:rPr>
                <w:rFonts w:hint="eastAsia" w:ascii="宋体" w:hAnsi="宋体" w:eastAsia="宋体" w:cs="宋体"/>
                <w:color w:val="auto"/>
                <w:sz w:val="21"/>
                <w:szCs w:val="21"/>
                <w:highlight w:val="none"/>
              </w:rPr>
              <w:t>1.签约对象一人一档且建档率100%，非签约服务对象建立花名册，至少每半年检视一次档案内容，按需更新服务档案。</w:t>
            </w:r>
          </w:p>
          <w:p w14:paraId="25DED4D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2.定期进行需求调查，了解并掌握本街有服务需求的老年人数据，每年≥1次。</w:t>
            </w:r>
          </w:p>
        </w:tc>
        <w:tc>
          <w:tcPr>
            <w:tcW w:w="375" w:type="pct"/>
            <w:vMerge w:val="continue"/>
          </w:tcPr>
          <w:p w14:paraId="18DD9C1A">
            <w:pPr>
              <w:spacing w:line="240" w:lineRule="auto"/>
              <w:rPr>
                <w:rFonts w:hint="eastAsia" w:ascii="宋体" w:hAnsi="宋体" w:eastAsia="宋体" w:cs="宋体"/>
                <w:color w:val="auto"/>
                <w:sz w:val="21"/>
                <w:szCs w:val="21"/>
                <w:highlight w:val="none"/>
              </w:rPr>
            </w:pPr>
          </w:p>
        </w:tc>
      </w:tr>
      <w:tr w14:paraId="0BD6C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4B742685">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72B2FAFA">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5B6B646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签约对象一人一档且建档率100%，非签约服务对象建立花名册，至少每半年检视一次档案内容，按需更新。</w:t>
            </w:r>
          </w:p>
        </w:tc>
        <w:tc>
          <w:tcPr>
            <w:tcW w:w="375" w:type="pct"/>
            <w:vMerge w:val="continue"/>
          </w:tcPr>
          <w:p w14:paraId="6C889FA1">
            <w:pPr>
              <w:spacing w:line="240" w:lineRule="auto"/>
              <w:rPr>
                <w:rFonts w:hint="eastAsia" w:ascii="宋体" w:hAnsi="宋体" w:eastAsia="宋体" w:cs="宋体"/>
                <w:color w:val="auto"/>
                <w:sz w:val="21"/>
                <w:szCs w:val="21"/>
                <w:highlight w:val="none"/>
              </w:rPr>
            </w:pPr>
          </w:p>
        </w:tc>
      </w:tr>
      <w:tr w14:paraId="700CB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42BD01AA">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1FE550D5">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4F22C178">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定期进行服务需求调查，了解并掌握周边有服务需求的老年人数据，并根据调查结果合理开展服务。每年≥1次。</w:t>
            </w:r>
          </w:p>
        </w:tc>
        <w:tc>
          <w:tcPr>
            <w:tcW w:w="375" w:type="pct"/>
            <w:vMerge w:val="continue"/>
          </w:tcPr>
          <w:p w14:paraId="187B2AA9">
            <w:pPr>
              <w:spacing w:line="240" w:lineRule="auto"/>
              <w:rPr>
                <w:rFonts w:hint="eastAsia" w:ascii="宋体" w:hAnsi="宋体" w:eastAsia="宋体" w:cs="宋体"/>
                <w:color w:val="auto"/>
                <w:sz w:val="21"/>
                <w:szCs w:val="21"/>
                <w:highlight w:val="none"/>
              </w:rPr>
            </w:pPr>
          </w:p>
        </w:tc>
      </w:tr>
      <w:tr w14:paraId="4B3B6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2C50ED1A">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342747A1">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53F199E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制定完善的内部服务检查制度，定期检查服务执行情况，检查情况应予记录，每季度≥1次。</w:t>
            </w:r>
          </w:p>
        </w:tc>
        <w:tc>
          <w:tcPr>
            <w:tcW w:w="375" w:type="pct"/>
            <w:vMerge w:val="continue"/>
          </w:tcPr>
          <w:p w14:paraId="63FCCCA9">
            <w:pPr>
              <w:spacing w:line="240" w:lineRule="auto"/>
              <w:rPr>
                <w:rFonts w:hint="eastAsia" w:ascii="宋体" w:hAnsi="宋体" w:eastAsia="宋体" w:cs="宋体"/>
                <w:color w:val="auto"/>
                <w:sz w:val="21"/>
                <w:szCs w:val="21"/>
                <w:highlight w:val="none"/>
              </w:rPr>
            </w:pPr>
          </w:p>
        </w:tc>
      </w:tr>
      <w:tr w14:paraId="4C1BF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60CE9415">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73923A83">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2729CB3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各服务项目建立操作规程，并符合国家、行业、地方标准要求。</w:t>
            </w:r>
          </w:p>
        </w:tc>
        <w:tc>
          <w:tcPr>
            <w:tcW w:w="375" w:type="pct"/>
            <w:vMerge w:val="continue"/>
          </w:tcPr>
          <w:p w14:paraId="21CEF9B9">
            <w:pPr>
              <w:spacing w:line="240" w:lineRule="auto"/>
              <w:rPr>
                <w:rFonts w:hint="eastAsia" w:ascii="宋体" w:hAnsi="宋体" w:eastAsia="宋体" w:cs="宋体"/>
                <w:color w:val="auto"/>
                <w:sz w:val="21"/>
                <w:szCs w:val="21"/>
                <w:highlight w:val="none"/>
              </w:rPr>
            </w:pPr>
          </w:p>
        </w:tc>
      </w:tr>
      <w:tr w14:paraId="616F9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2DEEBC45">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13B1DF5A">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43F780BE">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制定投诉管理制度，明确投诉处理流程。设有意见箱或意见簿，至少每月统计一次意见，有相关跟进记录。</w:t>
            </w:r>
          </w:p>
        </w:tc>
        <w:tc>
          <w:tcPr>
            <w:tcW w:w="375" w:type="pct"/>
            <w:vMerge w:val="continue"/>
          </w:tcPr>
          <w:p w14:paraId="473E1F73">
            <w:pPr>
              <w:spacing w:line="240" w:lineRule="auto"/>
              <w:rPr>
                <w:rFonts w:hint="eastAsia" w:ascii="宋体" w:hAnsi="宋体" w:eastAsia="宋体" w:cs="宋体"/>
                <w:color w:val="auto"/>
                <w:sz w:val="21"/>
                <w:szCs w:val="21"/>
                <w:highlight w:val="none"/>
              </w:rPr>
            </w:pPr>
          </w:p>
        </w:tc>
      </w:tr>
      <w:tr w14:paraId="229BC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660BFD7C">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7D43298A">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113F5FD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制定完善的服务对象满意度管理制度，至少每半年开展一次服务对象满意度调查，根据调查结果及时作出服务改进，记录存档清晰。</w:t>
            </w:r>
          </w:p>
        </w:tc>
        <w:tc>
          <w:tcPr>
            <w:tcW w:w="375" w:type="pct"/>
            <w:vMerge w:val="continue"/>
          </w:tcPr>
          <w:p w14:paraId="736C6F62">
            <w:pPr>
              <w:spacing w:line="240" w:lineRule="auto"/>
              <w:rPr>
                <w:rFonts w:hint="eastAsia" w:ascii="宋体" w:hAnsi="宋体" w:eastAsia="宋体" w:cs="宋体"/>
                <w:color w:val="auto"/>
                <w:sz w:val="21"/>
                <w:szCs w:val="21"/>
                <w:highlight w:val="none"/>
              </w:rPr>
            </w:pPr>
          </w:p>
        </w:tc>
      </w:tr>
      <w:tr w14:paraId="63078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51E296FB">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30CF624D">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24523B6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制定志愿服务管理制度，</w:t>
            </w:r>
            <w:r>
              <w:rPr>
                <w:rFonts w:hint="eastAsia" w:ascii="宋体" w:hAnsi="宋体" w:eastAsia="宋体" w:cs="宋体"/>
                <w:color w:val="auto"/>
                <w:sz w:val="21"/>
                <w:szCs w:val="21"/>
                <w:highlight w:val="none"/>
              </w:rPr>
              <w:t>积极动员</w:t>
            </w:r>
            <w:r>
              <w:rPr>
                <w:rFonts w:hint="eastAsia" w:ascii="宋体" w:hAnsi="宋体" w:eastAsia="宋体" w:cs="宋体"/>
                <w:color w:val="auto"/>
                <w:sz w:val="21"/>
                <w:szCs w:val="21"/>
                <w:highlight w:val="none"/>
                <w:lang w:eastAsia="zh-CN"/>
              </w:rPr>
              <w:t>、组织老年人及其家属、亲友、邻居或志愿者</w:t>
            </w:r>
            <w:r>
              <w:rPr>
                <w:rFonts w:hint="eastAsia" w:ascii="宋体" w:hAnsi="宋体" w:eastAsia="宋体" w:cs="宋体"/>
                <w:color w:val="auto"/>
                <w:sz w:val="21"/>
                <w:szCs w:val="21"/>
                <w:highlight w:val="none"/>
              </w:rPr>
              <w:t>参与</w:t>
            </w:r>
            <w:r>
              <w:rPr>
                <w:rFonts w:hint="eastAsia" w:ascii="宋体" w:hAnsi="宋体" w:eastAsia="宋体" w:cs="宋体"/>
                <w:color w:val="auto"/>
                <w:sz w:val="21"/>
                <w:szCs w:val="21"/>
                <w:highlight w:val="none"/>
                <w:lang w:eastAsia="zh-CN"/>
              </w:rPr>
              <w:t>多样化的</w:t>
            </w:r>
            <w:r>
              <w:rPr>
                <w:rFonts w:hint="eastAsia" w:ascii="宋体" w:hAnsi="宋体" w:eastAsia="宋体" w:cs="宋体"/>
                <w:color w:val="auto"/>
                <w:sz w:val="21"/>
                <w:szCs w:val="21"/>
                <w:highlight w:val="none"/>
              </w:rPr>
              <w:t>志愿服务</w:t>
            </w:r>
            <w:r>
              <w:rPr>
                <w:rFonts w:hint="eastAsia" w:ascii="宋体" w:hAnsi="宋体" w:eastAsia="宋体" w:cs="宋体"/>
                <w:color w:val="auto"/>
                <w:sz w:val="21"/>
                <w:szCs w:val="21"/>
                <w:highlight w:val="none"/>
                <w:lang w:eastAsia="zh-CN"/>
              </w:rPr>
              <w:t>。每年组织志愿者上门服务或在站点服务活动</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lang w:eastAsia="zh-CN"/>
              </w:rPr>
              <w:t>次以上，服务时数</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200小时。实施新时代“银龄行动”，以老年人为主体，以开展智力援助和参与基层治理、社会服务等为内容，促进老年人社会参与。</w:t>
            </w:r>
          </w:p>
        </w:tc>
        <w:tc>
          <w:tcPr>
            <w:tcW w:w="375" w:type="pct"/>
            <w:vMerge w:val="continue"/>
          </w:tcPr>
          <w:p w14:paraId="53066D92">
            <w:pPr>
              <w:spacing w:line="240" w:lineRule="auto"/>
              <w:rPr>
                <w:rFonts w:hint="eastAsia" w:ascii="宋体" w:hAnsi="宋体" w:eastAsia="宋体" w:cs="宋体"/>
                <w:color w:val="auto"/>
                <w:sz w:val="21"/>
                <w:szCs w:val="21"/>
                <w:highlight w:val="none"/>
              </w:rPr>
            </w:pPr>
          </w:p>
        </w:tc>
      </w:tr>
      <w:tr w14:paraId="640FF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restart"/>
            <w:tcMar>
              <w:top w:w="0" w:type="dxa"/>
              <w:left w:w="105" w:type="dxa"/>
              <w:bottom w:w="0" w:type="dxa"/>
              <w:right w:w="105" w:type="dxa"/>
            </w:tcMar>
            <w:vAlign w:val="top"/>
          </w:tcPr>
          <w:p w14:paraId="0E0E170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631" w:type="pct"/>
            <w:vMerge w:val="restart"/>
            <w:tcMar>
              <w:top w:w="0" w:type="dxa"/>
              <w:left w:w="105" w:type="dxa"/>
              <w:bottom w:w="0" w:type="dxa"/>
              <w:right w:w="105" w:type="dxa"/>
            </w:tcMar>
            <w:vAlign w:val="top"/>
          </w:tcPr>
          <w:p w14:paraId="36B95BC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安全管理</w:t>
            </w:r>
          </w:p>
        </w:tc>
        <w:tc>
          <w:tcPr>
            <w:tcW w:w="3546" w:type="pct"/>
            <w:tcMar>
              <w:top w:w="0" w:type="dxa"/>
              <w:left w:w="105" w:type="dxa"/>
              <w:bottom w:w="0" w:type="dxa"/>
              <w:right w:w="105" w:type="dxa"/>
            </w:tcMar>
            <w:vAlign w:val="center"/>
          </w:tcPr>
          <w:p w14:paraId="00CBD42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制定完善的消防安全管理制度，包括教育培训、防火检查、电气设备安全检查、安全疏散设备检查、灭火设备安全检查、隐患整改、应急预案等内容并执行。</w:t>
            </w:r>
            <w:r>
              <w:rPr>
                <w:rFonts w:hint="eastAsia" w:ascii="宋体" w:hAnsi="宋体" w:eastAsia="宋体" w:cs="宋体"/>
                <w:color w:val="auto"/>
                <w:sz w:val="21"/>
                <w:szCs w:val="21"/>
                <w:highlight w:val="none"/>
              </w:rPr>
              <w:t>1.制定完善、科学、可行性强的食品安全管理制度和应急预案、消防安全管理制度和应急预案、老年人服务防护制度。针对服务对象及工作人员开展消防安全培训、应急预案演练等，每年≥1次；消防安全演练，每半年≥1次。</w:t>
            </w:r>
          </w:p>
          <w:p w14:paraId="4710CDE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2.有专人负责食品安全管理和消防安全管理。保持服务场所清洁卫生，每周至少对全部场室进行1次消毒，并有相关消杀记录，公用物品应在使用后进行清洗、消毒，并记录。</w:t>
            </w:r>
          </w:p>
          <w:p w14:paraId="1F3986E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3.从事接触直接入口食品工作的人员100%持有有效期内的健康证。</w:t>
            </w:r>
          </w:p>
          <w:p w14:paraId="7371FE3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4.购买场地险或公众责任险，制定完善的场馆管理制度，明确各场室管理人员。</w:t>
            </w:r>
          </w:p>
        </w:tc>
        <w:tc>
          <w:tcPr>
            <w:tcW w:w="375" w:type="pct"/>
            <w:vMerge w:val="continue"/>
          </w:tcPr>
          <w:p w14:paraId="3243C54E">
            <w:pPr>
              <w:spacing w:line="240" w:lineRule="auto"/>
              <w:rPr>
                <w:rFonts w:hint="eastAsia" w:ascii="宋体" w:hAnsi="宋体" w:eastAsia="宋体" w:cs="宋体"/>
                <w:color w:val="auto"/>
                <w:sz w:val="21"/>
                <w:szCs w:val="21"/>
                <w:highlight w:val="none"/>
              </w:rPr>
            </w:pPr>
          </w:p>
        </w:tc>
      </w:tr>
      <w:tr w14:paraId="255F1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5B7D49F9">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1F255A69">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63025B9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服务场地满足服务安全要求并张贴符合地方标准</w:t>
            </w:r>
            <w:r>
              <w:rPr>
                <w:rFonts w:hint="eastAsia" w:ascii="宋体" w:hAnsi="宋体" w:eastAsia="宋体" w:cs="宋体"/>
                <w:color w:val="auto"/>
                <w:sz w:val="21"/>
                <w:szCs w:val="21"/>
                <w:highlight w:val="none"/>
                <w:lang w:eastAsia="zh-CN"/>
              </w:rPr>
              <w:t>《综合养老服务中心基本规范》</w:t>
            </w:r>
            <w:r>
              <w:rPr>
                <w:rFonts w:hint="eastAsia" w:ascii="宋体" w:hAnsi="宋体" w:eastAsia="宋体" w:cs="宋体"/>
                <w:color w:val="auto"/>
                <w:sz w:val="21"/>
                <w:szCs w:val="21"/>
                <w:highlight w:val="none"/>
              </w:rPr>
              <w:t>（DB4401</w:t>
            </w:r>
            <w:r>
              <w:rPr>
                <w:rFonts w:hint="eastAsia" w:ascii="宋体" w:hAnsi="宋体" w:eastAsia="宋体" w:cs="宋体"/>
                <w:color w:val="auto"/>
                <w:sz w:val="21"/>
                <w:szCs w:val="21"/>
                <w:highlight w:val="none"/>
                <w:lang w:val="en-US" w:eastAsia="zh"/>
              </w:rPr>
              <w:t>/</w:t>
            </w:r>
            <w:r>
              <w:rPr>
                <w:rFonts w:hint="eastAsia" w:ascii="宋体" w:hAnsi="宋体" w:eastAsia="宋体" w:cs="宋体"/>
                <w:color w:val="auto"/>
                <w:sz w:val="21"/>
                <w:szCs w:val="21"/>
                <w:highlight w:val="none"/>
              </w:rPr>
              <w:t>T 248—2024）</w:t>
            </w:r>
            <w:r>
              <w:rPr>
                <w:rFonts w:hint="eastAsia" w:ascii="宋体" w:hAnsi="宋体" w:eastAsia="宋体" w:cs="宋体"/>
                <w:color w:val="auto"/>
                <w:sz w:val="21"/>
                <w:szCs w:val="21"/>
                <w:highlight w:val="none"/>
                <w:lang w:val="en-US" w:eastAsia="zh-CN"/>
              </w:rPr>
              <w:t>要求的安全标识，如防烫警示、地面高差警示、坡度警示、台阶警示、防撞警示、地面防滑标识等。</w:t>
            </w:r>
          </w:p>
        </w:tc>
        <w:tc>
          <w:tcPr>
            <w:tcW w:w="375" w:type="pct"/>
            <w:vMerge w:val="continue"/>
          </w:tcPr>
          <w:p w14:paraId="78868168">
            <w:pPr>
              <w:spacing w:line="240" w:lineRule="auto"/>
              <w:rPr>
                <w:rFonts w:hint="eastAsia" w:ascii="宋体" w:hAnsi="宋体" w:eastAsia="宋体" w:cs="宋体"/>
                <w:color w:val="auto"/>
                <w:sz w:val="21"/>
                <w:szCs w:val="21"/>
                <w:highlight w:val="none"/>
              </w:rPr>
            </w:pPr>
          </w:p>
        </w:tc>
      </w:tr>
      <w:tr w14:paraId="2E1C2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6207563E">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7D2D765C">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0A499B2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定期开展消防安全演练，每半年≥1次。</w:t>
            </w:r>
          </w:p>
        </w:tc>
        <w:tc>
          <w:tcPr>
            <w:tcW w:w="375" w:type="pct"/>
            <w:vMerge w:val="continue"/>
          </w:tcPr>
          <w:p w14:paraId="6CBE93C5">
            <w:pPr>
              <w:spacing w:line="240" w:lineRule="auto"/>
              <w:rPr>
                <w:rFonts w:hint="eastAsia" w:ascii="宋体" w:hAnsi="宋体" w:eastAsia="宋体" w:cs="宋体"/>
                <w:color w:val="auto"/>
                <w:sz w:val="21"/>
                <w:szCs w:val="21"/>
                <w:highlight w:val="none"/>
              </w:rPr>
            </w:pPr>
          </w:p>
        </w:tc>
      </w:tr>
      <w:tr w14:paraId="7C4C4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15175A1D">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177332AA">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5FF28FA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制定完善的老年人服务防护制度，包括噎食、食品药品误食、压疮、烫伤、坠床、跌倒、他伤和自伤、走失、文娱活动意外等突发事件应急预案，并进行演练，每年≥1次。</w:t>
            </w:r>
          </w:p>
        </w:tc>
        <w:tc>
          <w:tcPr>
            <w:tcW w:w="375" w:type="pct"/>
            <w:vMerge w:val="continue"/>
          </w:tcPr>
          <w:p w14:paraId="7BFC0D25">
            <w:pPr>
              <w:spacing w:line="240" w:lineRule="auto"/>
              <w:rPr>
                <w:rFonts w:hint="eastAsia" w:ascii="宋体" w:hAnsi="宋体" w:eastAsia="宋体" w:cs="宋体"/>
                <w:color w:val="auto"/>
                <w:sz w:val="21"/>
                <w:szCs w:val="21"/>
                <w:highlight w:val="none"/>
              </w:rPr>
            </w:pPr>
          </w:p>
        </w:tc>
      </w:tr>
      <w:tr w14:paraId="0284E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577A85CD">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1789D3A8">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0030E07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制定完善的食品安全管理制度和应急预案，明确各岗位权责、采购加工制作流程、安全检查计划等内容并执行。</w:t>
            </w:r>
          </w:p>
        </w:tc>
        <w:tc>
          <w:tcPr>
            <w:tcW w:w="375" w:type="pct"/>
            <w:vMerge w:val="continue"/>
          </w:tcPr>
          <w:p w14:paraId="47605D6C">
            <w:pPr>
              <w:spacing w:line="240" w:lineRule="auto"/>
              <w:rPr>
                <w:rFonts w:hint="eastAsia" w:ascii="宋体" w:hAnsi="宋体" w:eastAsia="宋体" w:cs="宋体"/>
                <w:color w:val="auto"/>
                <w:sz w:val="21"/>
                <w:szCs w:val="21"/>
                <w:highlight w:val="none"/>
              </w:rPr>
            </w:pPr>
          </w:p>
        </w:tc>
      </w:tr>
      <w:tr w14:paraId="2D828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01E72AF0">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50AD13A0">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1BE3032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有专人负责食品安全管理。从事接触直接入口食品工作的人员100%持有有效期内的健康证。</w:t>
            </w:r>
          </w:p>
        </w:tc>
        <w:tc>
          <w:tcPr>
            <w:tcW w:w="375" w:type="pct"/>
            <w:vMerge w:val="continue"/>
          </w:tcPr>
          <w:p w14:paraId="552FA1DF">
            <w:pPr>
              <w:spacing w:line="240" w:lineRule="auto"/>
              <w:rPr>
                <w:rFonts w:hint="eastAsia" w:ascii="宋体" w:hAnsi="宋体" w:eastAsia="宋体" w:cs="宋体"/>
                <w:color w:val="auto"/>
                <w:sz w:val="21"/>
                <w:szCs w:val="21"/>
                <w:highlight w:val="none"/>
              </w:rPr>
            </w:pPr>
          </w:p>
        </w:tc>
      </w:tr>
      <w:tr w14:paraId="69AD5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1262FA5E">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583AD300">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623CB21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保持加工、服务场所内外环境整洁，完善防尘、防四害、防潮、防化学污染等措施。</w:t>
            </w:r>
          </w:p>
        </w:tc>
        <w:tc>
          <w:tcPr>
            <w:tcW w:w="375" w:type="pct"/>
            <w:vMerge w:val="continue"/>
          </w:tcPr>
          <w:p w14:paraId="2F967D0F">
            <w:pPr>
              <w:spacing w:line="240" w:lineRule="auto"/>
              <w:rPr>
                <w:rFonts w:hint="eastAsia" w:ascii="宋体" w:hAnsi="宋体" w:eastAsia="宋体" w:cs="宋体"/>
                <w:color w:val="auto"/>
                <w:sz w:val="21"/>
                <w:szCs w:val="21"/>
                <w:highlight w:val="none"/>
              </w:rPr>
            </w:pPr>
          </w:p>
        </w:tc>
      </w:tr>
      <w:tr w14:paraId="70D5C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65158A07">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75C8644A">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1100572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至少每周对全部场室进行一次消毒，公用物品应在使用后进行清洗、消毒，有记录。</w:t>
            </w:r>
          </w:p>
        </w:tc>
        <w:tc>
          <w:tcPr>
            <w:tcW w:w="375" w:type="pct"/>
            <w:vMerge w:val="continue"/>
          </w:tcPr>
          <w:p w14:paraId="3B3B673E">
            <w:pPr>
              <w:spacing w:line="240" w:lineRule="auto"/>
              <w:rPr>
                <w:rFonts w:hint="eastAsia" w:ascii="宋体" w:hAnsi="宋体" w:eastAsia="宋体" w:cs="宋体"/>
                <w:color w:val="auto"/>
                <w:sz w:val="21"/>
                <w:szCs w:val="21"/>
                <w:highlight w:val="none"/>
              </w:rPr>
            </w:pPr>
          </w:p>
        </w:tc>
      </w:tr>
      <w:tr w14:paraId="7B677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52B70B2A">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50239783">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06F4E29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制定完善的档案管理制度和信息保密制度，明确服务对象档案建立、更新、保存、查阅等方面的要求并执行。</w:t>
            </w:r>
          </w:p>
        </w:tc>
        <w:tc>
          <w:tcPr>
            <w:tcW w:w="375" w:type="pct"/>
            <w:vMerge w:val="continue"/>
          </w:tcPr>
          <w:p w14:paraId="1D8A34CC">
            <w:pPr>
              <w:spacing w:line="240" w:lineRule="auto"/>
              <w:rPr>
                <w:rFonts w:hint="eastAsia" w:ascii="宋体" w:hAnsi="宋体" w:eastAsia="宋体" w:cs="宋体"/>
                <w:color w:val="auto"/>
                <w:sz w:val="21"/>
                <w:szCs w:val="21"/>
                <w:highlight w:val="none"/>
              </w:rPr>
            </w:pPr>
          </w:p>
        </w:tc>
      </w:tr>
      <w:tr w14:paraId="676C6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772BB480">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12C5478E">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6C7A9ED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购买公众责任保险。</w:t>
            </w:r>
          </w:p>
        </w:tc>
        <w:tc>
          <w:tcPr>
            <w:tcW w:w="375" w:type="pct"/>
            <w:vMerge w:val="continue"/>
          </w:tcPr>
          <w:p w14:paraId="78592650">
            <w:pPr>
              <w:spacing w:line="240" w:lineRule="auto"/>
              <w:rPr>
                <w:rFonts w:hint="eastAsia" w:ascii="宋体" w:hAnsi="宋体" w:eastAsia="宋体" w:cs="宋体"/>
                <w:color w:val="auto"/>
                <w:sz w:val="21"/>
                <w:szCs w:val="21"/>
                <w:highlight w:val="none"/>
              </w:rPr>
            </w:pPr>
          </w:p>
        </w:tc>
      </w:tr>
      <w:tr w14:paraId="11548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Merge w:val="continue"/>
            <w:tcMar>
              <w:top w:w="0" w:type="dxa"/>
              <w:left w:w="105" w:type="dxa"/>
              <w:bottom w:w="0" w:type="dxa"/>
              <w:right w:w="105" w:type="dxa"/>
            </w:tcMar>
            <w:vAlign w:val="top"/>
          </w:tcPr>
          <w:p w14:paraId="74E3D613">
            <w:pPr>
              <w:spacing w:line="240" w:lineRule="auto"/>
              <w:rPr>
                <w:rFonts w:hint="eastAsia" w:ascii="宋体" w:hAnsi="宋体" w:eastAsia="宋体" w:cs="宋体"/>
                <w:color w:val="auto"/>
                <w:sz w:val="21"/>
                <w:szCs w:val="21"/>
                <w:highlight w:val="none"/>
              </w:rPr>
            </w:pPr>
          </w:p>
        </w:tc>
        <w:tc>
          <w:tcPr>
            <w:tcW w:w="631" w:type="pct"/>
            <w:vMerge w:val="continue"/>
            <w:tcMar>
              <w:top w:w="0" w:type="dxa"/>
              <w:left w:w="105" w:type="dxa"/>
              <w:bottom w:w="0" w:type="dxa"/>
              <w:right w:w="105" w:type="dxa"/>
            </w:tcMar>
            <w:vAlign w:val="top"/>
          </w:tcPr>
          <w:p w14:paraId="1BE5442B">
            <w:pPr>
              <w:spacing w:line="240" w:lineRule="auto"/>
              <w:rPr>
                <w:rFonts w:hint="eastAsia" w:ascii="宋体" w:hAnsi="宋体" w:eastAsia="宋体" w:cs="宋体"/>
                <w:color w:val="auto"/>
                <w:sz w:val="21"/>
                <w:szCs w:val="21"/>
                <w:highlight w:val="none"/>
              </w:rPr>
            </w:pPr>
          </w:p>
        </w:tc>
        <w:tc>
          <w:tcPr>
            <w:tcW w:w="3546" w:type="pct"/>
            <w:tcMar>
              <w:top w:w="0" w:type="dxa"/>
              <w:left w:w="105" w:type="dxa"/>
              <w:bottom w:w="0" w:type="dxa"/>
              <w:right w:w="105" w:type="dxa"/>
            </w:tcMar>
            <w:vAlign w:val="center"/>
          </w:tcPr>
          <w:p w14:paraId="0D405B4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制定完善的场地管理制度，明确各场室管理人员并执行。</w:t>
            </w:r>
          </w:p>
        </w:tc>
        <w:tc>
          <w:tcPr>
            <w:tcW w:w="375" w:type="pct"/>
            <w:vMerge w:val="continue"/>
          </w:tcPr>
          <w:p w14:paraId="7789BF61">
            <w:pPr>
              <w:spacing w:line="240" w:lineRule="auto"/>
              <w:rPr>
                <w:rFonts w:hint="eastAsia" w:ascii="宋体" w:hAnsi="宋体" w:eastAsia="宋体" w:cs="宋体"/>
                <w:color w:val="auto"/>
                <w:sz w:val="21"/>
                <w:szCs w:val="21"/>
                <w:highlight w:val="none"/>
              </w:rPr>
            </w:pPr>
          </w:p>
        </w:tc>
      </w:tr>
      <w:tr w14:paraId="7841D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04FEC32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631" w:type="pct"/>
            <w:tcMar>
              <w:top w:w="0" w:type="dxa"/>
              <w:left w:w="105" w:type="dxa"/>
              <w:bottom w:w="0" w:type="dxa"/>
              <w:right w:w="105" w:type="dxa"/>
            </w:tcMar>
            <w:vAlign w:val="top"/>
          </w:tcPr>
          <w:p w14:paraId="6A15DF0E">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宣传推介</w:t>
            </w:r>
          </w:p>
        </w:tc>
        <w:tc>
          <w:tcPr>
            <w:tcW w:w="3546" w:type="pct"/>
            <w:tcMar>
              <w:top w:w="0" w:type="dxa"/>
              <w:left w:w="105" w:type="dxa"/>
              <w:bottom w:w="0" w:type="dxa"/>
              <w:right w:w="105" w:type="dxa"/>
            </w:tcMar>
            <w:vAlign w:val="top"/>
          </w:tcPr>
          <w:p w14:paraId="7D09348E">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1.每年组织开展线下居家社区养老服务推介活动，宣传</w:t>
            </w:r>
            <w:r>
              <w:rPr>
                <w:rFonts w:hint="eastAsia" w:ascii="宋体" w:hAnsi="宋体" w:eastAsia="宋体" w:cs="宋体"/>
                <w:color w:val="auto"/>
                <w:sz w:val="21"/>
                <w:szCs w:val="21"/>
                <w:highlight w:val="none"/>
                <w:lang w:val="en-US" w:eastAsia="zh-CN"/>
              </w:rPr>
              <w:t>广州</w:t>
            </w:r>
            <w:r>
              <w:rPr>
                <w:rFonts w:hint="eastAsia" w:ascii="宋体" w:hAnsi="宋体" w:eastAsia="宋体" w:cs="宋体"/>
                <w:color w:val="auto"/>
                <w:sz w:val="21"/>
                <w:szCs w:val="21"/>
                <w:highlight w:val="none"/>
              </w:rPr>
              <w:t>市居家社区养老服务政策：推介活动≥12次。</w:t>
            </w:r>
          </w:p>
          <w:p w14:paraId="7753674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2.服务宣传渠道多样，通过网站、公众号、微信群、宣传单张等形式进行服务宣传和动态更新，每月≥1次。</w:t>
            </w:r>
          </w:p>
          <w:p w14:paraId="73836FFE">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3.在百度地图、腾讯地图和高德地图等地图软件上完善服务设施信息。</w:t>
            </w:r>
          </w:p>
          <w:p w14:paraId="728AC12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每年根据上级下达任务适时调整。</w:t>
            </w:r>
          </w:p>
        </w:tc>
        <w:tc>
          <w:tcPr>
            <w:tcW w:w="375" w:type="pct"/>
            <w:vMerge w:val="continue"/>
          </w:tcPr>
          <w:p w14:paraId="1650A11E">
            <w:pPr>
              <w:spacing w:line="240" w:lineRule="auto"/>
              <w:rPr>
                <w:rFonts w:hint="eastAsia" w:ascii="宋体" w:hAnsi="宋体" w:eastAsia="宋体" w:cs="宋体"/>
                <w:color w:val="auto"/>
                <w:sz w:val="21"/>
                <w:szCs w:val="21"/>
                <w:highlight w:val="none"/>
              </w:rPr>
            </w:pPr>
          </w:p>
        </w:tc>
      </w:tr>
      <w:tr w14:paraId="785EB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019EC9E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p>
        </w:tc>
        <w:tc>
          <w:tcPr>
            <w:tcW w:w="631" w:type="pct"/>
            <w:tcMar>
              <w:top w:w="0" w:type="dxa"/>
              <w:left w:w="105" w:type="dxa"/>
              <w:bottom w:w="0" w:type="dxa"/>
              <w:right w:w="105" w:type="dxa"/>
            </w:tcMar>
            <w:vAlign w:val="top"/>
          </w:tcPr>
          <w:p w14:paraId="7B18EA2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开展养老服务向导</w:t>
            </w:r>
          </w:p>
        </w:tc>
        <w:tc>
          <w:tcPr>
            <w:tcW w:w="3546" w:type="pct"/>
            <w:tcMar>
              <w:top w:w="0" w:type="dxa"/>
              <w:left w:w="105" w:type="dxa"/>
              <w:bottom w:w="0" w:type="dxa"/>
              <w:right w:w="105" w:type="dxa"/>
            </w:tcMar>
            <w:vAlign w:val="top"/>
          </w:tcPr>
          <w:p w14:paraId="23AD1668">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1.设立养老服务向导点，协助有需要的老年人进行服务申请、查询或转介。养老服务向导员熟悉相关政策内容，能及时、准确回答群众咨询的问题。</w:t>
            </w:r>
          </w:p>
          <w:p w14:paraId="624955C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2.每年养老服务向导累计服务人次≥100，或服务人次大于(含本数)本街户籍老年人数的1%。每年根据上级下达任务适时调整。</w:t>
            </w:r>
          </w:p>
        </w:tc>
        <w:tc>
          <w:tcPr>
            <w:tcW w:w="375" w:type="pct"/>
            <w:vMerge w:val="continue"/>
          </w:tcPr>
          <w:p w14:paraId="3F07857D">
            <w:pPr>
              <w:spacing w:line="240" w:lineRule="auto"/>
              <w:rPr>
                <w:rFonts w:hint="eastAsia" w:ascii="宋体" w:hAnsi="宋体" w:eastAsia="宋体" w:cs="宋体"/>
                <w:color w:val="auto"/>
                <w:sz w:val="21"/>
                <w:szCs w:val="21"/>
                <w:highlight w:val="none"/>
              </w:rPr>
            </w:pPr>
          </w:p>
        </w:tc>
      </w:tr>
      <w:tr w14:paraId="1E475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13D18F7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631" w:type="pct"/>
            <w:tcMar>
              <w:top w:w="0" w:type="dxa"/>
              <w:left w:w="105" w:type="dxa"/>
              <w:bottom w:w="0" w:type="dxa"/>
              <w:right w:w="105" w:type="dxa"/>
            </w:tcMar>
            <w:vAlign w:val="top"/>
          </w:tcPr>
          <w:p w14:paraId="3145CC6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开展助餐配餐服务</w:t>
            </w:r>
          </w:p>
        </w:tc>
        <w:tc>
          <w:tcPr>
            <w:tcW w:w="3546" w:type="pct"/>
            <w:tcMar>
              <w:top w:w="0" w:type="dxa"/>
              <w:left w:w="105" w:type="dxa"/>
              <w:bottom w:w="0" w:type="dxa"/>
              <w:right w:w="105" w:type="dxa"/>
            </w:tcMar>
            <w:vAlign w:val="top"/>
          </w:tcPr>
          <w:p w14:paraId="46C17A8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w:t>
            </w:r>
            <w:r>
              <w:rPr>
                <w:rFonts w:hint="eastAsia" w:ascii="宋体" w:hAnsi="宋体" w:eastAsia="宋体" w:cs="宋体"/>
                <w:color w:val="auto"/>
                <w:sz w:val="21"/>
                <w:szCs w:val="21"/>
                <w:highlight w:val="none"/>
                <w:lang w:eastAsia="zh-CN"/>
              </w:rPr>
              <w:t>《广州市老年人助餐配餐服务管理办法的通知》</w:t>
            </w:r>
            <w:r>
              <w:rPr>
                <w:rFonts w:hint="eastAsia" w:ascii="宋体" w:hAnsi="宋体" w:eastAsia="宋体" w:cs="宋体"/>
                <w:color w:val="auto"/>
                <w:sz w:val="21"/>
                <w:szCs w:val="21"/>
                <w:highlight w:val="none"/>
              </w:rPr>
              <w:t>（穗民规字〔2024〕3号）及地方标准《</w:t>
            </w:r>
            <w:r>
              <w:rPr>
                <w:rFonts w:hint="eastAsia" w:ascii="宋体" w:hAnsi="宋体" w:eastAsia="宋体" w:cs="宋体"/>
                <w:color w:val="auto"/>
                <w:sz w:val="21"/>
                <w:szCs w:val="21"/>
                <w:highlight w:val="none"/>
                <w:lang w:eastAsia="zh-CN"/>
              </w:rPr>
              <w:t>居家社区养老 助餐配餐服务规范</w:t>
            </w:r>
            <w:r>
              <w:rPr>
                <w:rFonts w:hint="eastAsia" w:ascii="宋体" w:hAnsi="宋体" w:eastAsia="宋体" w:cs="宋体"/>
                <w:color w:val="auto"/>
                <w:sz w:val="21"/>
                <w:szCs w:val="21"/>
                <w:highlight w:val="none"/>
              </w:rPr>
              <w:t>》(DB 4401/T 214-2023)，规范开展服务。</w:t>
            </w:r>
          </w:p>
          <w:p w14:paraId="15E71E76">
            <w:pPr>
              <w:spacing w:line="24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服务人次≥12000，或服务人数大于(含本数)所在镇街户籍老年人口数的6%</w:t>
            </w:r>
            <w:r>
              <w:rPr>
                <w:rFonts w:hint="eastAsia" w:ascii="宋体" w:hAnsi="宋体" w:eastAsia="宋体" w:cs="宋体"/>
                <w:color w:val="auto"/>
                <w:sz w:val="21"/>
                <w:szCs w:val="21"/>
                <w:highlight w:val="none"/>
                <w:lang w:eastAsia="zh-CN"/>
              </w:rPr>
              <w:t>。</w:t>
            </w:r>
          </w:p>
        </w:tc>
        <w:tc>
          <w:tcPr>
            <w:tcW w:w="375" w:type="pct"/>
            <w:vMerge w:val="continue"/>
          </w:tcPr>
          <w:p w14:paraId="0BB5E535">
            <w:pPr>
              <w:spacing w:line="240" w:lineRule="auto"/>
              <w:rPr>
                <w:rFonts w:hint="eastAsia" w:ascii="宋体" w:hAnsi="宋体" w:eastAsia="宋体" w:cs="宋体"/>
                <w:color w:val="auto"/>
                <w:sz w:val="21"/>
                <w:szCs w:val="21"/>
                <w:highlight w:val="none"/>
              </w:rPr>
            </w:pPr>
          </w:p>
        </w:tc>
      </w:tr>
      <w:tr w14:paraId="50B59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1A10E0E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631" w:type="pct"/>
            <w:tcMar>
              <w:top w:w="0" w:type="dxa"/>
              <w:left w:w="105" w:type="dxa"/>
              <w:bottom w:w="0" w:type="dxa"/>
              <w:right w:w="105" w:type="dxa"/>
            </w:tcMar>
            <w:vAlign w:val="top"/>
          </w:tcPr>
          <w:p w14:paraId="0E086A09">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开展生活照料服务</w:t>
            </w:r>
          </w:p>
        </w:tc>
        <w:tc>
          <w:tcPr>
            <w:tcW w:w="3546" w:type="pct"/>
            <w:tcMar>
              <w:top w:w="0" w:type="dxa"/>
              <w:left w:w="105" w:type="dxa"/>
              <w:bottom w:w="0" w:type="dxa"/>
              <w:right w:w="105" w:type="dxa"/>
            </w:tcMar>
            <w:vAlign w:val="top"/>
          </w:tcPr>
          <w:p w14:paraId="483D5E3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1.服务项目多样化，实际开展的上门生活照料服务项目(包括助洁服务、洗涤服务、陪伴就医、陪同外出、上门做餐、代办服务、个人护理、协助进餐、助浴服务、日常提示等≥8项)</w:t>
            </w:r>
            <w:r>
              <w:rPr>
                <w:rFonts w:hint="eastAsia" w:ascii="宋体" w:hAnsi="宋体" w:eastAsia="宋体" w:cs="宋体"/>
                <w:color w:val="auto"/>
                <w:sz w:val="21"/>
                <w:szCs w:val="21"/>
                <w:highlight w:val="none"/>
                <w:lang w:eastAsia="zh-CN"/>
              </w:rPr>
              <w:t>。</w:t>
            </w:r>
          </w:p>
          <w:p w14:paraId="1207F892">
            <w:pPr>
              <w:spacing w:line="24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2.按照广州市地方标准</w:t>
            </w:r>
            <w:r>
              <w:rPr>
                <w:rFonts w:hint="eastAsia" w:ascii="宋体" w:hAnsi="宋体" w:eastAsia="宋体" w:cs="宋体"/>
                <w:color w:val="auto"/>
                <w:sz w:val="21"/>
                <w:szCs w:val="21"/>
                <w:highlight w:val="none"/>
                <w:lang w:eastAsia="zh-CN"/>
              </w:rPr>
              <w:t>《综合养老服务中心基本规范》</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DB4401/T248-2024</w:t>
            </w:r>
            <w:r>
              <w:rPr>
                <w:rFonts w:hint="eastAsia" w:ascii="宋体" w:hAnsi="宋体" w:eastAsia="宋体" w:cs="宋体"/>
                <w:color w:val="auto"/>
                <w:sz w:val="21"/>
                <w:szCs w:val="21"/>
                <w:highlight w:val="none"/>
              </w:rPr>
              <w:t>）开展服务</w:t>
            </w:r>
            <w:r>
              <w:rPr>
                <w:rFonts w:hint="eastAsia" w:ascii="宋体" w:hAnsi="宋体" w:eastAsia="宋体" w:cs="宋体"/>
                <w:color w:val="auto"/>
                <w:sz w:val="21"/>
                <w:szCs w:val="21"/>
                <w:highlight w:val="none"/>
                <w:lang w:eastAsia="zh-CN"/>
              </w:rPr>
              <w:t>。</w:t>
            </w:r>
          </w:p>
          <w:p w14:paraId="0DF21CE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为老平台服务记录详实，服务项目与服务佐证照片相对应。</w:t>
            </w:r>
          </w:p>
          <w:p w14:paraId="3585244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服务人次≥900，或服务人次大于(含本数)所在镇街户籍老年人数的9%。</w:t>
            </w:r>
          </w:p>
        </w:tc>
        <w:tc>
          <w:tcPr>
            <w:tcW w:w="375" w:type="pct"/>
            <w:vMerge w:val="continue"/>
          </w:tcPr>
          <w:p w14:paraId="34D4A25B">
            <w:pPr>
              <w:spacing w:line="240" w:lineRule="auto"/>
              <w:rPr>
                <w:rFonts w:hint="eastAsia" w:ascii="宋体" w:hAnsi="宋体" w:eastAsia="宋体" w:cs="宋体"/>
                <w:color w:val="auto"/>
                <w:sz w:val="21"/>
                <w:szCs w:val="21"/>
                <w:highlight w:val="none"/>
              </w:rPr>
            </w:pPr>
          </w:p>
        </w:tc>
      </w:tr>
      <w:tr w14:paraId="6EB8E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0147F59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631" w:type="pct"/>
            <w:tcMar>
              <w:top w:w="0" w:type="dxa"/>
              <w:left w:w="105" w:type="dxa"/>
              <w:bottom w:w="0" w:type="dxa"/>
              <w:right w:w="105" w:type="dxa"/>
            </w:tcMar>
            <w:vAlign w:val="top"/>
          </w:tcPr>
          <w:p w14:paraId="26FE970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开展定期巡访服务</w:t>
            </w:r>
          </w:p>
        </w:tc>
        <w:tc>
          <w:tcPr>
            <w:tcW w:w="3546" w:type="pct"/>
            <w:tcMar>
              <w:top w:w="0" w:type="dxa"/>
              <w:left w:w="105" w:type="dxa"/>
              <w:bottom w:w="0" w:type="dxa"/>
              <w:right w:w="105" w:type="dxa"/>
            </w:tcMar>
            <w:vAlign w:val="top"/>
          </w:tcPr>
          <w:p w14:paraId="244348A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1.安排专人管理巡访工作，根据巡访对象评估情况、风险等级和个人意愿合理确定巡访频次，制定巡访方案。 一般对象应至少每月巡访一次，重点帮扶对象适当缩短巡访时间间隔，提高巡访频次。</w:t>
            </w:r>
          </w:p>
          <w:p w14:paraId="7A9088E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2.采取电话(视频)问候、上门访问等方式开展巡访，记录巡访情况，巡访对象生日或遇到传统节日时应进行问候。</w:t>
            </w:r>
          </w:p>
          <w:p w14:paraId="4C16B56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3.安排专业人员定期检查巡访对象家庭的水、电、煤气等设施运行情况，排除安全隐患，并有相关记录。</w:t>
            </w:r>
          </w:p>
          <w:p w14:paraId="351743B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4.巡访方案执行率100%。</w:t>
            </w:r>
          </w:p>
          <w:p w14:paraId="654EE879">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5.服务人次≥1000,或服务人次大于(含本数)本街户籍老年人数的10%。</w:t>
            </w:r>
          </w:p>
        </w:tc>
        <w:tc>
          <w:tcPr>
            <w:tcW w:w="375" w:type="pct"/>
            <w:vMerge w:val="continue"/>
          </w:tcPr>
          <w:p w14:paraId="6D66D185">
            <w:pPr>
              <w:spacing w:line="240" w:lineRule="auto"/>
              <w:rPr>
                <w:rFonts w:hint="eastAsia" w:ascii="宋体" w:hAnsi="宋体" w:eastAsia="宋体" w:cs="宋体"/>
                <w:color w:val="auto"/>
                <w:sz w:val="21"/>
                <w:szCs w:val="21"/>
                <w:highlight w:val="none"/>
              </w:rPr>
            </w:pPr>
          </w:p>
        </w:tc>
      </w:tr>
      <w:tr w14:paraId="4C420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4C8353A8">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631" w:type="pct"/>
            <w:tcMar>
              <w:top w:w="0" w:type="dxa"/>
              <w:left w:w="105" w:type="dxa"/>
              <w:bottom w:w="0" w:type="dxa"/>
              <w:right w:w="105" w:type="dxa"/>
            </w:tcMar>
            <w:vAlign w:val="top"/>
          </w:tcPr>
          <w:p w14:paraId="2DFDBB6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开展辅助租赁服务</w:t>
            </w:r>
          </w:p>
        </w:tc>
        <w:tc>
          <w:tcPr>
            <w:tcW w:w="3546" w:type="pct"/>
            <w:tcMar>
              <w:top w:w="0" w:type="dxa"/>
              <w:left w:w="105" w:type="dxa"/>
              <w:bottom w:w="0" w:type="dxa"/>
              <w:right w:w="105" w:type="dxa"/>
            </w:tcMar>
            <w:vAlign w:val="top"/>
          </w:tcPr>
          <w:p w14:paraId="6C951A88">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提供电话预定、送货上门服务。</w:t>
            </w:r>
          </w:p>
          <w:p w14:paraId="080B8D3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租赁双方有租赁合同。用品租借后，工作人员应定期跟进服务对象的使用情况。</w:t>
            </w:r>
          </w:p>
          <w:p w14:paraId="696BACD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租赁期满的用品应统一回收、清洗、消毒。</w:t>
            </w:r>
          </w:p>
          <w:p w14:paraId="472B723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.每年服务累计人次≥10人次，或服务人次大于(含本数)本街户籍老年人数的0.1%。</w:t>
            </w:r>
          </w:p>
        </w:tc>
        <w:tc>
          <w:tcPr>
            <w:tcW w:w="375" w:type="pct"/>
            <w:vMerge w:val="continue"/>
          </w:tcPr>
          <w:p w14:paraId="59EBEA4E">
            <w:pPr>
              <w:spacing w:line="240" w:lineRule="auto"/>
              <w:rPr>
                <w:rFonts w:hint="eastAsia" w:ascii="宋体" w:hAnsi="宋体" w:eastAsia="宋体" w:cs="宋体"/>
                <w:color w:val="auto"/>
                <w:sz w:val="21"/>
                <w:szCs w:val="21"/>
                <w:highlight w:val="none"/>
              </w:rPr>
            </w:pPr>
          </w:p>
        </w:tc>
      </w:tr>
      <w:tr w14:paraId="557CA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62EFC94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w:t>
            </w:r>
          </w:p>
        </w:tc>
        <w:tc>
          <w:tcPr>
            <w:tcW w:w="631" w:type="pct"/>
            <w:tcMar>
              <w:top w:w="0" w:type="dxa"/>
              <w:left w:w="105" w:type="dxa"/>
              <w:bottom w:w="0" w:type="dxa"/>
              <w:right w:w="105" w:type="dxa"/>
            </w:tcMar>
            <w:vAlign w:val="top"/>
          </w:tcPr>
          <w:p w14:paraId="61DC3C3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开展家庭照护培训</w:t>
            </w:r>
          </w:p>
        </w:tc>
        <w:tc>
          <w:tcPr>
            <w:tcW w:w="3546" w:type="pct"/>
            <w:tcMar>
              <w:top w:w="0" w:type="dxa"/>
              <w:left w:w="105" w:type="dxa"/>
              <w:bottom w:w="0" w:type="dxa"/>
              <w:right w:w="105" w:type="dxa"/>
            </w:tcMar>
            <w:vAlign w:val="top"/>
          </w:tcPr>
          <w:p w14:paraId="6328C61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面向服务对象的家庭照护者进行培训需求调研，制定家庭照护培训计划，明确工作流程、培训对象、培训方式、培训内容等信息。</w:t>
            </w:r>
          </w:p>
          <w:p w14:paraId="1948402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培训内容包括但不限于照护知识与技能培训、心理健康咨询和健康管理以及其他有助于支持家庭承担养老功能的服务。</w:t>
            </w:r>
          </w:p>
          <w:p w14:paraId="0AA351E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服务人次≥30，或服务人次大于(含本数)所在镇街户籍老年人数的0.5%。</w:t>
            </w:r>
          </w:p>
        </w:tc>
        <w:tc>
          <w:tcPr>
            <w:tcW w:w="375" w:type="pct"/>
            <w:vMerge w:val="continue"/>
          </w:tcPr>
          <w:p w14:paraId="12550536">
            <w:pPr>
              <w:spacing w:line="240" w:lineRule="auto"/>
              <w:rPr>
                <w:rFonts w:hint="eastAsia" w:ascii="宋体" w:hAnsi="宋体" w:eastAsia="宋体" w:cs="宋体"/>
                <w:color w:val="auto"/>
                <w:sz w:val="21"/>
                <w:szCs w:val="21"/>
                <w:highlight w:val="none"/>
              </w:rPr>
            </w:pPr>
          </w:p>
        </w:tc>
      </w:tr>
      <w:tr w14:paraId="7E3BA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01E63F8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w:t>
            </w:r>
          </w:p>
        </w:tc>
        <w:tc>
          <w:tcPr>
            <w:tcW w:w="631" w:type="pct"/>
            <w:tcMar>
              <w:top w:w="0" w:type="dxa"/>
              <w:left w:w="105" w:type="dxa"/>
              <w:bottom w:w="0" w:type="dxa"/>
              <w:right w:w="105" w:type="dxa"/>
            </w:tcMar>
            <w:vAlign w:val="top"/>
          </w:tcPr>
          <w:p w14:paraId="57570E8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开展文体教育服务</w:t>
            </w:r>
          </w:p>
        </w:tc>
        <w:tc>
          <w:tcPr>
            <w:tcW w:w="3546" w:type="pct"/>
            <w:tcMar>
              <w:top w:w="0" w:type="dxa"/>
              <w:left w:w="105" w:type="dxa"/>
              <w:bottom w:w="0" w:type="dxa"/>
              <w:right w:w="105" w:type="dxa"/>
            </w:tcMar>
            <w:vAlign w:val="top"/>
          </w:tcPr>
          <w:p w14:paraId="052749E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文体教育区应公示教学安排、活动预告、老年人作品展示、荣誉墙、活动剪影等。</w:t>
            </w:r>
          </w:p>
          <w:p w14:paraId="3CD93AF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开展的文体康乐活动≥6项，如阅览、书法、绘画、音乐、棋牌、歌舞等。</w:t>
            </w:r>
          </w:p>
          <w:p w14:paraId="1027A72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逢传统节日能够安排相应的主题活动，每年≥2次。</w:t>
            </w:r>
          </w:p>
          <w:p w14:paraId="31CCE1C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有长期开展教育类活动(如老年大学、老年教育、老年培训、长者学堂等)，提升老年人能力。每年至少开展一次展示老年人学习成果的活动。</w:t>
            </w:r>
          </w:p>
          <w:p w14:paraId="5B1FC3C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服务人次≥3000，或服务人次大于(含本数)所在镇街户籍老年人数的30%。</w:t>
            </w:r>
          </w:p>
        </w:tc>
        <w:tc>
          <w:tcPr>
            <w:tcW w:w="375" w:type="pct"/>
            <w:vMerge w:val="continue"/>
          </w:tcPr>
          <w:p w14:paraId="0265F903">
            <w:pPr>
              <w:spacing w:line="240" w:lineRule="auto"/>
              <w:rPr>
                <w:rFonts w:hint="eastAsia" w:ascii="宋体" w:hAnsi="宋体" w:eastAsia="宋体" w:cs="宋体"/>
                <w:color w:val="auto"/>
                <w:sz w:val="21"/>
                <w:szCs w:val="21"/>
                <w:highlight w:val="none"/>
              </w:rPr>
            </w:pPr>
          </w:p>
        </w:tc>
      </w:tr>
      <w:tr w14:paraId="02906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08C299B8">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w:t>
            </w:r>
          </w:p>
        </w:tc>
        <w:tc>
          <w:tcPr>
            <w:tcW w:w="631" w:type="pct"/>
            <w:tcMar>
              <w:top w:w="0" w:type="dxa"/>
              <w:left w:w="105" w:type="dxa"/>
              <w:bottom w:w="0" w:type="dxa"/>
              <w:right w:w="105" w:type="dxa"/>
            </w:tcMar>
            <w:vAlign w:val="top"/>
          </w:tcPr>
          <w:p w14:paraId="33E8610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开展日间托管服务</w:t>
            </w:r>
          </w:p>
        </w:tc>
        <w:tc>
          <w:tcPr>
            <w:tcW w:w="3546" w:type="pct"/>
            <w:tcMar>
              <w:top w:w="0" w:type="dxa"/>
              <w:left w:w="105" w:type="dxa"/>
              <w:bottom w:w="0" w:type="dxa"/>
              <w:right w:w="105" w:type="dxa"/>
            </w:tcMar>
            <w:vAlign w:val="top"/>
          </w:tcPr>
          <w:p w14:paraId="47BBE2A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在服务场所醒目位置对服务内容、收费项目和标准、日托活动安排/作息安排等服务信息进行公示。</w:t>
            </w:r>
          </w:p>
          <w:p w14:paraId="71615C3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应建立日间托管服务应急处置机制，制定服务对象走失、跌倒、自伤/他伤、财产损失等相关风险预案，明确具体应对措施并执行。</w:t>
            </w:r>
          </w:p>
          <w:p w14:paraId="59AB5C8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运营机构应与服务对象及其家属、监护人（代理人）签订服务合同，明确各方的权利义务。服务合同应当明确日间托管服务内容、方式、收费标准、风险提示及其他约定内容。</w:t>
            </w:r>
          </w:p>
          <w:p w14:paraId="6C11319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服务对象一人一档，服务档案包括服务对象基本信息、服务协议、服务对象/家属知情同意书、服务记录、转介、结案记录等。</w:t>
            </w:r>
          </w:p>
          <w:p w14:paraId="69850844">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实际为失能（失智）老年人提供服务，并按地方标准</w:t>
            </w:r>
            <w:r>
              <w:rPr>
                <w:rFonts w:hint="eastAsia" w:ascii="宋体" w:hAnsi="宋体" w:eastAsia="宋体" w:cs="宋体"/>
                <w:color w:val="auto"/>
                <w:sz w:val="21"/>
                <w:szCs w:val="21"/>
                <w:highlight w:val="none"/>
                <w:lang w:eastAsia="zh-CN"/>
              </w:rPr>
              <w:t>《综合养老服务中心基本规范》</w:t>
            </w:r>
            <w:r>
              <w:rPr>
                <w:rFonts w:hint="eastAsia" w:ascii="宋体" w:hAnsi="宋体" w:eastAsia="宋体" w:cs="宋体"/>
                <w:color w:val="auto"/>
                <w:sz w:val="21"/>
                <w:szCs w:val="21"/>
                <w:highlight w:val="none"/>
              </w:rPr>
              <w:t>（DB4401/T 248—2024）8.2 执行。为每个失能（失智）老年人制定个性化照护服务方案并执行，针对个体差异及服务需求进行专项评估。每半年检视服务成效并更新服务档案。</w:t>
            </w:r>
          </w:p>
          <w:p w14:paraId="392E733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.服务人次≥</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00,或服务人次大于(含本数)本街户籍老年人数的</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w:t>
            </w:r>
          </w:p>
        </w:tc>
        <w:tc>
          <w:tcPr>
            <w:tcW w:w="375" w:type="pct"/>
            <w:vMerge w:val="continue"/>
          </w:tcPr>
          <w:p w14:paraId="70A07F26">
            <w:pPr>
              <w:spacing w:line="240" w:lineRule="auto"/>
              <w:rPr>
                <w:rFonts w:hint="eastAsia" w:ascii="宋体" w:hAnsi="宋体" w:eastAsia="宋体" w:cs="宋体"/>
                <w:color w:val="auto"/>
                <w:sz w:val="21"/>
                <w:szCs w:val="21"/>
                <w:highlight w:val="none"/>
              </w:rPr>
            </w:pPr>
          </w:p>
        </w:tc>
      </w:tr>
      <w:tr w14:paraId="093E7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59FE87B4">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w:t>
            </w:r>
          </w:p>
        </w:tc>
        <w:tc>
          <w:tcPr>
            <w:tcW w:w="631" w:type="pct"/>
            <w:tcMar>
              <w:top w:w="0" w:type="dxa"/>
              <w:left w:w="105" w:type="dxa"/>
              <w:bottom w:w="0" w:type="dxa"/>
              <w:right w:w="105" w:type="dxa"/>
            </w:tcMar>
            <w:vAlign w:val="top"/>
          </w:tcPr>
          <w:p w14:paraId="16CCF4B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开展临时托养（长期托养）服务</w:t>
            </w:r>
          </w:p>
        </w:tc>
        <w:tc>
          <w:tcPr>
            <w:tcW w:w="3546" w:type="pct"/>
            <w:tcMar>
              <w:top w:w="0" w:type="dxa"/>
              <w:left w:w="105" w:type="dxa"/>
              <w:bottom w:w="0" w:type="dxa"/>
              <w:right w:w="105" w:type="dxa"/>
            </w:tcMar>
            <w:vAlign w:val="top"/>
          </w:tcPr>
          <w:p w14:paraId="14876E8F">
            <w:pPr>
              <w:spacing w:line="24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1.按照国家标准《养老机构服务质量基本规范》(GB/T 35796-2017)、《养老机构服务安全基本规范》(GB38600-2019）开展服务。</w:t>
            </w:r>
          </w:p>
          <w:p w14:paraId="047A7E6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1.为本街有需要的老年人提供临时托养服务。服务人次≥</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w:t>
            </w:r>
          </w:p>
          <w:p w14:paraId="092C2349">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2.为本街有需要的老年人提供长期托养服务，长期托养床位入住率≥</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0%。</w:t>
            </w:r>
          </w:p>
        </w:tc>
        <w:tc>
          <w:tcPr>
            <w:tcW w:w="375" w:type="pct"/>
            <w:vMerge w:val="continue"/>
          </w:tcPr>
          <w:p w14:paraId="2A9F46EC">
            <w:pPr>
              <w:spacing w:line="240" w:lineRule="auto"/>
              <w:rPr>
                <w:rFonts w:hint="eastAsia" w:ascii="宋体" w:hAnsi="宋体" w:eastAsia="宋体" w:cs="宋体"/>
                <w:color w:val="auto"/>
                <w:sz w:val="21"/>
                <w:szCs w:val="21"/>
                <w:highlight w:val="none"/>
              </w:rPr>
            </w:pPr>
          </w:p>
        </w:tc>
      </w:tr>
      <w:tr w14:paraId="4DFF4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30BDF88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w:t>
            </w:r>
          </w:p>
        </w:tc>
        <w:tc>
          <w:tcPr>
            <w:tcW w:w="631" w:type="pct"/>
            <w:tcMar>
              <w:top w:w="0" w:type="dxa"/>
              <w:left w:w="105" w:type="dxa"/>
              <w:bottom w:w="0" w:type="dxa"/>
              <w:right w:w="105" w:type="dxa"/>
            </w:tcMar>
            <w:vAlign w:val="top"/>
          </w:tcPr>
          <w:p w14:paraId="2EE9CC4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开展医养康养/康复护理服务</w:t>
            </w:r>
          </w:p>
        </w:tc>
        <w:tc>
          <w:tcPr>
            <w:tcW w:w="3546" w:type="pct"/>
            <w:tcMar>
              <w:top w:w="0" w:type="dxa"/>
              <w:left w:w="105" w:type="dxa"/>
              <w:bottom w:w="0" w:type="dxa"/>
              <w:right w:w="105" w:type="dxa"/>
            </w:tcMar>
            <w:vAlign w:val="top"/>
          </w:tcPr>
          <w:p w14:paraId="561EE32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1.与医疗机构签订合作协议，提供医养康养服务：开展健康评估、生理指数监测、康复指导、保健咨询、营养改善指导等服务和开展康复咨询、器材锻炼、康复训练、康复理疗等服务。</w:t>
            </w:r>
          </w:p>
          <w:p w14:paraId="62F01AB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2.服务人次≥450，或服务人次大于(含本数)所在镇街户籍老年人数的4.5%。</w:t>
            </w:r>
          </w:p>
        </w:tc>
        <w:tc>
          <w:tcPr>
            <w:tcW w:w="375" w:type="pct"/>
            <w:vMerge w:val="continue"/>
          </w:tcPr>
          <w:p w14:paraId="21B0E445">
            <w:pPr>
              <w:spacing w:line="240" w:lineRule="auto"/>
              <w:rPr>
                <w:rFonts w:hint="eastAsia" w:ascii="宋体" w:hAnsi="宋体" w:eastAsia="宋体" w:cs="宋体"/>
                <w:color w:val="auto"/>
                <w:sz w:val="21"/>
                <w:szCs w:val="21"/>
                <w:highlight w:val="none"/>
              </w:rPr>
            </w:pPr>
          </w:p>
        </w:tc>
      </w:tr>
      <w:tr w14:paraId="0C13C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2F721FE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w:t>
            </w:r>
          </w:p>
        </w:tc>
        <w:tc>
          <w:tcPr>
            <w:tcW w:w="631" w:type="pct"/>
            <w:tcMar>
              <w:top w:w="0" w:type="dxa"/>
              <w:left w:w="105" w:type="dxa"/>
              <w:bottom w:w="0" w:type="dxa"/>
              <w:right w:w="105" w:type="dxa"/>
            </w:tcMar>
            <w:vAlign w:val="top"/>
          </w:tcPr>
          <w:p w14:paraId="783EC2D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开展居家适老化改造服务</w:t>
            </w:r>
          </w:p>
        </w:tc>
        <w:tc>
          <w:tcPr>
            <w:tcW w:w="3546" w:type="pct"/>
            <w:tcMar>
              <w:top w:w="0" w:type="dxa"/>
              <w:left w:w="105" w:type="dxa"/>
              <w:bottom w:w="0" w:type="dxa"/>
              <w:right w:w="105" w:type="dxa"/>
            </w:tcMar>
            <w:vAlign w:val="top"/>
          </w:tcPr>
          <w:p w14:paraId="2B418BD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w:t>
            </w:r>
            <w:r>
              <w:rPr>
                <w:rFonts w:hint="eastAsia" w:ascii="宋体" w:hAnsi="宋体" w:eastAsia="宋体" w:cs="宋体"/>
                <w:color w:val="auto"/>
                <w:sz w:val="21"/>
                <w:szCs w:val="21"/>
                <w:highlight w:val="none"/>
                <w:lang w:eastAsia="zh-CN"/>
              </w:rPr>
              <w:t>广州市民政局广州市财政局广州市残疾人联合会关于印发广州市老年人居家适老化改造工作实施方案的通知</w:t>
            </w:r>
            <w:r>
              <w:rPr>
                <w:rFonts w:hint="eastAsia" w:ascii="宋体" w:hAnsi="宋体" w:eastAsia="宋体" w:cs="宋体"/>
                <w:color w:val="auto"/>
                <w:sz w:val="21"/>
                <w:szCs w:val="21"/>
                <w:highlight w:val="none"/>
              </w:rPr>
              <w:t>》（穗民规字〔2025〕1号）要求执行。如有新政策按新政策执行。。</w:t>
            </w:r>
          </w:p>
          <w:p w14:paraId="4CBF7C04">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2.实际完成改造的户数：改造户数≥10。</w:t>
            </w:r>
          </w:p>
        </w:tc>
        <w:tc>
          <w:tcPr>
            <w:tcW w:w="375" w:type="pct"/>
            <w:vMerge w:val="continue"/>
          </w:tcPr>
          <w:p w14:paraId="4E8A2BC5">
            <w:pPr>
              <w:spacing w:line="240" w:lineRule="auto"/>
              <w:rPr>
                <w:rFonts w:hint="eastAsia" w:ascii="宋体" w:hAnsi="宋体" w:eastAsia="宋体" w:cs="宋体"/>
                <w:color w:val="auto"/>
                <w:sz w:val="21"/>
                <w:szCs w:val="21"/>
                <w:highlight w:val="none"/>
              </w:rPr>
            </w:pPr>
          </w:p>
        </w:tc>
      </w:tr>
      <w:tr w14:paraId="47BD6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49AB2DCE">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w:t>
            </w:r>
          </w:p>
        </w:tc>
        <w:tc>
          <w:tcPr>
            <w:tcW w:w="631" w:type="pct"/>
            <w:tcMar>
              <w:top w:w="0" w:type="dxa"/>
              <w:left w:w="105" w:type="dxa"/>
              <w:bottom w:w="0" w:type="dxa"/>
              <w:right w:w="105" w:type="dxa"/>
            </w:tcMar>
            <w:vAlign w:val="top"/>
          </w:tcPr>
          <w:p w14:paraId="215E688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开展家庭养老床位服务</w:t>
            </w:r>
          </w:p>
        </w:tc>
        <w:tc>
          <w:tcPr>
            <w:tcW w:w="3546" w:type="pct"/>
            <w:tcMar>
              <w:top w:w="0" w:type="dxa"/>
              <w:left w:w="105" w:type="dxa"/>
              <w:bottom w:w="0" w:type="dxa"/>
              <w:right w:w="105" w:type="dxa"/>
            </w:tcMar>
            <w:vAlign w:val="top"/>
          </w:tcPr>
          <w:p w14:paraId="15E88B2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按《</w:t>
            </w:r>
            <w:r>
              <w:rPr>
                <w:rFonts w:hint="eastAsia" w:ascii="宋体" w:hAnsi="宋体" w:eastAsia="宋体" w:cs="宋体"/>
                <w:color w:val="auto"/>
                <w:sz w:val="21"/>
                <w:szCs w:val="21"/>
                <w:highlight w:val="none"/>
                <w:lang w:eastAsia="zh-CN"/>
              </w:rPr>
              <w:t>广州市民政局广州市财政局关于全面开展家庭养老床位建设和服务工作的通知</w:t>
            </w:r>
            <w:r>
              <w:rPr>
                <w:rFonts w:hint="eastAsia" w:ascii="宋体" w:hAnsi="宋体" w:eastAsia="宋体" w:cs="宋体"/>
                <w:color w:val="auto"/>
                <w:sz w:val="21"/>
                <w:szCs w:val="21"/>
                <w:highlight w:val="none"/>
              </w:rPr>
              <w:t>》（穗民规字〔2024〕4号）要求执行。如有新政策按新政策执行。</w:t>
            </w:r>
          </w:p>
          <w:p w14:paraId="2DFE78FF">
            <w:pPr>
              <w:spacing w:line="24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2.评定周期内有至少6个月上门服务记录的床位数≥10。</w:t>
            </w:r>
          </w:p>
        </w:tc>
        <w:tc>
          <w:tcPr>
            <w:tcW w:w="375" w:type="pct"/>
            <w:vMerge w:val="continue"/>
          </w:tcPr>
          <w:p w14:paraId="1F4865F8">
            <w:pPr>
              <w:spacing w:line="240" w:lineRule="auto"/>
              <w:rPr>
                <w:rFonts w:hint="eastAsia" w:ascii="宋体" w:hAnsi="宋体" w:eastAsia="宋体" w:cs="宋体"/>
                <w:color w:val="auto"/>
                <w:sz w:val="21"/>
                <w:szCs w:val="21"/>
                <w:highlight w:val="none"/>
              </w:rPr>
            </w:pPr>
          </w:p>
        </w:tc>
      </w:tr>
      <w:tr w14:paraId="52925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43C294C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w:t>
            </w:r>
          </w:p>
        </w:tc>
        <w:tc>
          <w:tcPr>
            <w:tcW w:w="631" w:type="pct"/>
            <w:tcMar>
              <w:top w:w="0" w:type="dxa"/>
              <w:left w:w="105" w:type="dxa"/>
              <w:bottom w:w="0" w:type="dxa"/>
              <w:right w:w="105" w:type="dxa"/>
            </w:tcMar>
            <w:vAlign w:val="top"/>
          </w:tcPr>
          <w:p w14:paraId="42CAFA4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自费服务对象</w:t>
            </w:r>
          </w:p>
        </w:tc>
        <w:tc>
          <w:tcPr>
            <w:tcW w:w="3546" w:type="pct"/>
            <w:tcMar>
              <w:top w:w="0" w:type="dxa"/>
              <w:left w:w="105" w:type="dxa"/>
              <w:bottom w:w="0" w:type="dxa"/>
              <w:right w:w="105" w:type="dxa"/>
            </w:tcMar>
            <w:vAlign w:val="top"/>
          </w:tcPr>
          <w:p w14:paraId="3C421A48">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实际提供辅具租赁、居家适老化改造、家庭养老床位、日间托管、医养康养/康复护理等收费项目。服务人次≥500。</w:t>
            </w:r>
          </w:p>
        </w:tc>
        <w:tc>
          <w:tcPr>
            <w:tcW w:w="375" w:type="pct"/>
            <w:vMerge w:val="continue"/>
          </w:tcPr>
          <w:p w14:paraId="186C467F">
            <w:pPr>
              <w:spacing w:line="240" w:lineRule="auto"/>
              <w:rPr>
                <w:rFonts w:hint="eastAsia" w:ascii="宋体" w:hAnsi="宋体" w:eastAsia="宋体" w:cs="宋体"/>
                <w:color w:val="auto"/>
                <w:sz w:val="21"/>
                <w:szCs w:val="21"/>
                <w:highlight w:val="none"/>
              </w:rPr>
            </w:pPr>
          </w:p>
        </w:tc>
      </w:tr>
      <w:tr w14:paraId="357D5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108D941C">
            <w:pPr>
              <w:spacing w:line="24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19</w:t>
            </w:r>
          </w:p>
        </w:tc>
        <w:tc>
          <w:tcPr>
            <w:tcW w:w="631" w:type="pct"/>
            <w:tcMar>
              <w:top w:w="0" w:type="dxa"/>
              <w:left w:w="105" w:type="dxa"/>
              <w:bottom w:w="0" w:type="dxa"/>
              <w:right w:w="105" w:type="dxa"/>
            </w:tcMar>
            <w:vAlign w:val="top"/>
          </w:tcPr>
          <w:p w14:paraId="7DD5582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对下指导</w:t>
            </w:r>
          </w:p>
        </w:tc>
        <w:tc>
          <w:tcPr>
            <w:tcW w:w="3546" w:type="pct"/>
            <w:tcMar>
              <w:top w:w="0" w:type="dxa"/>
              <w:left w:w="105" w:type="dxa"/>
              <w:bottom w:w="0" w:type="dxa"/>
              <w:right w:w="105" w:type="dxa"/>
            </w:tcMar>
            <w:vAlign w:val="top"/>
          </w:tcPr>
          <w:p w14:paraId="2692C326">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对正常运营的社区（村）级服务设施进行业务指导，对存在问题的社区（村）级服务设施及时督促其进行整改</w:t>
            </w:r>
            <w:r>
              <w:rPr>
                <w:rFonts w:hint="eastAsia" w:ascii="宋体" w:hAnsi="宋体" w:eastAsia="宋体" w:cs="宋体"/>
                <w:color w:val="auto"/>
                <w:sz w:val="21"/>
                <w:szCs w:val="21"/>
                <w:highlight w:val="none"/>
                <w:lang w:eastAsia="zh-CN"/>
              </w:rPr>
              <w:t>。</w:t>
            </w:r>
          </w:p>
        </w:tc>
        <w:tc>
          <w:tcPr>
            <w:tcW w:w="375" w:type="pct"/>
            <w:vMerge w:val="continue"/>
          </w:tcPr>
          <w:p w14:paraId="220B7866">
            <w:pPr>
              <w:spacing w:line="240" w:lineRule="auto"/>
              <w:rPr>
                <w:rFonts w:hint="eastAsia" w:ascii="宋体" w:hAnsi="宋体" w:eastAsia="宋体" w:cs="宋体"/>
                <w:color w:val="auto"/>
                <w:sz w:val="21"/>
                <w:szCs w:val="21"/>
                <w:highlight w:val="none"/>
              </w:rPr>
            </w:pPr>
          </w:p>
        </w:tc>
      </w:tr>
      <w:tr w14:paraId="5EDA3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40D630B4">
            <w:pPr>
              <w:spacing w:line="24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w:t>
            </w:r>
          </w:p>
        </w:tc>
        <w:tc>
          <w:tcPr>
            <w:tcW w:w="631" w:type="pct"/>
            <w:tcMar>
              <w:top w:w="0" w:type="dxa"/>
              <w:left w:w="105" w:type="dxa"/>
              <w:bottom w:w="0" w:type="dxa"/>
              <w:right w:w="105" w:type="dxa"/>
            </w:tcMar>
            <w:vAlign w:val="top"/>
          </w:tcPr>
          <w:p w14:paraId="6D83AD9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统筹调配资源</w:t>
            </w:r>
          </w:p>
        </w:tc>
        <w:tc>
          <w:tcPr>
            <w:tcW w:w="3546" w:type="pct"/>
            <w:tcMar>
              <w:top w:w="0" w:type="dxa"/>
              <w:left w:w="105" w:type="dxa"/>
              <w:bottom w:w="0" w:type="dxa"/>
              <w:right w:w="105" w:type="dxa"/>
            </w:tcMar>
            <w:vAlign w:val="top"/>
          </w:tcPr>
          <w:p w14:paraId="0797B859">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与街镇和社区/村居建立定期沟通协调机制，共同制定服务/合作计划，并执行；与辖区企事业单位、群团组织等相互配合，实质性开展多种形式为老合作。</w:t>
            </w:r>
          </w:p>
        </w:tc>
        <w:tc>
          <w:tcPr>
            <w:tcW w:w="375" w:type="pct"/>
            <w:vMerge w:val="continue"/>
          </w:tcPr>
          <w:p w14:paraId="7B0611C3">
            <w:pPr>
              <w:spacing w:line="240" w:lineRule="auto"/>
              <w:rPr>
                <w:rFonts w:hint="eastAsia" w:ascii="宋体" w:hAnsi="宋体" w:eastAsia="宋体" w:cs="宋体"/>
                <w:color w:val="auto"/>
                <w:sz w:val="21"/>
                <w:szCs w:val="21"/>
                <w:highlight w:val="none"/>
              </w:rPr>
            </w:pPr>
          </w:p>
        </w:tc>
      </w:tr>
      <w:tr w14:paraId="10BDF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tcMar>
              <w:top w:w="0" w:type="dxa"/>
              <w:left w:w="105" w:type="dxa"/>
              <w:bottom w:w="0" w:type="dxa"/>
              <w:right w:w="105" w:type="dxa"/>
            </w:tcMar>
            <w:vAlign w:val="top"/>
          </w:tcPr>
          <w:p w14:paraId="1F27715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21</w:t>
            </w:r>
          </w:p>
        </w:tc>
        <w:tc>
          <w:tcPr>
            <w:tcW w:w="631" w:type="pct"/>
            <w:tcMar>
              <w:top w:w="0" w:type="dxa"/>
              <w:left w:w="105" w:type="dxa"/>
              <w:bottom w:w="0" w:type="dxa"/>
              <w:right w:w="105" w:type="dxa"/>
            </w:tcMar>
            <w:vAlign w:val="top"/>
          </w:tcPr>
          <w:p w14:paraId="6D8F78D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价格管理</w:t>
            </w:r>
          </w:p>
        </w:tc>
        <w:tc>
          <w:tcPr>
            <w:tcW w:w="3546" w:type="pct"/>
            <w:tcMar>
              <w:top w:w="0" w:type="dxa"/>
              <w:left w:w="105" w:type="dxa"/>
              <w:bottom w:w="0" w:type="dxa"/>
              <w:right w:w="105" w:type="dxa"/>
            </w:tcMar>
            <w:vAlign w:val="top"/>
          </w:tcPr>
          <w:p w14:paraId="43FDD50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在运营协议中与服务委托方约定实行普惠型收费和调整收费价格的程序，并严格按协议约定执行。</w:t>
            </w:r>
          </w:p>
        </w:tc>
        <w:tc>
          <w:tcPr>
            <w:tcW w:w="375" w:type="pct"/>
            <w:vMerge w:val="continue"/>
          </w:tcPr>
          <w:p w14:paraId="60680169">
            <w:pPr>
              <w:spacing w:line="240" w:lineRule="auto"/>
              <w:rPr>
                <w:rFonts w:hint="eastAsia" w:ascii="宋体" w:hAnsi="宋体" w:eastAsia="宋体" w:cs="宋体"/>
                <w:color w:val="auto"/>
                <w:sz w:val="21"/>
                <w:szCs w:val="21"/>
                <w:highlight w:val="none"/>
              </w:rPr>
            </w:pPr>
          </w:p>
        </w:tc>
      </w:tr>
      <w:tr w14:paraId="7E70C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6" w:hRule="atLeast"/>
        </w:trPr>
        <w:tc>
          <w:tcPr>
            <w:tcW w:w="445" w:type="pct"/>
            <w:tcMar>
              <w:top w:w="0" w:type="dxa"/>
              <w:left w:w="105" w:type="dxa"/>
              <w:bottom w:w="0" w:type="dxa"/>
              <w:right w:w="105" w:type="dxa"/>
            </w:tcMar>
            <w:vAlign w:val="top"/>
          </w:tcPr>
          <w:p w14:paraId="70BA53D1">
            <w:pPr>
              <w:spacing w:line="24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22</w:t>
            </w:r>
          </w:p>
        </w:tc>
        <w:tc>
          <w:tcPr>
            <w:tcW w:w="631" w:type="pct"/>
            <w:tcMar>
              <w:top w:w="0" w:type="dxa"/>
              <w:left w:w="105" w:type="dxa"/>
              <w:bottom w:w="0" w:type="dxa"/>
              <w:right w:w="105" w:type="dxa"/>
            </w:tcMar>
            <w:vAlign w:val="top"/>
          </w:tcPr>
          <w:p w14:paraId="02DF472B">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财务管理</w:t>
            </w:r>
          </w:p>
        </w:tc>
        <w:tc>
          <w:tcPr>
            <w:tcW w:w="3546" w:type="pct"/>
            <w:tcMar>
              <w:top w:w="0" w:type="dxa"/>
              <w:left w:w="105" w:type="dxa"/>
              <w:bottom w:w="0" w:type="dxa"/>
              <w:right w:w="105" w:type="dxa"/>
            </w:tcMar>
            <w:vAlign w:val="top"/>
          </w:tcPr>
          <w:p w14:paraId="38F7B389">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遵循会计制度的基本原则，按制度要求设置会计科目，编制全部会计报表。</w:t>
            </w:r>
          </w:p>
          <w:p w14:paraId="1DBD749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严格按照有关法律法规的规定使用票据。</w:t>
            </w:r>
          </w:p>
        </w:tc>
        <w:tc>
          <w:tcPr>
            <w:tcW w:w="375" w:type="pct"/>
          </w:tcPr>
          <w:p w14:paraId="3EE20257">
            <w:pPr>
              <w:spacing w:line="240" w:lineRule="auto"/>
              <w:rPr>
                <w:rFonts w:hint="eastAsia" w:ascii="宋体" w:hAnsi="宋体" w:eastAsia="宋体" w:cs="宋体"/>
                <w:color w:val="auto"/>
                <w:sz w:val="21"/>
                <w:szCs w:val="21"/>
                <w:highlight w:val="none"/>
              </w:rPr>
            </w:pPr>
          </w:p>
        </w:tc>
      </w:tr>
    </w:tbl>
    <w:p w14:paraId="6A774A1C">
      <w:pP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说明：</w:t>
      </w:r>
      <w:r>
        <w:rPr>
          <w:rFonts w:hint="eastAsia" w:ascii="宋体" w:hAnsi="宋体" w:eastAsia="宋体" w:cs="宋体"/>
          <w:color w:val="auto"/>
          <w:sz w:val="21"/>
          <w:szCs w:val="21"/>
          <w:highlight w:val="none"/>
          <w:lang w:val="en-US" w:eastAsia="zh-CN"/>
        </w:rPr>
        <w:t>1.采购人有权根据上级下达任务适时调整工作指标。</w:t>
      </w:r>
    </w:p>
    <w:p w14:paraId="6958F45C">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服务开展过程中，考虑客观情况确需调整相关安排计划的，需与采购人协商确定后实施。</w:t>
      </w:r>
    </w:p>
    <w:p w14:paraId="64BEA021">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 xml:space="preserve">表2 </w:t>
      </w:r>
      <w:r>
        <w:rPr>
          <w:rFonts w:hint="eastAsia" w:ascii="宋体" w:hAnsi="宋体" w:eastAsia="宋体" w:cs="宋体"/>
          <w:b/>
          <w:bCs/>
          <w:color w:val="auto"/>
          <w:sz w:val="21"/>
          <w:szCs w:val="21"/>
          <w:highlight w:val="none"/>
          <w:lang w:val="en-US" w:eastAsia="zh-CN"/>
        </w:rPr>
        <w:t>沙东</w:t>
      </w:r>
      <w:r>
        <w:rPr>
          <w:rFonts w:hint="eastAsia" w:ascii="宋体" w:hAnsi="宋体" w:eastAsia="宋体" w:cs="宋体"/>
          <w:b/>
          <w:bCs/>
          <w:color w:val="auto"/>
          <w:sz w:val="21"/>
          <w:szCs w:val="21"/>
          <w:highlight w:val="none"/>
        </w:rPr>
        <w:t>街社区颐康服务站工作指标表</w:t>
      </w:r>
    </w:p>
    <w:tbl>
      <w:tblPr>
        <w:tblStyle w:val="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
        <w:gridCol w:w="1322"/>
        <w:gridCol w:w="5479"/>
        <w:gridCol w:w="1073"/>
      </w:tblGrid>
      <w:tr w14:paraId="7DB94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6CA05B95">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序号</w:t>
            </w:r>
          </w:p>
        </w:tc>
        <w:tc>
          <w:tcPr>
            <w:tcW w:w="776" w:type="pct"/>
            <w:tcMar>
              <w:top w:w="0" w:type="dxa"/>
              <w:left w:w="105" w:type="dxa"/>
              <w:bottom w:w="0" w:type="dxa"/>
              <w:right w:w="105" w:type="dxa"/>
            </w:tcMar>
            <w:vAlign w:val="top"/>
          </w:tcPr>
          <w:p w14:paraId="0990A154">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服务事项</w:t>
            </w:r>
          </w:p>
        </w:tc>
        <w:tc>
          <w:tcPr>
            <w:tcW w:w="3216" w:type="pct"/>
            <w:tcMar>
              <w:top w:w="0" w:type="dxa"/>
              <w:left w:w="105" w:type="dxa"/>
              <w:bottom w:w="0" w:type="dxa"/>
              <w:right w:w="105" w:type="dxa"/>
            </w:tcMar>
            <w:vAlign w:val="top"/>
          </w:tcPr>
          <w:p w14:paraId="7669697E">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服务内容</w:t>
            </w:r>
          </w:p>
        </w:tc>
        <w:tc>
          <w:tcPr>
            <w:tcW w:w="630" w:type="pct"/>
            <w:tcMar>
              <w:top w:w="0" w:type="dxa"/>
              <w:left w:w="105" w:type="dxa"/>
              <w:bottom w:w="0" w:type="dxa"/>
              <w:right w:w="105" w:type="dxa"/>
            </w:tcMar>
            <w:vAlign w:val="top"/>
          </w:tcPr>
          <w:p w14:paraId="3417AB43">
            <w:pPr>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备注</w:t>
            </w:r>
          </w:p>
        </w:tc>
      </w:tr>
      <w:tr w14:paraId="05F0E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0ECDA1C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776" w:type="pct"/>
            <w:tcMar>
              <w:top w:w="0" w:type="dxa"/>
              <w:left w:w="105" w:type="dxa"/>
              <w:bottom w:w="0" w:type="dxa"/>
              <w:right w:w="105" w:type="dxa"/>
            </w:tcMar>
            <w:vAlign w:val="top"/>
          </w:tcPr>
          <w:p w14:paraId="4465791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人员队伍</w:t>
            </w:r>
          </w:p>
        </w:tc>
        <w:tc>
          <w:tcPr>
            <w:tcW w:w="3216" w:type="pct"/>
            <w:tcMar>
              <w:top w:w="0" w:type="dxa"/>
              <w:left w:w="105" w:type="dxa"/>
              <w:bottom w:w="0" w:type="dxa"/>
              <w:right w:w="105" w:type="dxa"/>
            </w:tcMar>
            <w:vAlign w:val="top"/>
          </w:tcPr>
          <w:p w14:paraId="7210109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工作人员每年在岗持续培训12学时以上，建立培训档案。</w:t>
            </w:r>
          </w:p>
        </w:tc>
        <w:tc>
          <w:tcPr>
            <w:tcW w:w="630" w:type="pct"/>
            <w:vMerge w:val="restart"/>
            <w:tcMar>
              <w:top w:w="0" w:type="dxa"/>
              <w:left w:w="105" w:type="dxa"/>
              <w:bottom w:w="0" w:type="dxa"/>
              <w:right w:w="105" w:type="dxa"/>
            </w:tcMar>
            <w:vAlign w:val="top"/>
          </w:tcPr>
          <w:p w14:paraId="39682948">
            <w:pPr>
              <w:spacing w:line="240" w:lineRule="auto"/>
              <w:rPr>
                <w:rFonts w:hint="eastAsia" w:ascii="宋体" w:hAnsi="宋体" w:eastAsia="宋体" w:cs="宋体"/>
                <w:color w:val="auto"/>
                <w:sz w:val="21"/>
                <w:szCs w:val="21"/>
                <w:highlight w:val="none"/>
              </w:rPr>
            </w:pPr>
          </w:p>
        </w:tc>
      </w:tr>
      <w:tr w14:paraId="74FC4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2FCD9D0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776" w:type="pct"/>
            <w:tcMar>
              <w:top w:w="0" w:type="dxa"/>
              <w:left w:w="105" w:type="dxa"/>
              <w:bottom w:w="0" w:type="dxa"/>
              <w:right w:w="105" w:type="dxa"/>
            </w:tcMar>
            <w:vAlign w:val="top"/>
          </w:tcPr>
          <w:p w14:paraId="26E9FE2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服务管理</w:t>
            </w:r>
          </w:p>
        </w:tc>
        <w:tc>
          <w:tcPr>
            <w:tcW w:w="3216" w:type="pct"/>
            <w:tcMar>
              <w:top w:w="0" w:type="dxa"/>
              <w:left w:w="105" w:type="dxa"/>
              <w:bottom w:w="0" w:type="dxa"/>
              <w:right w:w="105" w:type="dxa"/>
            </w:tcMar>
            <w:vAlign w:val="top"/>
          </w:tcPr>
          <w:p w14:paraId="543FDD5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签约对象一人一档且建档率100%，非签约服务对象建立花名册，至少每半年检视一次档案内容，按需更新。</w:t>
            </w:r>
          </w:p>
        </w:tc>
        <w:tc>
          <w:tcPr>
            <w:tcW w:w="630" w:type="pct"/>
            <w:vMerge w:val="continue"/>
          </w:tcPr>
          <w:p w14:paraId="4B8F72BF">
            <w:pPr>
              <w:spacing w:line="240" w:lineRule="auto"/>
              <w:rPr>
                <w:rFonts w:hint="eastAsia" w:ascii="宋体" w:hAnsi="宋体" w:eastAsia="宋体" w:cs="宋体"/>
                <w:color w:val="auto"/>
                <w:sz w:val="21"/>
                <w:szCs w:val="21"/>
                <w:highlight w:val="none"/>
              </w:rPr>
            </w:pPr>
          </w:p>
        </w:tc>
      </w:tr>
      <w:tr w14:paraId="755EB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0038457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776" w:type="pct"/>
            <w:tcMar>
              <w:top w:w="0" w:type="dxa"/>
              <w:left w:w="105" w:type="dxa"/>
              <w:bottom w:w="0" w:type="dxa"/>
              <w:right w:w="105" w:type="dxa"/>
            </w:tcMar>
            <w:vAlign w:val="top"/>
          </w:tcPr>
          <w:p w14:paraId="4C098CEE">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安全管理</w:t>
            </w:r>
          </w:p>
        </w:tc>
        <w:tc>
          <w:tcPr>
            <w:tcW w:w="3216" w:type="pct"/>
            <w:tcMar>
              <w:top w:w="0" w:type="dxa"/>
              <w:left w:w="105" w:type="dxa"/>
              <w:bottom w:w="0" w:type="dxa"/>
              <w:right w:w="105" w:type="dxa"/>
            </w:tcMar>
            <w:vAlign w:val="top"/>
          </w:tcPr>
          <w:p w14:paraId="4ABCA9C7">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1.制定完善的消防安全管理制度，包括教育培训、防火检查、电气设备安全检查、安全疏散设备检查、灭火设备安全检查、隐患整改、应急预案等内容。</w:t>
            </w:r>
          </w:p>
          <w:p w14:paraId="068C343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2.制定完善的老年人服务防护制度，包括噎食、压疮、坠床、烫伤、跌倒、走失、他伤和自伤、食品药品误食、文娱活动意外突发事件等应急预案。</w:t>
            </w:r>
          </w:p>
          <w:p w14:paraId="2B59092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3.至少每周对全部场室进行一次消毒，公用物品应在使用后进行清洗、消毒，有记录。</w:t>
            </w:r>
          </w:p>
        </w:tc>
        <w:tc>
          <w:tcPr>
            <w:tcW w:w="630" w:type="pct"/>
            <w:vMerge w:val="continue"/>
          </w:tcPr>
          <w:p w14:paraId="0E8A3F8C">
            <w:pPr>
              <w:spacing w:line="240" w:lineRule="auto"/>
              <w:rPr>
                <w:rFonts w:hint="eastAsia" w:ascii="宋体" w:hAnsi="宋体" w:eastAsia="宋体" w:cs="宋体"/>
                <w:color w:val="auto"/>
                <w:sz w:val="21"/>
                <w:szCs w:val="21"/>
                <w:highlight w:val="none"/>
              </w:rPr>
            </w:pPr>
          </w:p>
        </w:tc>
      </w:tr>
      <w:tr w14:paraId="17A7F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19DDA699">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776" w:type="pct"/>
            <w:tcMar>
              <w:top w:w="0" w:type="dxa"/>
              <w:left w:w="105" w:type="dxa"/>
              <w:bottom w:w="0" w:type="dxa"/>
              <w:right w:w="105" w:type="dxa"/>
            </w:tcMar>
            <w:vAlign w:val="top"/>
          </w:tcPr>
          <w:p w14:paraId="753E2F2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宣传推介</w:t>
            </w:r>
          </w:p>
        </w:tc>
        <w:tc>
          <w:tcPr>
            <w:tcW w:w="3216" w:type="pct"/>
            <w:tcMar>
              <w:top w:w="0" w:type="dxa"/>
              <w:left w:w="105" w:type="dxa"/>
              <w:bottom w:w="0" w:type="dxa"/>
              <w:right w:w="105" w:type="dxa"/>
            </w:tcMar>
            <w:vAlign w:val="top"/>
          </w:tcPr>
          <w:p w14:paraId="740F3FF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1.每年组织开展线下居家社区养老服务推介活动，宣传</w:t>
            </w:r>
            <w:r>
              <w:rPr>
                <w:rFonts w:hint="eastAsia" w:ascii="宋体" w:hAnsi="宋体" w:eastAsia="宋体" w:cs="宋体"/>
                <w:color w:val="auto"/>
                <w:sz w:val="21"/>
                <w:szCs w:val="21"/>
                <w:highlight w:val="none"/>
                <w:lang w:val="en-US" w:eastAsia="zh-CN"/>
              </w:rPr>
              <w:t>广州</w:t>
            </w:r>
            <w:r>
              <w:rPr>
                <w:rFonts w:hint="eastAsia" w:ascii="宋体" w:hAnsi="宋体" w:eastAsia="宋体" w:cs="宋体"/>
                <w:color w:val="auto"/>
                <w:sz w:val="21"/>
                <w:szCs w:val="21"/>
                <w:highlight w:val="none"/>
              </w:rPr>
              <w:t>市居家社区养老服务政策：推介活动≥3次。</w:t>
            </w:r>
          </w:p>
          <w:p w14:paraId="180F11F4">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2.在百度地图、腾讯地图和高德地图等地图软件上完善服务设施信息。</w:t>
            </w:r>
          </w:p>
        </w:tc>
        <w:tc>
          <w:tcPr>
            <w:tcW w:w="630" w:type="pct"/>
            <w:vMerge w:val="continue"/>
          </w:tcPr>
          <w:p w14:paraId="05D4B863">
            <w:pPr>
              <w:spacing w:line="240" w:lineRule="auto"/>
              <w:rPr>
                <w:rFonts w:hint="eastAsia" w:ascii="宋体" w:hAnsi="宋体" w:eastAsia="宋体" w:cs="宋体"/>
                <w:color w:val="auto"/>
                <w:sz w:val="21"/>
                <w:szCs w:val="21"/>
                <w:highlight w:val="none"/>
              </w:rPr>
            </w:pPr>
          </w:p>
        </w:tc>
      </w:tr>
      <w:tr w14:paraId="6B455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46B2A7F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776" w:type="pct"/>
            <w:tcMar>
              <w:top w:w="0" w:type="dxa"/>
              <w:left w:w="105" w:type="dxa"/>
              <w:bottom w:w="0" w:type="dxa"/>
              <w:right w:w="105" w:type="dxa"/>
            </w:tcMar>
            <w:vAlign w:val="top"/>
          </w:tcPr>
          <w:p w14:paraId="3E1F6F59">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养老服务向导</w:t>
            </w:r>
          </w:p>
        </w:tc>
        <w:tc>
          <w:tcPr>
            <w:tcW w:w="3216" w:type="pct"/>
            <w:tcMar>
              <w:top w:w="0" w:type="dxa"/>
              <w:left w:w="105" w:type="dxa"/>
              <w:bottom w:w="0" w:type="dxa"/>
              <w:right w:w="105" w:type="dxa"/>
            </w:tcMar>
            <w:vAlign w:val="top"/>
          </w:tcPr>
          <w:p w14:paraId="4BE5953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1.协助有需要的老人进行服务申请、查询或转介。</w:t>
            </w:r>
          </w:p>
          <w:p w14:paraId="7BCB5A7C">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2.服务人次≥</w:t>
            </w:r>
            <w:r>
              <w:rPr>
                <w:rFonts w:hint="eastAsia" w:ascii="宋体" w:hAnsi="宋体" w:eastAsia="宋体" w:cs="宋体"/>
                <w:color w:val="auto"/>
                <w:sz w:val="21"/>
                <w:szCs w:val="21"/>
                <w:highlight w:val="none"/>
                <w:lang w:val="en-US" w:eastAsia="zh-CN"/>
              </w:rPr>
              <w:t>50</w:t>
            </w:r>
            <w:r>
              <w:rPr>
                <w:rFonts w:hint="eastAsia" w:ascii="宋体" w:hAnsi="宋体" w:eastAsia="宋体" w:cs="宋体"/>
                <w:color w:val="auto"/>
                <w:sz w:val="21"/>
                <w:szCs w:val="21"/>
                <w:highlight w:val="none"/>
              </w:rPr>
              <w:t>，或服务人次大于(含本数)所在镇街户籍老年人数的0.5%。</w:t>
            </w:r>
          </w:p>
        </w:tc>
        <w:tc>
          <w:tcPr>
            <w:tcW w:w="630" w:type="pct"/>
            <w:vMerge w:val="continue"/>
          </w:tcPr>
          <w:p w14:paraId="0CFF2CD8">
            <w:pPr>
              <w:spacing w:line="240" w:lineRule="auto"/>
              <w:rPr>
                <w:rFonts w:hint="eastAsia" w:ascii="宋体" w:hAnsi="宋体" w:eastAsia="宋体" w:cs="宋体"/>
                <w:color w:val="auto"/>
                <w:sz w:val="21"/>
                <w:szCs w:val="21"/>
                <w:highlight w:val="none"/>
              </w:rPr>
            </w:pPr>
          </w:p>
        </w:tc>
      </w:tr>
      <w:tr w14:paraId="05A84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5C883534">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p>
        </w:tc>
        <w:tc>
          <w:tcPr>
            <w:tcW w:w="776" w:type="pct"/>
            <w:tcMar>
              <w:top w:w="0" w:type="dxa"/>
              <w:left w:w="105" w:type="dxa"/>
              <w:bottom w:w="0" w:type="dxa"/>
              <w:right w:w="105" w:type="dxa"/>
            </w:tcMar>
            <w:vAlign w:val="top"/>
          </w:tcPr>
          <w:p w14:paraId="200F60B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助餐配餐服务</w:t>
            </w:r>
          </w:p>
        </w:tc>
        <w:tc>
          <w:tcPr>
            <w:tcW w:w="3216" w:type="pct"/>
            <w:tcMar>
              <w:top w:w="0" w:type="dxa"/>
              <w:left w:w="105" w:type="dxa"/>
              <w:bottom w:w="0" w:type="dxa"/>
              <w:right w:w="105" w:type="dxa"/>
            </w:tcMar>
            <w:vAlign w:val="top"/>
          </w:tcPr>
          <w:p w14:paraId="662E1BD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1.按照</w:t>
            </w:r>
            <w:r>
              <w:rPr>
                <w:rFonts w:hint="eastAsia" w:ascii="宋体" w:hAnsi="宋体" w:eastAsia="宋体" w:cs="宋体"/>
                <w:color w:val="auto"/>
                <w:sz w:val="21"/>
                <w:szCs w:val="21"/>
                <w:highlight w:val="none"/>
                <w:lang w:val="en-US" w:eastAsia="zh-CN"/>
              </w:rPr>
              <w:t>广州</w:t>
            </w:r>
            <w:r>
              <w:rPr>
                <w:rFonts w:hint="eastAsia" w:ascii="宋体" w:hAnsi="宋体" w:eastAsia="宋体" w:cs="宋体"/>
                <w:color w:val="auto"/>
                <w:sz w:val="21"/>
                <w:szCs w:val="21"/>
                <w:highlight w:val="none"/>
              </w:rPr>
              <w:t>市助餐配餐服务政策规定及地方标准《</w:t>
            </w:r>
            <w:r>
              <w:rPr>
                <w:rFonts w:hint="eastAsia" w:ascii="宋体" w:hAnsi="宋体" w:eastAsia="宋体" w:cs="宋体"/>
                <w:color w:val="auto"/>
                <w:sz w:val="21"/>
                <w:szCs w:val="21"/>
                <w:highlight w:val="none"/>
                <w:lang w:eastAsia="zh-CN"/>
              </w:rPr>
              <w:t>居家社区养老 助餐配餐服务规范</w:t>
            </w:r>
            <w:r>
              <w:rPr>
                <w:rFonts w:hint="eastAsia" w:ascii="宋体" w:hAnsi="宋体" w:eastAsia="宋体" w:cs="宋体"/>
                <w:color w:val="auto"/>
                <w:sz w:val="21"/>
                <w:szCs w:val="21"/>
                <w:highlight w:val="none"/>
              </w:rPr>
              <w:t>》(DB 4401/T 214-2023)，规范开展服务。</w:t>
            </w:r>
          </w:p>
          <w:p w14:paraId="751F8E0D">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2.按照市区最新文件要求调整相关指标，以为老平台数据记录统计，可与颐康中心共同完成。</w:t>
            </w:r>
          </w:p>
        </w:tc>
        <w:tc>
          <w:tcPr>
            <w:tcW w:w="630" w:type="pct"/>
            <w:vMerge w:val="continue"/>
          </w:tcPr>
          <w:p w14:paraId="3516EB13">
            <w:pPr>
              <w:spacing w:line="240" w:lineRule="auto"/>
              <w:rPr>
                <w:rFonts w:hint="eastAsia" w:ascii="宋体" w:hAnsi="宋体" w:eastAsia="宋体" w:cs="宋体"/>
                <w:color w:val="auto"/>
                <w:sz w:val="21"/>
                <w:szCs w:val="21"/>
                <w:highlight w:val="none"/>
              </w:rPr>
            </w:pPr>
          </w:p>
        </w:tc>
      </w:tr>
      <w:tr w14:paraId="03EC8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2074C26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776" w:type="pct"/>
            <w:tcMar>
              <w:top w:w="0" w:type="dxa"/>
              <w:left w:w="105" w:type="dxa"/>
              <w:bottom w:w="0" w:type="dxa"/>
              <w:right w:w="105" w:type="dxa"/>
            </w:tcMar>
            <w:vAlign w:val="top"/>
          </w:tcPr>
          <w:p w14:paraId="481C881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生活照料服务</w:t>
            </w:r>
          </w:p>
        </w:tc>
        <w:tc>
          <w:tcPr>
            <w:tcW w:w="3216" w:type="pct"/>
            <w:tcMar>
              <w:top w:w="0" w:type="dxa"/>
              <w:left w:w="105" w:type="dxa"/>
              <w:bottom w:w="0" w:type="dxa"/>
              <w:right w:w="105" w:type="dxa"/>
            </w:tcMar>
            <w:vAlign w:val="top"/>
          </w:tcPr>
          <w:p w14:paraId="6396A2F5">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1.按照广州市地方标准</w:t>
            </w:r>
            <w:r>
              <w:rPr>
                <w:rFonts w:hint="eastAsia" w:ascii="宋体" w:hAnsi="宋体" w:eastAsia="宋体" w:cs="宋体"/>
                <w:color w:val="auto"/>
                <w:sz w:val="21"/>
                <w:szCs w:val="21"/>
                <w:highlight w:val="none"/>
                <w:lang w:eastAsia="zh-CN"/>
              </w:rPr>
              <w:t>《社区居家养老服务规范》</w:t>
            </w:r>
            <w:r>
              <w:rPr>
                <w:rFonts w:hint="eastAsia" w:ascii="宋体" w:hAnsi="宋体" w:eastAsia="宋体" w:cs="宋体"/>
                <w:color w:val="auto"/>
                <w:sz w:val="21"/>
                <w:szCs w:val="21"/>
                <w:highlight w:val="none"/>
              </w:rPr>
              <w:t>(DB4401/T 82-2020)开展服务。</w:t>
            </w:r>
          </w:p>
          <w:p w14:paraId="51627901">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2.服务人次≥25，或服务人次大于(含本数)所在镇街户籍老年人数的0.25%。</w:t>
            </w:r>
          </w:p>
        </w:tc>
        <w:tc>
          <w:tcPr>
            <w:tcW w:w="630" w:type="pct"/>
            <w:vMerge w:val="continue"/>
          </w:tcPr>
          <w:p w14:paraId="0CA5BE34">
            <w:pPr>
              <w:spacing w:line="240" w:lineRule="auto"/>
              <w:rPr>
                <w:rFonts w:hint="eastAsia" w:ascii="宋体" w:hAnsi="宋体" w:eastAsia="宋体" w:cs="宋体"/>
                <w:color w:val="auto"/>
                <w:sz w:val="21"/>
                <w:szCs w:val="21"/>
                <w:highlight w:val="none"/>
              </w:rPr>
            </w:pPr>
          </w:p>
        </w:tc>
      </w:tr>
      <w:tr w14:paraId="7CD0E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3EE15220">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776" w:type="pct"/>
            <w:tcMar>
              <w:top w:w="0" w:type="dxa"/>
              <w:left w:w="105" w:type="dxa"/>
              <w:bottom w:w="0" w:type="dxa"/>
              <w:right w:w="105" w:type="dxa"/>
            </w:tcMar>
            <w:vAlign w:val="top"/>
          </w:tcPr>
          <w:p w14:paraId="0D2ACE7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文体教育</w:t>
            </w:r>
          </w:p>
        </w:tc>
        <w:tc>
          <w:tcPr>
            <w:tcW w:w="3216" w:type="pct"/>
            <w:tcMar>
              <w:top w:w="0" w:type="dxa"/>
              <w:left w:w="105" w:type="dxa"/>
              <w:bottom w:w="0" w:type="dxa"/>
              <w:right w:w="105" w:type="dxa"/>
            </w:tcMar>
            <w:vAlign w:val="top"/>
          </w:tcPr>
          <w:p w14:paraId="0AEE31F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1.开展的文体康乐活动≥6项，如阅览、书法、绘画、音乐、棋牌、歌舞等。</w:t>
            </w:r>
          </w:p>
          <w:p w14:paraId="5E69101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2.服务人次≥</w:t>
            </w:r>
            <w:r>
              <w:rPr>
                <w:rFonts w:hint="eastAsia" w:ascii="宋体" w:hAnsi="宋体" w:eastAsia="宋体" w:cs="宋体"/>
                <w:color w:val="auto"/>
                <w:sz w:val="21"/>
                <w:szCs w:val="21"/>
                <w:highlight w:val="none"/>
                <w:lang w:val="en-US" w:eastAsia="zh-CN"/>
              </w:rPr>
              <w:t>300</w:t>
            </w:r>
            <w:r>
              <w:rPr>
                <w:rFonts w:hint="eastAsia" w:ascii="宋体" w:hAnsi="宋体" w:eastAsia="宋体" w:cs="宋体"/>
                <w:color w:val="auto"/>
                <w:sz w:val="21"/>
                <w:szCs w:val="21"/>
                <w:highlight w:val="none"/>
              </w:rPr>
              <w:t>，或服务人次大于(含本数)所在镇街户籍老年人数的</w:t>
            </w:r>
            <w:r>
              <w:rPr>
                <w:rFonts w:hint="eastAsia" w:ascii="宋体" w:hAnsi="宋体" w:eastAsia="宋体" w:cs="宋体"/>
                <w:color w:val="auto"/>
                <w:sz w:val="21"/>
                <w:szCs w:val="21"/>
                <w:highlight w:val="none"/>
                <w:lang w:val="en-US" w:eastAsia="zh-CN"/>
              </w:rPr>
              <w:t>1.5</w:t>
            </w:r>
            <w:r>
              <w:rPr>
                <w:rFonts w:hint="eastAsia" w:ascii="宋体" w:hAnsi="宋体" w:eastAsia="宋体" w:cs="宋体"/>
                <w:color w:val="auto"/>
                <w:sz w:val="21"/>
                <w:szCs w:val="21"/>
                <w:highlight w:val="none"/>
              </w:rPr>
              <w:t>%。</w:t>
            </w:r>
          </w:p>
        </w:tc>
        <w:tc>
          <w:tcPr>
            <w:tcW w:w="630" w:type="pct"/>
            <w:vMerge w:val="continue"/>
          </w:tcPr>
          <w:p w14:paraId="0FB20B1B">
            <w:pPr>
              <w:spacing w:line="240" w:lineRule="auto"/>
              <w:rPr>
                <w:rFonts w:hint="eastAsia" w:ascii="宋体" w:hAnsi="宋体" w:eastAsia="宋体" w:cs="宋体"/>
                <w:color w:val="auto"/>
                <w:sz w:val="21"/>
                <w:szCs w:val="21"/>
                <w:highlight w:val="none"/>
              </w:rPr>
            </w:pPr>
          </w:p>
        </w:tc>
      </w:tr>
      <w:tr w14:paraId="10E30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5" w:type="pct"/>
            <w:tcMar>
              <w:top w:w="0" w:type="dxa"/>
              <w:left w:w="105" w:type="dxa"/>
              <w:bottom w:w="0" w:type="dxa"/>
              <w:right w:w="105" w:type="dxa"/>
            </w:tcMar>
            <w:vAlign w:val="top"/>
          </w:tcPr>
          <w:p w14:paraId="1FA57B23">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776" w:type="pct"/>
            <w:tcMar>
              <w:top w:w="0" w:type="dxa"/>
              <w:left w:w="105" w:type="dxa"/>
              <w:bottom w:w="0" w:type="dxa"/>
              <w:right w:w="105" w:type="dxa"/>
            </w:tcMar>
            <w:vAlign w:val="top"/>
          </w:tcPr>
          <w:p w14:paraId="341DBAEF">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日间</w:t>
            </w:r>
            <w:r>
              <w:rPr>
                <w:rFonts w:hint="eastAsia" w:ascii="宋体" w:hAnsi="宋体" w:eastAsia="宋体" w:cs="宋体"/>
                <w:color w:val="auto"/>
                <w:sz w:val="21"/>
                <w:szCs w:val="21"/>
                <w:highlight w:val="none"/>
                <w:lang w:val="en-US" w:eastAsia="zh-CN"/>
              </w:rPr>
              <w:t>照料</w:t>
            </w:r>
          </w:p>
        </w:tc>
        <w:tc>
          <w:tcPr>
            <w:tcW w:w="3216" w:type="pct"/>
            <w:tcMar>
              <w:top w:w="0" w:type="dxa"/>
              <w:left w:w="105" w:type="dxa"/>
              <w:bottom w:w="0" w:type="dxa"/>
              <w:right w:w="105" w:type="dxa"/>
            </w:tcMar>
            <w:vAlign w:val="top"/>
          </w:tcPr>
          <w:p w14:paraId="7B532BF2">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1.每日有相对固定的活动安排。</w:t>
            </w:r>
          </w:p>
          <w:p w14:paraId="3AC5513A">
            <w:pPr>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2.服务人次≥</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，或服务人次大于(含本数)所在镇街户籍老年人数的0.05%。</w:t>
            </w:r>
          </w:p>
        </w:tc>
        <w:tc>
          <w:tcPr>
            <w:tcW w:w="630" w:type="pct"/>
            <w:vMerge w:val="continue"/>
          </w:tcPr>
          <w:p w14:paraId="71F5B13E">
            <w:pPr>
              <w:spacing w:line="240" w:lineRule="auto"/>
              <w:rPr>
                <w:rFonts w:hint="eastAsia" w:ascii="宋体" w:hAnsi="宋体" w:eastAsia="宋体" w:cs="宋体"/>
                <w:color w:val="auto"/>
                <w:sz w:val="21"/>
                <w:szCs w:val="21"/>
                <w:highlight w:val="none"/>
              </w:rPr>
            </w:pPr>
          </w:p>
        </w:tc>
      </w:tr>
    </w:tbl>
    <w:p w14:paraId="1BF42B51">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三、服务机构和人员要求</w:t>
      </w:r>
    </w:p>
    <w:p w14:paraId="64712122">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（一）服务机构要求</w:t>
      </w:r>
    </w:p>
    <w:p w14:paraId="6CC9CD99">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1.服务机构统一纳入广州市为老平台供应商库，接受政府部门的监督管理，按照政府部门的要求开展服务。</w:t>
      </w:r>
    </w:p>
    <w:p w14:paraId="75A5D6C9">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照合同等约定履行提供服务的义务，认真组织实施项目，按时完成项目任务，保证服务数量、质量和效果，主动接受有关部门、服务对象及社会监督，严禁服务机构将服务项目交由其他服务供应机构实际承担的转包行为。</w:t>
      </w:r>
    </w:p>
    <w:p w14:paraId="383E508D">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3.严格按照合同等约定使用服务设施，严禁擅自改变服务设施功能和用途，主动接受政府部门管理和指导，认真落实消防、环保、卫生、安全管理等相关法律法规要求，购买场所责任保险。</w:t>
      </w:r>
    </w:p>
    <w:p w14:paraId="78C4AB76">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4.提供医疗服务的应获得医疗机构执业许可证，提供餐饮服务的应获得食品经营许可证或与具备相关医疗机构执业资质、餐饮服务资质的供应商达成合作协议。</w:t>
      </w:r>
    </w:p>
    <w:p w14:paraId="27E5F594">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5.能有效管理居家社区养老服务相关文件和档案，真实完整记录并及时更新服务对象信息，保护个人信息安全，与服务对象的服务协议签约率及建档率达100%。</w:t>
      </w:r>
    </w:p>
    <w:p w14:paraId="541972B0">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具有合理、详细的项目经费使用计划和预算明细，严格遵守相关财政财务规定，加强自身监督，确保政府购买服务项目资金规范管理和使用，并按要求及时向政府部门提供资金的使用情况、项目执行情况、成果总结等材料。</w:t>
      </w:r>
    </w:p>
    <w:p w14:paraId="649E79B5">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7.建立服务风险防范制度，为工作人员购买人身意外保险。</w:t>
      </w:r>
    </w:p>
    <w:p w14:paraId="23499597">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8.建立完善的规章制度和工作流程，包括财务、人事、运营、公共安全、卫生、资产、服务等方面的管理制度和应急措施。</w:t>
      </w:r>
    </w:p>
    <w:p w14:paraId="2178F254">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（二）人员要求</w:t>
      </w:r>
    </w:p>
    <w:p w14:paraId="1A018A2F">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1.人员数量</w:t>
      </w:r>
    </w:p>
    <w:p w14:paraId="324DE542">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rPr>
        <w:t>在服务期内保证投入的专业工作人员数量不能减少，保证达到</w:t>
      </w:r>
      <w:r>
        <w:rPr>
          <w:rFonts w:hint="eastAsia" w:ascii="宋体" w:hAnsi="宋体" w:eastAsia="宋体" w:cs="宋体"/>
          <w:color w:val="auto"/>
          <w:sz w:val="21"/>
          <w:szCs w:val="21"/>
          <w:highlight w:val="none"/>
          <w:lang w:val="en-US" w:eastAsia="zh-CN"/>
        </w:rPr>
        <w:t>响应</w:t>
      </w:r>
      <w:r>
        <w:rPr>
          <w:rFonts w:hint="eastAsia" w:ascii="宋体" w:hAnsi="宋体" w:eastAsia="宋体" w:cs="宋体"/>
          <w:color w:val="auto"/>
          <w:sz w:val="21"/>
          <w:szCs w:val="21"/>
          <w:highlight w:val="none"/>
        </w:rPr>
        <w:t>时承诺投入的人员水平标准。服务期中如有人事变动的，同一工作岗位人员空档时间累计不得超过2个月。</w:t>
      </w:r>
    </w:p>
    <w:p w14:paraId="274FA6C7">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(1)为综合养老服务中心(颐康中心)配备不少于</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lang w:eastAsia="zh-CN"/>
        </w:rPr>
        <w:t>名工作人员，其中全职人员不少于</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人，具体包括中心主任1名（</w:t>
      </w:r>
      <w:r>
        <w:rPr>
          <w:rFonts w:hint="eastAsia" w:ascii="宋体" w:hAnsi="宋体" w:eastAsia="宋体" w:cs="宋体"/>
          <w:color w:val="auto"/>
          <w:sz w:val="21"/>
          <w:szCs w:val="21"/>
          <w:highlight w:val="none"/>
          <w:lang w:val="en-US" w:eastAsia="zh-CN"/>
        </w:rPr>
        <w:t>中心主任具有初级（或以上）社会工作师或具有3年（含）及以上同类项目管理工作经验</w:t>
      </w:r>
      <w:r>
        <w:rPr>
          <w:rFonts w:hint="eastAsia" w:ascii="宋体" w:hAnsi="宋体" w:eastAsia="宋体" w:cs="宋体"/>
          <w:color w:val="auto"/>
          <w:sz w:val="21"/>
          <w:szCs w:val="21"/>
          <w:highlight w:val="none"/>
          <w:lang w:eastAsia="zh-CN"/>
        </w:rPr>
        <w:t>），助理或以上级别社会工作师，业务助理，根据实际需要配置</w:t>
      </w:r>
      <w:r>
        <w:rPr>
          <w:rFonts w:hint="eastAsia" w:ascii="宋体" w:hAnsi="宋体" w:eastAsia="宋体" w:cs="宋体"/>
          <w:color w:val="auto"/>
          <w:sz w:val="21"/>
          <w:szCs w:val="21"/>
          <w:highlight w:val="none"/>
          <w:lang w:val="en-US" w:eastAsia="zh-CN"/>
        </w:rPr>
        <w:t>专（兼）职</w:t>
      </w:r>
      <w:r>
        <w:rPr>
          <w:rFonts w:hint="eastAsia" w:ascii="宋体" w:hAnsi="宋体" w:eastAsia="宋体" w:cs="宋体"/>
          <w:color w:val="auto"/>
          <w:sz w:val="21"/>
          <w:szCs w:val="21"/>
          <w:highlight w:val="none"/>
          <w:lang w:eastAsia="zh-CN"/>
        </w:rPr>
        <w:t>执业医师、护士、康复治疗师、养老护理员</w:t>
      </w:r>
      <w:r>
        <w:rPr>
          <w:rFonts w:hint="eastAsia" w:ascii="宋体" w:hAnsi="宋体" w:eastAsia="宋体" w:cs="宋体"/>
          <w:color w:val="auto"/>
          <w:sz w:val="21"/>
          <w:szCs w:val="21"/>
          <w:highlight w:val="none"/>
        </w:rPr>
        <w:t>。</w:t>
      </w:r>
    </w:p>
    <w:p w14:paraId="6EC0C7A8">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(2)为统筹社区颐康服务站运营配备不少于1名</w:t>
      </w:r>
      <w:r>
        <w:rPr>
          <w:rFonts w:hint="eastAsia" w:ascii="宋体" w:hAnsi="宋体" w:eastAsia="宋体" w:cs="宋体"/>
          <w:color w:val="auto"/>
          <w:sz w:val="21"/>
          <w:szCs w:val="21"/>
          <w:highlight w:val="none"/>
          <w:lang w:val="en-US" w:eastAsia="zh-CN"/>
        </w:rPr>
        <w:t>颐康站</w:t>
      </w:r>
      <w:r>
        <w:rPr>
          <w:rFonts w:hint="eastAsia" w:ascii="宋体" w:hAnsi="宋体" w:eastAsia="宋体" w:cs="宋体"/>
          <w:color w:val="auto"/>
          <w:sz w:val="21"/>
          <w:szCs w:val="21"/>
          <w:highlight w:val="none"/>
        </w:rPr>
        <w:t>项目负责人，</w:t>
      </w:r>
      <w:r>
        <w:rPr>
          <w:rFonts w:hint="eastAsia" w:ascii="宋体" w:hAnsi="宋体" w:eastAsia="宋体" w:cs="宋体"/>
          <w:color w:val="auto"/>
          <w:sz w:val="21"/>
          <w:szCs w:val="21"/>
          <w:highlight w:val="none"/>
          <w:lang w:val="en-US" w:eastAsia="zh-CN"/>
        </w:rPr>
        <w:t>颐康站</w:t>
      </w:r>
      <w:r>
        <w:rPr>
          <w:rFonts w:hint="eastAsia" w:ascii="宋体" w:hAnsi="宋体" w:eastAsia="宋体" w:cs="宋体"/>
          <w:color w:val="auto"/>
          <w:sz w:val="21"/>
          <w:szCs w:val="21"/>
          <w:highlight w:val="none"/>
        </w:rPr>
        <w:t>项目负责人应当具备</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w:t>
      </w:r>
      <w:r>
        <w:rPr>
          <w:rFonts w:hint="eastAsia" w:ascii="宋体" w:hAnsi="宋体" w:eastAsia="宋体" w:cs="宋体"/>
          <w:color w:val="auto"/>
          <w:sz w:val="21"/>
          <w:szCs w:val="21"/>
          <w:highlight w:val="none"/>
          <w:lang w:val="en-US" w:eastAsia="zh-CN"/>
        </w:rPr>
        <w:t>与</w:t>
      </w:r>
      <w:r>
        <w:rPr>
          <w:rFonts w:hint="eastAsia" w:ascii="宋体" w:hAnsi="宋体" w:eastAsia="宋体" w:cs="宋体"/>
          <w:color w:val="auto"/>
          <w:sz w:val="21"/>
          <w:szCs w:val="21"/>
          <w:highlight w:val="none"/>
        </w:rPr>
        <w:t>本项目相关</w:t>
      </w:r>
      <w:r>
        <w:rPr>
          <w:rFonts w:hint="eastAsia" w:ascii="宋体" w:hAnsi="宋体" w:eastAsia="宋体" w:cs="宋体"/>
          <w:color w:val="auto"/>
          <w:sz w:val="21"/>
          <w:szCs w:val="21"/>
          <w:highlight w:val="none"/>
          <w:lang w:val="en-US" w:eastAsia="zh-CN"/>
        </w:rPr>
        <w:t>的工作经验，或具有</w:t>
      </w:r>
      <w:r>
        <w:rPr>
          <w:rFonts w:hint="eastAsia" w:ascii="宋体" w:hAnsi="宋体" w:eastAsia="宋体" w:cs="宋体"/>
          <w:color w:val="auto"/>
          <w:sz w:val="21"/>
          <w:szCs w:val="21"/>
          <w:highlight w:val="none"/>
        </w:rPr>
        <w:t>与本项目相关的</w:t>
      </w:r>
      <w:r>
        <w:rPr>
          <w:rFonts w:hint="eastAsia" w:ascii="宋体" w:hAnsi="宋体" w:eastAsia="宋体" w:cs="宋体"/>
          <w:color w:val="auto"/>
          <w:sz w:val="21"/>
          <w:szCs w:val="21"/>
          <w:highlight w:val="none"/>
          <w:lang w:val="en-US" w:eastAsia="zh-CN"/>
        </w:rPr>
        <w:t>职称证书</w:t>
      </w:r>
      <w:r>
        <w:rPr>
          <w:rFonts w:hint="eastAsia" w:ascii="宋体" w:hAnsi="宋体" w:eastAsia="宋体" w:cs="宋体"/>
          <w:color w:val="auto"/>
          <w:sz w:val="21"/>
          <w:szCs w:val="21"/>
          <w:highlight w:val="none"/>
        </w:rPr>
        <w:t>。为每个社区颐康服务站配备不少于1人的服务人员驻点开展服务。</w:t>
      </w:r>
    </w:p>
    <w:p w14:paraId="48498C30">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2.人员资质</w:t>
      </w:r>
    </w:p>
    <w:p w14:paraId="317B217C">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应当配备与服务和运营相适应且具备相应从业资格</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职称</w:t>
      </w:r>
      <w:r>
        <w:rPr>
          <w:rFonts w:hint="eastAsia" w:ascii="宋体" w:hAnsi="宋体" w:eastAsia="宋体" w:cs="宋体"/>
          <w:color w:val="auto"/>
          <w:sz w:val="21"/>
          <w:szCs w:val="21"/>
          <w:highlight w:val="none"/>
        </w:rPr>
        <w:t>的养老护理员、医师、护士、康复治疗师、社工等人员。其中：</w:t>
      </w:r>
    </w:p>
    <w:p w14:paraId="0ADAE332">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①提供医养康养、康复护理类服务的，应当配备执业医生、执业护士、康复治疗师等专业人员；</w:t>
      </w:r>
    </w:p>
    <w:p w14:paraId="19B48BD5">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②提供助餐配餐服务的，从事接触直接入口食品工作的食品生产经营人员100%持有有效健康证；</w:t>
      </w:r>
    </w:p>
    <w:p w14:paraId="7978B36D">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③养老服务向导应当经民政部门培训后上岗；</w:t>
      </w:r>
    </w:p>
    <w:p w14:paraId="3AB767CE">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④养老护理员持证率100%;</w:t>
      </w:r>
    </w:p>
    <w:p w14:paraId="63FC53A7">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⑤</w:t>
      </w:r>
      <w:r>
        <w:rPr>
          <w:rFonts w:hint="eastAsia" w:ascii="宋体" w:hAnsi="宋体" w:eastAsia="宋体" w:cs="宋体"/>
          <w:color w:val="auto"/>
          <w:sz w:val="21"/>
          <w:szCs w:val="21"/>
          <w:highlight w:val="none"/>
          <w:lang w:val="en-US" w:eastAsia="zh-CN"/>
        </w:rPr>
        <w:t>配备2名</w:t>
      </w:r>
      <w:r>
        <w:rPr>
          <w:rFonts w:hint="eastAsia" w:ascii="宋体" w:hAnsi="宋体" w:eastAsia="宋体" w:cs="宋体"/>
          <w:color w:val="auto"/>
          <w:sz w:val="21"/>
          <w:szCs w:val="21"/>
          <w:highlight w:val="none"/>
        </w:rPr>
        <w:t>具有财会专业教育背景或持有财会职业资格证书的财务人员管理财务。</w:t>
      </w:r>
    </w:p>
    <w:p w14:paraId="44654F30">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(2)新员工上岗前需接受不少于10学时的岗前培训并进行培训考核，服务人员每年在岗培训时间不少于12学时。</w:t>
      </w:r>
    </w:p>
    <w:p w14:paraId="7C737945">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人员应当严格遵守本机构规章制度以及相关法律法规、职业操守、职业道德等，尊重服务对象，运用专业知识 和技巧开展服务。</w:t>
      </w:r>
    </w:p>
    <w:p w14:paraId="226C94A6">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（三）服务要求</w:t>
      </w:r>
    </w:p>
    <w:p w14:paraId="74E4BDCB">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1.严格按照根据</w:t>
      </w:r>
      <w:r>
        <w:rPr>
          <w:rFonts w:hint="eastAsia" w:ascii="宋体" w:hAnsi="宋体" w:eastAsia="宋体" w:cs="宋体"/>
          <w:color w:val="auto"/>
          <w:sz w:val="21"/>
          <w:szCs w:val="21"/>
          <w:highlight w:val="none"/>
          <w:lang w:eastAsia="zh-CN"/>
        </w:rPr>
        <w:t>《广州市居家社区养老服务管理办法》</w:t>
      </w:r>
      <w:r>
        <w:rPr>
          <w:rFonts w:hint="eastAsia" w:ascii="宋体" w:hAnsi="宋体" w:eastAsia="宋体" w:cs="宋体"/>
          <w:color w:val="auto"/>
          <w:sz w:val="21"/>
          <w:szCs w:val="21"/>
          <w:highlight w:val="none"/>
        </w:rPr>
        <w:t>（穗府办规〔2022〕13号）、广州市地方标准</w:t>
      </w:r>
      <w:r>
        <w:rPr>
          <w:rFonts w:hint="eastAsia" w:ascii="宋体" w:hAnsi="宋体" w:eastAsia="宋体" w:cs="宋体"/>
          <w:color w:val="auto"/>
          <w:sz w:val="21"/>
          <w:szCs w:val="21"/>
          <w:highlight w:val="none"/>
          <w:lang w:eastAsia="zh-CN"/>
        </w:rPr>
        <w:t>《社区居家养老服务规范》</w:t>
      </w:r>
      <w:r>
        <w:rPr>
          <w:rFonts w:hint="eastAsia" w:ascii="宋体" w:hAnsi="宋体" w:eastAsia="宋体" w:cs="宋体"/>
          <w:color w:val="auto"/>
          <w:sz w:val="21"/>
          <w:szCs w:val="21"/>
          <w:highlight w:val="none"/>
        </w:rPr>
        <w:t>和《</w:t>
      </w:r>
      <w:r>
        <w:rPr>
          <w:rFonts w:hint="eastAsia" w:ascii="宋体" w:hAnsi="宋体" w:eastAsia="宋体" w:cs="宋体"/>
          <w:color w:val="auto"/>
          <w:sz w:val="21"/>
          <w:szCs w:val="21"/>
          <w:highlight w:val="none"/>
          <w:lang w:eastAsia="zh-CN"/>
        </w:rPr>
        <w:t>养老机构管理规范</w:t>
      </w:r>
      <w:r>
        <w:rPr>
          <w:rFonts w:hint="eastAsia" w:ascii="宋体" w:hAnsi="宋体" w:eastAsia="宋体" w:cs="宋体"/>
          <w:color w:val="auto"/>
          <w:sz w:val="21"/>
          <w:szCs w:val="21"/>
          <w:highlight w:val="none"/>
        </w:rPr>
        <w:t>》的要求开展服务。</w:t>
      </w:r>
    </w:p>
    <w:p w14:paraId="5010B2C6">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2.对辖区内老年人的服务覆盖率达到100%。</w:t>
      </w:r>
    </w:p>
    <w:p w14:paraId="33B1F504">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3.能够根据服务对象的实际需求制订详细具体的服务方案，并做好服务记录。</w:t>
      </w:r>
    </w:p>
    <w:p w14:paraId="58F6DC33">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4.服务项目完成率达到100%，服务对象满意率达到80%及以上。</w:t>
      </w:r>
    </w:p>
    <w:p w14:paraId="787FC5D0">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（四）服务收费</w:t>
      </w:r>
    </w:p>
    <w:p w14:paraId="71747AC5">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街道综合养老服务中心（颐康中心）提供普惠性养老服务，执行普惠性收费价格标准。全托服务每月最高收费（不含一对一护理和套房等特殊照护服务）不高于广州市城市居民上年度月人均可支配收入的1.3倍，按照协议进行价格管理。各项居家养老服务，参照《广州市社区居家养老服务项目清单与指导参考价》执行，市、区相关政策如有修订或出台新的相关政策文件，按照其规定执行。</w:t>
      </w:r>
    </w:p>
    <w:p w14:paraId="0EAE3402">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四、信息保护要求</w:t>
      </w:r>
    </w:p>
    <w:p w14:paraId="627AB320">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1.服务机构须对本项目涉及服务对象的个人相关信息进行保护，未经服务对象或其法定监护人书面许可，不得对外披露，不得以任何形式提供给第三方，不得在参与本项目工作之外使用这些受保护信息。</w:t>
      </w:r>
    </w:p>
    <w:p w14:paraId="527D86AA">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2.服务机构在本项目终止后不得保留以任何形式存储的服务对象的任何信息数据，不得利用该项目的信息数据为其他单位（包括自办单位）或项目服务。</w:t>
      </w:r>
    </w:p>
    <w:p w14:paraId="092A3757">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五、响应供应商其他要求</w:t>
      </w:r>
    </w:p>
    <w:p w14:paraId="41E43CD4">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 xml:space="preserve"> ★符合</w:t>
      </w:r>
      <w:r>
        <w:rPr>
          <w:rFonts w:hint="eastAsia" w:ascii="宋体" w:hAnsi="宋体" w:eastAsia="宋体" w:cs="宋体"/>
          <w:color w:val="auto"/>
          <w:sz w:val="21"/>
          <w:szCs w:val="21"/>
          <w:highlight w:val="none"/>
          <w:lang w:eastAsia="zh-CN"/>
        </w:rPr>
        <w:t>《广州市人民政府办公厅关于印发广州市居家社区养老服务管理办法的通知》（穗府办规〔2022〕13号）</w:t>
      </w:r>
      <w:r>
        <w:rPr>
          <w:rFonts w:hint="eastAsia" w:ascii="宋体" w:hAnsi="宋体" w:eastAsia="宋体" w:cs="宋体"/>
          <w:color w:val="auto"/>
          <w:sz w:val="21"/>
          <w:szCs w:val="21"/>
          <w:highlight w:val="none"/>
        </w:rPr>
        <w:t>的相关规定</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需</w:t>
      </w:r>
      <w:r>
        <w:rPr>
          <w:rFonts w:hint="eastAsia" w:ascii="宋体" w:hAnsi="宋体" w:eastAsia="宋体" w:cs="宋体"/>
          <w:b/>
          <w:bCs/>
          <w:color w:val="auto"/>
          <w:sz w:val="21"/>
          <w:szCs w:val="21"/>
          <w:highlight w:val="none"/>
          <w:lang w:eastAsia="zh-CN"/>
        </w:rPr>
        <w:t>提供承诺函，格式自拟）</w:t>
      </w:r>
      <w:r>
        <w:rPr>
          <w:rFonts w:hint="eastAsia" w:ascii="宋体" w:hAnsi="宋体" w:eastAsia="宋体" w:cs="宋体"/>
          <w:color w:val="auto"/>
          <w:sz w:val="21"/>
          <w:szCs w:val="21"/>
          <w:highlight w:val="none"/>
        </w:rPr>
        <w:t>。</w:t>
      </w:r>
    </w:p>
    <w:p w14:paraId="6A435C0B">
      <w:pPr>
        <w:spacing w:line="360" w:lineRule="auto"/>
        <w:rPr>
          <w:rFonts w:hint="default" w:ascii="宋体" w:hAnsi="宋体" w:eastAsia="宋体" w:cs="宋体"/>
          <w:b/>
          <w:bCs/>
          <w:color w:val="auto"/>
          <w:sz w:val="21"/>
          <w:szCs w:val="21"/>
          <w:highlight w:val="none"/>
          <w:lang w:val="en-US"/>
        </w:rPr>
      </w:pPr>
      <w:r>
        <w:rPr>
          <w:rFonts w:hint="eastAsia"/>
          <w:color w:val="auto"/>
          <w:lang w:val="en-US" w:eastAsia="zh-CN"/>
        </w:rPr>
        <w:t>2、</w:t>
      </w:r>
      <w:r>
        <w:rPr>
          <w:rFonts w:hint="eastAsia" w:ascii="宋体" w:hAnsi="宋体" w:eastAsia="宋体" w:cs="宋体"/>
          <w:b/>
          <w:bCs/>
          <w:color w:val="auto"/>
          <w:sz w:val="21"/>
          <w:szCs w:val="21"/>
          <w:highlight w:val="none"/>
          <w:lang w:val="en-US" w:eastAsia="zh-CN"/>
        </w:rPr>
        <w:t>服务方案要求</w:t>
      </w:r>
    </w:p>
    <w:p w14:paraId="51171890">
      <w:pPr>
        <w:numPr>
          <w:ilvl w:val="0"/>
          <w:numId w:val="0"/>
        </w:numPr>
        <w:spacing w:line="360" w:lineRule="auto"/>
        <w:rPr>
          <w:rFonts w:hint="eastAsia" w:ascii="宋体" w:hAnsi="宋体" w:eastAsia="宋体" w:cs="宋体"/>
          <w:color w:val="auto"/>
          <w:highlight w:val="none"/>
          <w:lang w:val="en-US" w:eastAsia="zh-CN"/>
        </w:rPr>
      </w:pPr>
      <w:r>
        <w:rPr>
          <w:rFonts w:hint="eastAsia" w:ascii="宋体" w:hAnsi="宋体" w:eastAsia="宋体" w:cs="宋体"/>
          <w:color w:val="auto"/>
          <w:kern w:val="2"/>
          <w:sz w:val="21"/>
          <w:szCs w:val="24"/>
          <w:highlight w:val="none"/>
          <w:lang w:val="en-US" w:eastAsia="zh-CN" w:bidi="ar-SA"/>
        </w:rPr>
        <w:t>（1）</w:t>
      </w:r>
      <w:r>
        <w:rPr>
          <w:rFonts w:hint="eastAsia" w:ascii="宋体" w:hAnsi="宋体" w:eastAsia="宋体" w:cs="宋体"/>
          <w:color w:val="auto"/>
          <w:sz w:val="21"/>
          <w:szCs w:val="21"/>
          <w:highlight w:val="none"/>
        </w:rPr>
        <w:t>特色</w:t>
      </w:r>
      <w:r>
        <w:rPr>
          <w:rFonts w:hint="eastAsia" w:ascii="宋体" w:hAnsi="宋体" w:eastAsia="宋体" w:cs="宋体"/>
          <w:color w:val="auto"/>
          <w:highlight w:val="none"/>
          <w:lang w:val="en-US" w:eastAsia="zh-CN"/>
        </w:rPr>
        <w:t>服务：</w:t>
      </w:r>
    </w:p>
    <w:p w14:paraId="12DAD4E4">
      <w:pPr>
        <w:numPr>
          <w:ilvl w:val="0"/>
          <w:numId w:val="0"/>
        </w:numPr>
        <w:spacing w:line="360" w:lineRule="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供应商应当针对本项目特点制定居家养老特色的增值服务，例如深度健康管理、生活品质提升、精神关爱服务、特色主体服务等。</w:t>
      </w:r>
    </w:p>
    <w:p w14:paraId="226BCAA4">
      <w:pPr>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rPr>
        <w:t>）项目经费预算保障：</w:t>
      </w:r>
    </w:p>
    <w:p w14:paraId="74851C9C">
      <w:pPr>
        <w:spacing w:line="360" w:lineRule="auto"/>
        <w:rPr>
          <w:rFonts w:hint="eastAsia" w:ascii="宋体" w:hAnsi="宋体" w:eastAsia="宋体" w:cs="宋体"/>
          <w:color w:val="auto"/>
          <w:highlight w:val="none"/>
        </w:rPr>
      </w:pP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应合理预估本项目经费预算科目，全面考虑了工作中各项可能性支出，预算明细应当合理且符合政府购买服务的相关规定。</w:t>
      </w:r>
    </w:p>
    <w:p w14:paraId="49B72AA3">
      <w:pPr>
        <w:numPr>
          <w:ilvl w:val="0"/>
          <w:numId w:val="0"/>
        </w:numPr>
        <w:spacing w:line="360" w:lineRule="auto"/>
        <w:rPr>
          <w:rFonts w:hint="eastAsia" w:ascii="宋体" w:hAnsi="宋体" w:eastAsia="宋体" w:cs="宋体"/>
          <w:color w:val="auto"/>
          <w:highlight w:val="none"/>
          <w:lang w:val="en-US" w:eastAsia="zh-CN"/>
        </w:rPr>
      </w:pPr>
      <w:r>
        <w:rPr>
          <w:rFonts w:hint="eastAsia" w:ascii="宋体" w:hAnsi="宋体" w:eastAsia="宋体" w:cs="宋体"/>
          <w:color w:val="auto"/>
          <w:kern w:val="2"/>
          <w:sz w:val="21"/>
          <w:szCs w:val="24"/>
          <w:highlight w:val="none"/>
          <w:lang w:val="en-US" w:eastAsia="zh-CN" w:bidi="ar-SA"/>
        </w:rPr>
        <w:t>（3）</w:t>
      </w:r>
      <w:r>
        <w:rPr>
          <w:rFonts w:hint="eastAsia" w:ascii="宋体" w:hAnsi="宋体" w:eastAsia="宋体" w:cs="宋体"/>
          <w:color w:val="auto"/>
          <w:highlight w:val="none"/>
        </w:rPr>
        <w:t>项目制度保障</w:t>
      </w:r>
    </w:p>
    <w:p w14:paraId="083C818B">
      <w:pPr>
        <w:spacing w:line="360" w:lineRule="auto"/>
        <w:rPr>
          <w:rFonts w:hint="eastAsia" w:ascii="宋体" w:hAnsi="宋体" w:eastAsia="宋体" w:cs="宋体"/>
          <w:color w:val="auto"/>
          <w:highlight w:val="none"/>
        </w:rPr>
      </w:pPr>
      <w:r>
        <w:rPr>
          <w:rFonts w:hint="eastAsia" w:ascii="宋体" w:hAnsi="宋体" w:eastAsia="宋体" w:cs="宋体"/>
          <w:color w:val="auto"/>
          <w:highlight w:val="none"/>
          <w:lang w:eastAsia="zh-CN"/>
        </w:rPr>
        <w:t>供应商</w:t>
      </w:r>
      <w:r>
        <w:rPr>
          <w:rFonts w:hint="eastAsia" w:ascii="宋体" w:hAnsi="宋体" w:eastAsia="宋体" w:cs="宋体"/>
          <w:color w:val="auto"/>
          <w:highlight w:val="none"/>
        </w:rPr>
        <w:t>应当具有标准化的管理体系建设，有完善的管理制度，包含但不限于人事、运营、公共安全、卫生、服务等方面的制度。财务制度健全，有规范的财务管理、财务审核、财务监督机制，有清晰的经费预算、费用报批、物资采购程序，财务记录详细。</w:t>
      </w:r>
    </w:p>
    <w:p w14:paraId="14DE93A9">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六、服务评估及验收考核</w:t>
      </w:r>
    </w:p>
    <w:p w14:paraId="21F51AC9">
      <w:pPr>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自双方合同签订之日起，</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rPr>
        <w:t>每运营满一年需向采购人提交自评报告，向区居家养老服务指导中心申请服务评估。对承接的服务项目评估定级不合格的，限期整改复查仍不合格的不予续签，由采购人终止其政府购买服务合同或服务委托协议</w:t>
      </w:r>
      <w:r>
        <w:rPr>
          <w:rFonts w:hint="eastAsia" w:ascii="宋体" w:hAnsi="宋体" w:eastAsia="宋体" w:cs="宋体"/>
          <w:color w:val="auto"/>
          <w:sz w:val="21"/>
          <w:szCs w:val="21"/>
          <w:highlight w:val="none"/>
          <w:lang w:val="en-US" w:eastAsia="zh-CN"/>
        </w:rPr>
        <w:t>，并</w:t>
      </w:r>
      <w:r>
        <w:rPr>
          <w:rFonts w:hint="eastAsia" w:ascii="宋体" w:hAnsi="宋体" w:eastAsia="宋体" w:cs="宋体"/>
          <w:color w:val="auto"/>
          <w:sz w:val="21"/>
          <w:szCs w:val="21"/>
          <w:highlight w:val="none"/>
          <w:lang w:eastAsia="zh-CN"/>
        </w:rPr>
        <w:t>按合同签订的条款扣除年度运营费用的</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%金额</w:t>
      </w:r>
      <w:r>
        <w:rPr>
          <w:rFonts w:hint="eastAsia" w:ascii="宋体" w:hAnsi="宋体" w:eastAsia="宋体" w:cs="宋体"/>
          <w:color w:val="auto"/>
          <w:sz w:val="21"/>
          <w:szCs w:val="21"/>
          <w:highlight w:val="none"/>
        </w:rPr>
        <w:t>。</w:t>
      </w:r>
    </w:p>
    <w:p w14:paraId="219C6F8F">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七、付款方式</w:t>
      </w:r>
    </w:p>
    <w:p w14:paraId="649245CF">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（一）项目资金</w:t>
      </w:r>
    </w:p>
    <w:p w14:paraId="08211A45">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本项目运营经费为额定经费，采购预算总金额最高为</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210万</w:t>
      </w:r>
      <w:r>
        <w:rPr>
          <w:rFonts w:hint="eastAsia" w:ascii="宋体" w:hAnsi="宋体" w:eastAsia="宋体" w:cs="宋体"/>
          <w:color w:val="auto"/>
          <w:sz w:val="21"/>
          <w:szCs w:val="21"/>
          <w:highlight w:val="none"/>
          <w:u w:val="single"/>
        </w:rPr>
        <w:t>元</w:t>
      </w:r>
      <w:r>
        <w:rPr>
          <w:rFonts w:hint="eastAsia" w:ascii="宋体" w:hAnsi="宋体" w:eastAsia="宋体" w:cs="宋体"/>
          <w:color w:val="auto"/>
          <w:sz w:val="21"/>
          <w:szCs w:val="21"/>
          <w:highlight w:val="none"/>
        </w:rPr>
        <w:t>。每年运营经费含人员经费、服务支持经费、专业支持经费、办公经费、设备维护经费、宣传经费、培训教育经费及由项目开展而产生的其他费用</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评估不合格经限期整改复查后仍不合格的，</w:t>
      </w:r>
      <w:r>
        <w:rPr>
          <w:rFonts w:hint="eastAsia" w:ascii="宋体" w:hAnsi="宋体" w:eastAsia="宋体" w:cs="宋体"/>
          <w:color w:val="auto"/>
          <w:sz w:val="21"/>
          <w:szCs w:val="21"/>
          <w:highlight w:val="none"/>
          <w:lang w:val="en-US" w:eastAsia="zh-CN"/>
        </w:rPr>
        <w:t>采购人有权终止其政府购买服务合同或服务委托协议，并</w:t>
      </w:r>
      <w:r>
        <w:rPr>
          <w:rFonts w:hint="eastAsia" w:ascii="宋体" w:hAnsi="宋体" w:eastAsia="宋体" w:cs="宋体"/>
          <w:color w:val="auto"/>
          <w:sz w:val="21"/>
          <w:szCs w:val="21"/>
          <w:highlight w:val="none"/>
          <w:lang w:eastAsia="zh-CN"/>
        </w:rPr>
        <w:t>按合同签订的条款扣除年度运营费用的</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%金额。</w:t>
      </w:r>
    </w:p>
    <w:p w14:paraId="7CDB7505">
      <w:pP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）颐康中心、</w:t>
      </w:r>
      <w:r>
        <w:rPr>
          <w:rFonts w:hint="eastAsia" w:ascii="宋体" w:hAnsi="宋体" w:eastAsia="宋体" w:cs="宋体"/>
          <w:color w:val="auto"/>
          <w:sz w:val="21"/>
          <w:szCs w:val="21"/>
          <w:highlight w:val="none"/>
          <w:lang w:val="en-US" w:eastAsia="zh-CN"/>
        </w:rPr>
        <w:t>颐康服务站付款比例：</w:t>
      </w:r>
    </w:p>
    <w:p w14:paraId="31CDB17E">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第一笔款项：协议生效后，在</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rPr>
        <w:t>开具等额有效的税务发票给采购人的</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个工作日内，通过转账方式，向</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rPr>
        <w:t>支付本年度运营经费的</w:t>
      </w:r>
      <w:r>
        <w:rPr>
          <w:rFonts w:hint="eastAsia" w:ascii="宋体" w:hAnsi="宋体" w:eastAsia="宋体" w:cs="宋体"/>
          <w:color w:val="auto"/>
          <w:sz w:val="21"/>
          <w:szCs w:val="21"/>
          <w:highlight w:val="none"/>
          <w:lang w:val="en-US" w:eastAsia="zh-CN"/>
        </w:rPr>
        <w:t>60</w:t>
      </w:r>
      <w:r>
        <w:rPr>
          <w:rFonts w:hint="eastAsia" w:ascii="宋体" w:hAnsi="宋体" w:eastAsia="宋体" w:cs="宋体"/>
          <w:color w:val="auto"/>
          <w:sz w:val="21"/>
          <w:szCs w:val="21"/>
          <w:highlight w:val="none"/>
        </w:rPr>
        <w:t>%；</w:t>
      </w:r>
    </w:p>
    <w:p w14:paraId="788F5D48">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第二笔款项：项目运营期满1年后，</w:t>
      </w:r>
      <w:r>
        <w:rPr>
          <w:rFonts w:hint="eastAsia" w:ascii="宋体" w:hAnsi="宋体" w:eastAsia="宋体" w:cs="宋体"/>
          <w:color w:val="auto"/>
          <w:sz w:val="21"/>
          <w:szCs w:val="21"/>
          <w:highlight w:val="none"/>
          <w:lang w:val="en-US" w:eastAsia="zh-CN"/>
        </w:rPr>
        <w:t>且经民政部门评估验收合格后，</w:t>
      </w:r>
      <w:r>
        <w:rPr>
          <w:rFonts w:hint="eastAsia" w:ascii="宋体" w:hAnsi="宋体" w:eastAsia="宋体" w:cs="宋体"/>
          <w:color w:val="auto"/>
          <w:sz w:val="21"/>
          <w:szCs w:val="21"/>
          <w:highlight w:val="none"/>
        </w:rPr>
        <w:t>在</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rPr>
        <w:t>开具等额有效的税务发票给采购人的</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个工作日内，通过转账方式，向</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rPr>
        <w:t>支付本年度运营经费的</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w:t>
      </w:r>
    </w:p>
    <w:p w14:paraId="7ACA9AAF">
      <w:pPr>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eastAsia="zh-CN"/>
        </w:rPr>
        <w:t>）</w:t>
      </w:r>
      <w:r>
        <w:rPr>
          <w:rFonts w:hint="eastAsia" w:ascii="宋体" w:hAnsi="宋体" w:eastAsia="宋体" w:cs="宋体"/>
          <w:b w:val="0"/>
          <w:bCs w:val="0"/>
          <w:color w:val="auto"/>
          <w:sz w:val="21"/>
          <w:szCs w:val="21"/>
          <w:highlight w:val="none"/>
        </w:rPr>
        <w:t>颐康中心</w:t>
      </w:r>
      <w:r>
        <w:rPr>
          <w:rFonts w:hint="eastAsia" w:ascii="宋体" w:hAnsi="宋体" w:eastAsia="宋体" w:cs="宋体"/>
          <w:b w:val="0"/>
          <w:bCs w:val="0"/>
          <w:color w:val="auto"/>
          <w:sz w:val="21"/>
          <w:szCs w:val="21"/>
          <w:highlight w:val="none"/>
          <w:lang w:eastAsia="zh-CN"/>
        </w:rPr>
        <w:t>的</w:t>
      </w:r>
      <w:r>
        <w:rPr>
          <w:rFonts w:hint="eastAsia" w:ascii="宋体" w:hAnsi="宋体" w:eastAsia="宋体" w:cs="宋体"/>
          <w:color w:val="auto"/>
          <w:sz w:val="21"/>
          <w:szCs w:val="21"/>
          <w:highlight w:val="none"/>
          <w:lang w:eastAsia="zh-CN"/>
        </w:rPr>
        <w:t>租金补贴以上一年度市住建部门公布的房屋租金参考价的25%，按年度予以补贴。若实际租金低于房屋租金参考价，则按实际租金的25%予以补贴。如项目政策或相关规定有变化时，按最新的政策规定执行。</w:t>
      </w:r>
    </w:p>
    <w:p w14:paraId="62010706">
      <w:pPr>
        <w:spacing w:line="360" w:lineRule="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eastAsia="zh-CN"/>
        </w:rPr>
        <w:t>）政府购买服务资助</w:t>
      </w:r>
    </w:p>
    <w:p w14:paraId="2F2387D9">
      <w:pPr>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lang w:eastAsia="zh-CN"/>
        </w:rPr>
        <w:t>的服务对象属于《广州市居家社区养老服务管理办法》规定的资助对象，资助标准按规定执行。资助费用由</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lang w:eastAsia="zh-CN"/>
        </w:rPr>
        <w:t>按照财务管理规定，以</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lang w:eastAsia="zh-CN"/>
        </w:rPr>
        <w:t>与资助对象的服务协议、广州市为老服务平台服务记录为依据，每月支付给</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lang w:eastAsia="zh-CN"/>
        </w:rPr>
        <w:t>。</w:t>
      </w:r>
    </w:p>
    <w:p w14:paraId="0AC1A4EC">
      <w:pPr>
        <w:spacing w:line="360" w:lineRule="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(三)服务奖励</w:t>
      </w:r>
    </w:p>
    <w:p w14:paraId="31B05111">
      <w:pPr>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lang w:eastAsia="zh-CN"/>
        </w:rPr>
        <w:t>运营沙东街社区(村)级服务设施且经民政部门组织评估为合格及以上等级的，可以根据《广州市居家社区养老服务管理办法》规定享受相应等级的服务奖励，运营时间不足或超出12个月的按比例支付奖励资金。服务奖励由</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lang w:eastAsia="zh-CN"/>
        </w:rPr>
        <w:t>按照《广州市居家社区养老服务管理办法》和财政相关规定拨付给</w:t>
      </w:r>
      <w:r>
        <w:rPr>
          <w:rFonts w:hint="eastAsia" w:ascii="宋体" w:hAnsi="宋体" w:eastAsia="宋体" w:cs="宋体"/>
          <w:color w:val="auto"/>
          <w:sz w:val="21"/>
          <w:szCs w:val="21"/>
          <w:highlight w:val="none"/>
          <w:lang w:val="en-US" w:eastAsia="zh-CN"/>
        </w:rPr>
        <w:t>成交供应商</w:t>
      </w:r>
      <w:r>
        <w:rPr>
          <w:rFonts w:hint="eastAsia" w:ascii="宋体" w:hAnsi="宋体" w:eastAsia="宋体" w:cs="宋体"/>
          <w:color w:val="auto"/>
          <w:sz w:val="21"/>
          <w:szCs w:val="21"/>
          <w:highlight w:val="none"/>
          <w:lang w:eastAsia="zh-CN"/>
        </w:rPr>
        <w:t>。</w:t>
      </w:r>
    </w:p>
    <w:p w14:paraId="2484115F">
      <w:pPr>
        <w:spacing w:line="36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rPr>
        <w:t>）其他事项</w:t>
      </w:r>
    </w:p>
    <w:p w14:paraId="237BE66D">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因街道使用的是财政资金，街道在前款规定的付款时间为向政府采购支付部门提出办理财政支付申请手续的时间（不含政府财政支付部门审核的时间），在规定时间内提出支付申请手续后即视为街道已经按期支付。</w:t>
      </w:r>
    </w:p>
    <w:p w14:paraId="0FE3D377">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2、服务期间如市、区相关政策调整，重点服务对象人数、标准发生变化，</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必须无条件接收，并严格按此要求执行。</w:t>
      </w:r>
    </w:p>
    <w:p w14:paraId="58AF33AA">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3、服务期间如</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在年度内的服务质量评估不合格的，采购人有权解除合同并不向</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作任何赔偿或补偿。在解除合同至采购人确定接替的服务机构正式履行合同前，</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仍要为原来对象提供合同约定的服务，费用按实际人数及服务时间进行结算。合同履行完毕或解除合同后，</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应与接替的服务机构做好服务内容、相关档案等的交接工作。</w:t>
      </w:r>
    </w:p>
    <w:p w14:paraId="6799C3F0">
      <w:pPr>
        <w:pStyle w:val="11"/>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成交供应商</w:t>
      </w:r>
      <w:r>
        <w:rPr>
          <w:rFonts w:hint="eastAsia" w:ascii="宋体" w:hAnsi="宋体" w:eastAsia="宋体" w:cs="宋体"/>
          <w:color w:val="auto"/>
          <w:sz w:val="21"/>
          <w:szCs w:val="21"/>
          <w:highlight w:val="none"/>
        </w:rPr>
        <w:t>必须按照广州市社区居家养老服务有关管理规定和评估标准开展服务，日间托管、助餐配餐和喘息照顾服务等涉及低偿收费的，应与购买方、监督方协商。</w:t>
      </w:r>
    </w:p>
    <w:p w14:paraId="4C423CDC">
      <w:pPr>
        <w:pStyle w:val="11"/>
        <w:rPr>
          <w:rFonts w:hint="eastAsia" w:ascii="宋体" w:hAnsi="宋体" w:eastAsia="宋体" w:cs="宋体"/>
          <w:color w:val="auto"/>
          <w:sz w:val="21"/>
          <w:szCs w:val="21"/>
          <w:highlight w:val="none"/>
        </w:rPr>
      </w:pPr>
    </w:p>
    <w:p w14:paraId="07FFB798">
      <w:pPr>
        <w:pStyle w:val="11"/>
        <w:rPr>
          <w:rFonts w:hint="eastAsia" w:ascii="宋体" w:hAnsi="宋体" w:eastAsia="宋体" w:cs="宋体"/>
          <w:b/>
          <w:bCs/>
        </w:rPr>
      </w:pPr>
      <w:r>
        <w:rPr>
          <w:rFonts w:hint="eastAsia" w:ascii="宋体" w:hAnsi="宋体" w:eastAsia="宋体" w:cs="宋体"/>
          <w:b/>
          <w:bCs/>
        </w:rPr>
        <w:t>采购包1（</w:t>
      </w:r>
      <w:r>
        <w:rPr>
          <w:rFonts w:hint="eastAsia" w:ascii="宋体" w:hAnsi="宋体" w:eastAsia="宋体" w:cs="宋体"/>
          <w:b/>
          <w:bCs/>
          <w:color w:val="auto"/>
          <w:lang w:eastAsia="zh-CN"/>
        </w:rPr>
        <w:t>沙东街社区养老服务设施（颐康中心、颐康服务站）采购项目</w:t>
      </w:r>
      <w:r>
        <w:rPr>
          <w:rFonts w:hint="eastAsia" w:ascii="宋体" w:hAnsi="宋体" w:eastAsia="宋体" w:cs="宋体"/>
          <w:b/>
          <w:bCs/>
        </w:rPr>
        <w:t>）</w:t>
      </w:r>
    </w:p>
    <w:p w14:paraId="3F301ABB">
      <w:pPr>
        <w:pStyle w:val="11"/>
        <w:rPr>
          <w:rFonts w:hint="eastAsia" w:ascii="宋体" w:hAnsi="宋体" w:eastAsia="宋体" w:cs="宋体"/>
        </w:rPr>
      </w:pPr>
      <w:r>
        <w:rPr>
          <w:rFonts w:hint="eastAsia" w:ascii="宋体" w:hAnsi="宋体" w:eastAsia="宋体" w:cs="宋体"/>
          <w:b/>
        </w:rPr>
        <w:t>1.主要商务要求</w:t>
      </w:r>
    </w:p>
    <w:tbl>
      <w:tblPr>
        <w:tblStyle w:val="9"/>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708"/>
        <w:gridCol w:w="6598"/>
      </w:tblGrid>
      <w:tr w14:paraId="6BEC5C0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8" w:type="dxa"/>
          </w:tcPr>
          <w:p w14:paraId="3A31E657">
            <w:pPr>
              <w:pStyle w:val="11"/>
              <w:rPr>
                <w:rFonts w:hint="eastAsia" w:ascii="宋体" w:hAnsi="宋体" w:eastAsia="宋体" w:cs="宋体"/>
              </w:rPr>
            </w:pPr>
            <w:r>
              <w:rPr>
                <w:rFonts w:hint="eastAsia" w:ascii="宋体" w:hAnsi="宋体" w:eastAsia="宋体" w:cs="宋体"/>
              </w:rPr>
              <w:t>标的提供的时间</w:t>
            </w:r>
          </w:p>
        </w:tc>
        <w:tc>
          <w:tcPr>
            <w:tcW w:w="6598" w:type="dxa"/>
            <w:vAlign w:val="top"/>
          </w:tcPr>
          <w:p w14:paraId="28A50F93">
            <w:pPr>
              <w:spacing w:line="360" w:lineRule="auto"/>
              <w:rPr>
                <w:rFonts w:hint="eastAsia" w:ascii="宋体" w:hAnsi="宋体" w:eastAsia="宋体" w:cs="宋体"/>
                <w:color w:val="auto"/>
              </w:rPr>
            </w:pPr>
            <w:r>
              <w:rPr>
                <w:rFonts w:hint="eastAsia" w:ascii="宋体" w:hAnsi="宋体" w:eastAsia="宋体" w:cs="宋体"/>
                <w:color w:val="auto"/>
                <w:sz w:val="21"/>
                <w:szCs w:val="21"/>
              </w:rPr>
              <w:t>项目服务期为</w:t>
            </w:r>
            <w:r>
              <w:rPr>
                <w:rFonts w:hint="eastAsia" w:ascii="宋体" w:hAnsi="宋体" w:eastAsia="宋体" w:cs="宋体"/>
                <w:color w:val="auto"/>
                <w:sz w:val="21"/>
                <w:szCs w:val="21"/>
                <w:lang w:val="en-US" w:eastAsia="zh-CN"/>
              </w:rPr>
              <w:t>三年，即2026</w:t>
            </w:r>
            <w:r>
              <w:rPr>
                <w:rFonts w:hint="eastAsia" w:ascii="宋体" w:hAnsi="宋体" w:eastAsia="宋体" w:cs="宋体"/>
                <w:color w:val="auto"/>
                <w:sz w:val="21"/>
                <w:szCs w:val="21"/>
              </w:rPr>
              <w:t>年</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月</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日至</w:t>
            </w:r>
            <w:r>
              <w:rPr>
                <w:rFonts w:hint="eastAsia" w:ascii="宋体" w:hAnsi="宋体" w:eastAsia="宋体" w:cs="宋体"/>
                <w:color w:val="auto"/>
                <w:sz w:val="21"/>
                <w:szCs w:val="21"/>
                <w:lang w:val="en-US" w:eastAsia="zh-CN"/>
              </w:rPr>
              <w:t>2028</w:t>
            </w:r>
            <w:r>
              <w:rPr>
                <w:rFonts w:hint="eastAsia" w:ascii="宋体" w:hAnsi="宋体" w:eastAsia="宋体" w:cs="宋体"/>
                <w:color w:val="auto"/>
                <w:sz w:val="21"/>
                <w:szCs w:val="21"/>
              </w:rPr>
              <w:t>年</w:t>
            </w:r>
            <w:r>
              <w:rPr>
                <w:rFonts w:hint="eastAsia" w:ascii="宋体" w:hAnsi="宋体" w:eastAsia="宋体" w:cs="宋体"/>
                <w:color w:val="auto"/>
                <w:sz w:val="21"/>
                <w:szCs w:val="21"/>
                <w:lang w:val="en-US" w:eastAsia="zh-CN"/>
              </w:rPr>
              <w:t>12</w:t>
            </w:r>
            <w:r>
              <w:rPr>
                <w:rFonts w:hint="eastAsia" w:ascii="宋体" w:hAnsi="宋体" w:eastAsia="宋体" w:cs="宋体"/>
                <w:color w:val="auto"/>
                <w:sz w:val="21"/>
                <w:szCs w:val="21"/>
              </w:rPr>
              <w:t>月</w:t>
            </w:r>
            <w:r>
              <w:rPr>
                <w:rFonts w:hint="eastAsia" w:ascii="宋体" w:hAnsi="宋体" w:eastAsia="宋体" w:cs="宋体"/>
                <w:color w:val="auto"/>
                <w:sz w:val="21"/>
                <w:szCs w:val="21"/>
                <w:lang w:val="en-US" w:eastAsia="zh-CN"/>
              </w:rPr>
              <w:t>31</w:t>
            </w:r>
            <w:r>
              <w:rPr>
                <w:rFonts w:hint="eastAsia" w:ascii="宋体" w:hAnsi="宋体" w:eastAsia="宋体" w:cs="宋体"/>
                <w:color w:val="auto"/>
                <w:sz w:val="21"/>
                <w:szCs w:val="21"/>
              </w:rPr>
              <w:t>日，共</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年，周期内一个自然年一签。</w:t>
            </w:r>
          </w:p>
        </w:tc>
      </w:tr>
      <w:tr w14:paraId="76798F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8" w:type="dxa"/>
          </w:tcPr>
          <w:p w14:paraId="38BE8A79">
            <w:pPr>
              <w:pStyle w:val="11"/>
              <w:rPr>
                <w:rFonts w:hint="eastAsia" w:ascii="宋体" w:hAnsi="宋体" w:eastAsia="宋体" w:cs="宋体"/>
              </w:rPr>
            </w:pPr>
            <w:r>
              <w:rPr>
                <w:rFonts w:hint="eastAsia" w:ascii="宋体" w:hAnsi="宋体" w:eastAsia="宋体" w:cs="宋体"/>
              </w:rPr>
              <w:t>标的提供的地点</w:t>
            </w:r>
          </w:p>
        </w:tc>
        <w:tc>
          <w:tcPr>
            <w:tcW w:w="6598" w:type="dxa"/>
            <w:vAlign w:val="top"/>
          </w:tcPr>
          <w:p w14:paraId="1D8E254B">
            <w:pPr>
              <w:spacing w:line="360" w:lineRule="auto"/>
              <w:rPr>
                <w:rFonts w:hint="default" w:ascii="宋体" w:hAnsi="宋体" w:eastAsia="宋体" w:cs="宋体"/>
                <w:color w:val="auto"/>
                <w:lang w:val="en-US"/>
              </w:rPr>
            </w:pPr>
            <w:r>
              <w:rPr>
                <w:rFonts w:hint="eastAsia" w:ascii="宋体" w:hAnsi="宋体" w:eastAsia="宋体" w:cs="宋体"/>
                <w:color w:val="auto"/>
                <w:sz w:val="21"/>
                <w:szCs w:val="21"/>
                <w:lang w:val="en-US" w:eastAsia="zh-CN"/>
              </w:rPr>
              <w:t>广州市天河区沙东街道办事处</w:t>
            </w:r>
          </w:p>
        </w:tc>
      </w:tr>
      <w:tr w14:paraId="46D0B53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8" w:type="dxa"/>
          </w:tcPr>
          <w:p w14:paraId="38B6E4F5">
            <w:pPr>
              <w:pStyle w:val="11"/>
              <w:rPr>
                <w:rFonts w:hint="eastAsia" w:ascii="宋体" w:hAnsi="宋体" w:eastAsia="宋体" w:cs="宋体"/>
              </w:rPr>
            </w:pPr>
            <w:r>
              <w:rPr>
                <w:rFonts w:hint="eastAsia" w:ascii="宋体" w:hAnsi="宋体" w:eastAsia="宋体" w:cs="宋体"/>
              </w:rPr>
              <w:t>付款方式</w:t>
            </w:r>
          </w:p>
        </w:tc>
        <w:tc>
          <w:tcPr>
            <w:tcW w:w="6598" w:type="dxa"/>
            <w:vAlign w:val="top"/>
          </w:tcPr>
          <w:p w14:paraId="4D9589F9">
            <w:pPr>
              <w:spacing w:line="360" w:lineRule="auto"/>
              <w:rPr>
                <w:rFonts w:hint="eastAsia" w:ascii="宋体" w:hAnsi="宋体" w:eastAsia="宋体" w:cs="宋体"/>
                <w:color w:val="auto"/>
                <w:sz w:val="21"/>
                <w:szCs w:val="21"/>
              </w:rPr>
            </w:pPr>
            <w:r>
              <w:rPr>
                <w:rFonts w:hint="eastAsia" w:ascii="宋体" w:hAnsi="宋体" w:eastAsia="宋体" w:cs="宋体"/>
                <w:color w:val="auto"/>
                <w:sz w:val="21"/>
                <w:szCs w:val="21"/>
              </w:rPr>
              <w:t>1期：支付比例</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0%,详见《第二章采购需求》。</w:t>
            </w:r>
          </w:p>
          <w:p w14:paraId="26659D15">
            <w:pPr>
              <w:spacing w:line="360" w:lineRule="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期：支付比例</w:t>
            </w:r>
            <w:r>
              <w:rPr>
                <w:rFonts w:hint="eastAsia" w:ascii="宋体" w:hAnsi="宋体" w:eastAsia="宋体" w:cs="宋体"/>
                <w:color w:val="auto"/>
                <w:sz w:val="21"/>
                <w:szCs w:val="21"/>
                <w:lang w:val="en-US" w:eastAsia="zh-CN"/>
              </w:rPr>
              <w:t>40</w:t>
            </w:r>
            <w:r>
              <w:rPr>
                <w:rFonts w:hint="eastAsia" w:ascii="宋体" w:hAnsi="宋体" w:eastAsia="宋体" w:cs="宋体"/>
                <w:color w:val="auto"/>
                <w:sz w:val="21"/>
                <w:szCs w:val="21"/>
              </w:rPr>
              <w:t>%,详见《第二章采购需求》。</w:t>
            </w:r>
            <w:r>
              <w:rPr>
                <w:rFonts w:hint="eastAsia" w:ascii="宋体" w:hAnsi="宋体" w:eastAsia="宋体" w:cs="宋体"/>
                <w:color w:val="auto"/>
                <w:sz w:val="21"/>
                <w:szCs w:val="21"/>
                <w:lang w:eastAsia="zh-CN"/>
              </w:rPr>
              <w:t>、</w:t>
            </w:r>
          </w:p>
          <w:p w14:paraId="62420330">
            <w:pPr>
              <w:spacing w:line="360" w:lineRule="auto"/>
              <w:rPr>
                <w:rFonts w:hint="eastAsia" w:ascii="宋体" w:hAnsi="宋体" w:eastAsia="宋体" w:cs="宋体"/>
                <w:color w:val="auto"/>
              </w:rPr>
            </w:pPr>
            <w:r>
              <w:rPr>
                <w:rFonts w:hint="eastAsia" w:ascii="宋体" w:hAnsi="宋体" w:eastAsia="宋体" w:cs="宋体"/>
                <w:color w:val="auto"/>
                <w:sz w:val="21"/>
                <w:szCs w:val="21"/>
              </w:rPr>
              <w:t>如项目发生合同融资，采购人应当将合同款项支付到合同约定收款账户。</w:t>
            </w:r>
          </w:p>
        </w:tc>
      </w:tr>
      <w:tr w14:paraId="4772F17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8" w:type="dxa"/>
          </w:tcPr>
          <w:p w14:paraId="783BC9C8">
            <w:pPr>
              <w:pStyle w:val="11"/>
              <w:rPr>
                <w:rFonts w:hint="eastAsia" w:ascii="宋体" w:hAnsi="宋体" w:eastAsia="宋体" w:cs="宋体"/>
              </w:rPr>
            </w:pPr>
            <w:r>
              <w:rPr>
                <w:rFonts w:hint="eastAsia" w:ascii="宋体" w:hAnsi="宋体" w:eastAsia="宋体" w:cs="宋体"/>
              </w:rPr>
              <w:t>验收要求</w:t>
            </w:r>
          </w:p>
        </w:tc>
        <w:tc>
          <w:tcPr>
            <w:tcW w:w="6598" w:type="dxa"/>
            <w:vAlign w:val="top"/>
          </w:tcPr>
          <w:p w14:paraId="5139C866">
            <w:pPr>
              <w:spacing w:line="360" w:lineRule="auto"/>
              <w:rPr>
                <w:rFonts w:hint="eastAsia" w:ascii="宋体" w:hAnsi="宋体" w:eastAsia="宋体" w:cs="宋体"/>
                <w:color w:val="auto"/>
              </w:rPr>
            </w:pPr>
            <w:r>
              <w:rPr>
                <w:rFonts w:hint="eastAsia" w:ascii="宋体" w:hAnsi="宋体" w:eastAsia="宋体" w:cs="宋体"/>
                <w:color w:val="auto"/>
                <w:sz w:val="21"/>
                <w:szCs w:val="21"/>
              </w:rPr>
              <w:t>1期：自双方合同签订之日起，</w:t>
            </w:r>
            <w:r>
              <w:rPr>
                <w:rFonts w:hint="eastAsia" w:ascii="宋体" w:hAnsi="宋体" w:eastAsia="宋体" w:cs="宋体"/>
                <w:color w:val="auto"/>
                <w:sz w:val="21"/>
                <w:szCs w:val="21"/>
                <w:lang w:val="en-US" w:eastAsia="zh-CN"/>
              </w:rPr>
              <w:t>成交供应商</w:t>
            </w:r>
            <w:r>
              <w:rPr>
                <w:rFonts w:hint="eastAsia" w:ascii="宋体" w:hAnsi="宋体" w:eastAsia="宋体" w:cs="宋体"/>
                <w:color w:val="auto"/>
                <w:sz w:val="21"/>
                <w:szCs w:val="21"/>
              </w:rPr>
              <w:t>每运营满一年需向采购人提交自评报告，向区居家养老服务指导中心申请服务评估。对承接的服务项目评估定级不合格的，限期整改复查仍不合格的不予续签，由采购人终止其政府购买服务合同或服务委托协议，并按合同签订的条款扣除年度运营费用的</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%金额。</w:t>
            </w:r>
          </w:p>
        </w:tc>
      </w:tr>
      <w:tr w14:paraId="743F99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8" w:type="dxa"/>
          </w:tcPr>
          <w:p w14:paraId="08956115">
            <w:pPr>
              <w:pStyle w:val="11"/>
              <w:rPr>
                <w:rFonts w:hint="eastAsia" w:ascii="宋体" w:hAnsi="宋体" w:eastAsia="宋体" w:cs="宋体"/>
              </w:rPr>
            </w:pPr>
            <w:r>
              <w:rPr>
                <w:rFonts w:hint="eastAsia" w:ascii="宋体" w:hAnsi="宋体" w:eastAsia="宋体" w:cs="宋体"/>
              </w:rPr>
              <w:t>履约保证金</w:t>
            </w:r>
          </w:p>
        </w:tc>
        <w:tc>
          <w:tcPr>
            <w:tcW w:w="6598" w:type="dxa"/>
            <w:vAlign w:val="top"/>
          </w:tcPr>
          <w:p w14:paraId="769C0EF6">
            <w:pPr>
              <w:spacing w:line="360" w:lineRule="auto"/>
              <w:rPr>
                <w:rFonts w:hint="eastAsia" w:ascii="宋体" w:hAnsi="宋体" w:eastAsia="宋体" w:cs="宋体"/>
                <w:color w:val="auto"/>
              </w:rPr>
            </w:pPr>
            <w:r>
              <w:rPr>
                <w:rFonts w:hint="eastAsia" w:ascii="宋体" w:hAnsi="宋体" w:eastAsia="宋体" w:cs="宋体"/>
                <w:color w:val="auto"/>
                <w:sz w:val="21"/>
                <w:szCs w:val="21"/>
              </w:rPr>
              <w:t>不收取</w:t>
            </w:r>
          </w:p>
        </w:tc>
      </w:tr>
      <w:tr w14:paraId="1E1D5E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8" w:type="dxa"/>
          </w:tcPr>
          <w:p w14:paraId="6FCF04E6">
            <w:pPr>
              <w:pStyle w:val="11"/>
              <w:rPr>
                <w:rFonts w:hint="eastAsia" w:ascii="宋体" w:hAnsi="宋体" w:eastAsia="宋体" w:cs="宋体"/>
              </w:rPr>
            </w:pPr>
            <w:r>
              <w:rPr>
                <w:rFonts w:hint="eastAsia" w:ascii="宋体" w:hAnsi="宋体" w:eastAsia="宋体" w:cs="宋体"/>
              </w:rPr>
              <w:t>其他</w:t>
            </w:r>
          </w:p>
        </w:tc>
        <w:tc>
          <w:tcPr>
            <w:tcW w:w="6598" w:type="dxa"/>
          </w:tcPr>
          <w:p w14:paraId="1C2B9F14">
            <w:pPr>
              <w:pStyle w:val="11"/>
              <w:rPr>
                <w:rFonts w:hint="eastAsia" w:ascii="宋体" w:hAnsi="宋体" w:eastAsia="宋体" w:cs="宋体"/>
              </w:rPr>
            </w:pPr>
          </w:p>
        </w:tc>
      </w:tr>
    </w:tbl>
    <w:p w14:paraId="7E17989E">
      <w:pPr>
        <w:pStyle w:val="11"/>
        <w:rPr>
          <w:rFonts w:hint="eastAsia" w:ascii="宋体" w:hAnsi="宋体" w:eastAsia="宋体" w:cs="宋体"/>
        </w:rPr>
      </w:pPr>
      <w:r>
        <w:rPr>
          <w:rFonts w:hint="eastAsia" w:ascii="宋体" w:hAnsi="宋体" w:eastAsia="宋体" w:cs="宋体"/>
          <w:b/>
        </w:rPr>
        <w:t>2.技术标准与要求</w:t>
      </w:r>
    </w:p>
    <w:tbl>
      <w:tblPr>
        <w:tblStyle w:val="9"/>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48"/>
        <w:gridCol w:w="901"/>
        <w:gridCol w:w="1183"/>
        <w:gridCol w:w="636"/>
        <w:gridCol w:w="836"/>
        <w:gridCol w:w="1416"/>
        <w:gridCol w:w="1416"/>
        <w:gridCol w:w="710"/>
        <w:gridCol w:w="776"/>
      </w:tblGrid>
      <w:tr w14:paraId="367D447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87" w:type="dxa"/>
          </w:tcPr>
          <w:p w14:paraId="63CAD337">
            <w:pPr>
              <w:pStyle w:val="11"/>
              <w:jc w:val="center"/>
              <w:rPr>
                <w:rFonts w:hint="eastAsia" w:ascii="宋体" w:hAnsi="宋体" w:eastAsia="宋体" w:cs="宋体"/>
              </w:rPr>
            </w:pPr>
            <w:r>
              <w:rPr>
                <w:rFonts w:hint="eastAsia" w:ascii="宋体" w:hAnsi="宋体" w:eastAsia="宋体" w:cs="宋体"/>
              </w:rPr>
              <w:t>序号</w:t>
            </w:r>
          </w:p>
        </w:tc>
        <w:tc>
          <w:tcPr>
            <w:tcW w:w="983" w:type="dxa"/>
          </w:tcPr>
          <w:p w14:paraId="6E665438">
            <w:pPr>
              <w:pStyle w:val="11"/>
              <w:jc w:val="center"/>
              <w:rPr>
                <w:rFonts w:hint="eastAsia" w:ascii="宋体" w:hAnsi="宋体" w:eastAsia="宋体" w:cs="宋体"/>
              </w:rPr>
            </w:pPr>
            <w:r>
              <w:rPr>
                <w:rFonts w:hint="eastAsia" w:ascii="宋体" w:hAnsi="宋体" w:eastAsia="宋体" w:cs="宋体"/>
              </w:rPr>
              <w:t>品目名称</w:t>
            </w:r>
          </w:p>
        </w:tc>
        <w:tc>
          <w:tcPr>
            <w:tcW w:w="1278" w:type="dxa"/>
          </w:tcPr>
          <w:p w14:paraId="3AED3AF6">
            <w:pPr>
              <w:pStyle w:val="11"/>
              <w:jc w:val="center"/>
              <w:rPr>
                <w:rFonts w:hint="eastAsia" w:ascii="宋体" w:hAnsi="宋体" w:eastAsia="宋体" w:cs="宋体"/>
              </w:rPr>
            </w:pPr>
            <w:r>
              <w:rPr>
                <w:rFonts w:hint="eastAsia" w:ascii="宋体" w:hAnsi="宋体" w:eastAsia="宋体" w:cs="宋体"/>
              </w:rPr>
              <w:t>标的名称</w:t>
            </w:r>
          </w:p>
        </w:tc>
        <w:tc>
          <w:tcPr>
            <w:tcW w:w="673" w:type="dxa"/>
          </w:tcPr>
          <w:p w14:paraId="700E9F1E">
            <w:pPr>
              <w:pStyle w:val="11"/>
              <w:jc w:val="center"/>
              <w:rPr>
                <w:rFonts w:hint="eastAsia" w:ascii="宋体" w:hAnsi="宋体" w:eastAsia="宋体" w:cs="宋体"/>
              </w:rPr>
            </w:pPr>
            <w:r>
              <w:rPr>
                <w:rFonts w:hint="eastAsia" w:ascii="宋体" w:hAnsi="宋体" w:eastAsia="宋体" w:cs="宋体"/>
              </w:rPr>
              <w:t>单位</w:t>
            </w:r>
          </w:p>
        </w:tc>
        <w:tc>
          <w:tcPr>
            <w:tcW w:w="873" w:type="dxa"/>
          </w:tcPr>
          <w:p w14:paraId="3A7CF7A9">
            <w:pPr>
              <w:pStyle w:val="11"/>
              <w:jc w:val="center"/>
              <w:rPr>
                <w:rFonts w:hint="eastAsia" w:ascii="宋体" w:hAnsi="宋体" w:eastAsia="宋体" w:cs="宋体"/>
              </w:rPr>
            </w:pPr>
            <w:r>
              <w:rPr>
                <w:rFonts w:hint="eastAsia" w:ascii="宋体" w:hAnsi="宋体" w:eastAsia="宋体" w:cs="宋体"/>
              </w:rPr>
              <w:t>数量</w:t>
            </w:r>
          </w:p>
        </w:tc>
        <w:tc>
          <w:tcPr>
            <w:tcW w:w="1216" w:type="dxa"/>
          </w:tcPr>
          <w:p w14:paraId="307BBBFA">
            <w:pPr>
              <w:pStyle w:val="11"/>
              <w:jc w:val="center"/>
              <w:rPr>
                <w:rFonts w:hint="eastAsia" w:ascii="宋体" w:hAnsi="宋体" w:eastAsia="宋体" w:cs="宋体"/>
              </w:rPr>
            </w:pPr>
            <w:r>
              <w:rPr>
                <w:rFonts w:hint="eastAsia" w:ascii="宋体" w:hAnsi="宋体" w:eastAsia="宋体" w:cs="宋体"/>
              </w:rPr>
              <w:t>分项预算单价（元）</w:t>
            </w:r>
          </w:p>
        </w:tc>
        <w:tc>
          <w:tcPr>
            <w:tcW w:w="1216" w:type="dxa"/>
          </w:tcPr>
          <w:p w14:paraId="59CEF5C4">
            <w:pPr>
              <w:pStyle w:val="11"/>
              <w:jc w:val="center"/>
              <w:rPr>
                <w:rFonts w:hint="eastAsia" w:ascii="宋体" w:hAnsi="宋体" w:eastAsia="宋体" w:cs="宋体"/>
              </w:rPr>
            </w:pPr>
            <w:r>
              <w:rPr>
                <w:rFonts w:hint="eastAsia" w:ascii="宋体" w:hAnsi="宋体" w:eastAsia="宋体" w:cs="宋体"/>
              </w:rPr>
              <w:t>分项预算总价（元）</w:t>
            </w:r>
          </w:p>
        </w:tc>
        <w:tc>
          <w:tcPr>
            <w:tcW w:w="760" w:type="dxa"/>
          </w:tcPr>
          <w:p w14:paraId="448DE27C">
            <w:pPr>
              <w:pStyle w:val="11"/>
              <w:jc w:val="center"/>
              <w:rPr>
                <w:rFonts w:hint="eastAsia" w:ascii="宋体" w:hAnsi="宋体" w:eastAsia="宋体" w:cs="宋体"/>
              </w:rPr>
            </w:pPr>
            <w:r>
              <w:rPr>
                <w:rFonts w:hint="eastAsia" w:ascii="宋体" w:hAnsi="宋体" w:eastAsia="宋体" w:cs="宋体"/>
              </w:rPr>
              <w:t>所属行业</w:t>
            </w:r>
          </w:p>
        </w:tc>
        <w:tc>
          <w:tcPr>
            <w:tcW w:w="836" w:type="dxa"/>
          </w:tcPr>
          <w:p w14:paraId="35362291">
            <w:pPr>
              <w:pStyle w:val="11"/>
              <w:jc w:val="center"/>
              <w:rPr>
                <w:rFonts w:hint="eastAsia" w:ascii="宋体" w:hAnsi="宋体" w:eastAsia="宋体" w:cs="宋体"/>
              </w:rPr>
            </w:pPr>
            <w:r>
              <w:rPr>
                <w:rFonts w:hint="eastAsia" w:ascii="宋体" w:hAnsi="宋体" w:eastAsia="宋体" w:cs="宋体"/>
              </w:rPr>
              <w:t>技术要求</w:t>
            </w:r>
          </w:p>
        </w:tc>
      </w:tr>
      <w:tr w14:paraId="40F15C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87" w:type="dxa"/>
          </w:tcPr>
          <w:p w14:paraId="0C7BE17F">
            <w:pPr>
              <w:pStyle w:val="11"/>
              <w:jc w:val="center"/>
              <w:rPr>
                <w:rFonts w:hint="eastAsia" w:ascii="宋体" w:hAnsi="宋体" w:eastAsia="宋体" w:cs="宋体"/>
              </w:rPr>
            </w:pPr>
            <w:r>
              <w:rPr>
                <w:rFonts w:hint="eastAsia" w:ascii="宋体" w:hAnsi="宋体" w:eastAsia="宋体" w:cs="宋体"/>
              </w:rPr>
              <w:t>1</w:t>
            </w:r>
          </w:p>
        </w:tc>
        <w:tc>
          <w:tcPr>
            <w:tcW w:w="983" w:type="dxa"/>
          </w:tcPr>
          <w:p w14:paraId="4E87CD33">
            <w:pPr>
              <w:pStyle w:val="11"/>
              <w:jc w:val="center"/>
              <w:rPr>
                <w:rFonts w:hint="eastAsia" w:ascii="宋体" w:hAnsi="宋体" w:eastAsia="宋体" w:cs="宋体"/>
                <w:color w:val="auto"/>
                <w:lang w:eastAsia="zh-CN"/>
              </w:rPr>
            </w:pPr>
            <w:r>
              <w:rPr>
                <w:rFonts w:hint="eastAsia" w:ascii="宋体" w:hAnsi="宋体" w:eastAsia="宋体" w:cs="宋体"/>
                <w:color w:val="auto"/>
                <w:lang w:eastAsia="zh-CN"/>
              </w:rPr>
              <w:t>养老服务</w:t>
            </w:r>
          </w:p>
        </w:tc>
        <w:tc>
          <w:tcPr>
            <w:tcW w:w="1278" w:type="dxa"/>
          </w:tcPr>
          <w:p w14:paraId="27A49288">
            <w:pPr>
              <w:pStyle w:val="11"/>
              <w:jc w:val="center"/>
              <w:rPr>
                <w:rFonts w:hint="eastAsia" w:ascii="宋体" w:hAnsi="宋体" w:eastAsia="宋体" w:cs="宋体"/>
                <w:color w:val="auto"/>
              </w:rPr>
            </w:pPr>
            <w:r>
              <w:rPr>
                <w:rFonts w:hint="eastAsia" w:ascii="宋体" w:hAnsi="宋体" w:eastAsia="宋体" w:cs="宋体"/>
                <w:color w:val="auto"/>
                <w:lang w:eastAsia="zh-CN"/>
              </w:rPr>
              <w:t>沙东街社区养老服务设施（颐康中心、颐康服务站）采购项目</w:t>
            </w:r>
          </w:p>
        </w:tc>
        <w:tc>
          <w:tcPr>
            <w:tcW w:w="673" w:type="dxa"/>
          </w:tcPr>
          <w:p w14:paraId="53F02D06">
            <w:pPr>
              <w:pStyle w:val="11"/>
              <w:jc w:val="center"/>
              <w:rPr>
                <w:rFonts w:hint="eastAsia" w:ascii="宋体" w:hAnsi="宋体" w:eastAsia="宋体" w:cs="宋体"/>
                <w:color w:val="auto"/>
              </w:rPr>
            </w:pPr>
            <w:r>
              <w:rPr>
                <w:rFonts w:hint="eastAsia" w:ascii="宋体" w:hAnsi="宋体" w:eastAsia="宋体" w:cs="宋体"/>
                <w:color w:val="auto"/>
              </w:rPr>
              <w:t>项</w:t>
            </w:r>
          </w:p>
        </w:tc>
        <w:tc>
          <w:tcPr>
            <w:tcW w:w="873" w:type="dxa"/>
          </w:tcPr>
          <w:p w14:paraId="590BD2C4">
            <w:pPr>
              <w:pStyle w:val="11"/>
              <w:jc w:val="center"/>
              <w:rPr>
                <w:rFonts w:hint="eastAsia" w:ascii="宋体" w:hAnsi="宋体" w:eastAsia="宋体" w:cs="宋体"/>
                <w:color w:val="auto"/>
              </w:rPr>
            </w:pPr>
            <w:r>
              <w:rPr>
                <w:rFonts w:hint="eastAsia" w:ascii="宋体" w:hAnsi="宋体" w:eastAsia="宋体" w:cs="宋体"/>
                <w:color w:val="auto"/>
              </w:rPr>
              <w:t>1.00</w:t>
            </w:r>
          </w:p>
        </w:tc>
        <w:tc>
          <w:tcPr>
            <w:tcW w:w="1216" w:type="dxa"/>
          </w:tcPr>
          <w:p w14:paraId="2F9FD6AA">
            <w:pPr>
              <w:pStyle w:val="11"/>
              <w:jc w:val="center"/>
              <w:rPr>
                <w:rFonts w:hint="eastAsia" w:ascii="宋体" w:hAnsi="宋体" w:eastAsia="宋体" w:cs="宋体"/>
                <w:color w:val="auto"/>
                <w:lang w:eastAsia="zh-CN"/>
              </w:rPr>
            </w:pPr>
            <w:r>
              <w:rPr>
                <w:rFonts w:hint="eastAsia" w:ascii="宋体" w:hAnsi="宋体" w:eastAsia="宋体" w:cs="宋体"/>
                <w:color w:val="auto"/>
                <w:lang w:eastAsia="zh-CN"/>
              </w:rPr>
              <w:t>2,100,000.00</w:t>
            </w:r>
          </w:p>
        </w:tc>
        <w:tc>
          <w:tcPr>
            <w:tcW w:w="1216" w:type="dxa"/>
          </w:tcPr>
          <w:p w14:paraId="05DF2E04">
            <w:pPr>
              <w:pStyle w:val="11"/>
              <w:jc w:val="center"/>
              <w:rPr>
                <w:rFonts w:hint="eastAsia" w:ascii="宋体" w:hAnsi="宋体" w:eastAsia="宋体" w:cs="宋体"/>
                <w:color w:val="auto"/>
                <w:lang w:eastAsia="zh-CN"/>
              </w:rPr>
            </w:pPr>
            <w:r>
              <w:rPr>
                <w:rFonts w:hint="eastAsia" w:ascii="宋体" w:hAnsi="宋体" w:eastAsia="宋体" w:cs="宋体"/>
                <w:color w:val="auto"/>
                <w:lang w:eastAsia="zh-CN"/>
              </w:rPr>
              <w:t>2,100,000.00</w:t>
            </w:r>
          </w:p>
        </w:tc>
        <w:tc>
          <w:tcPr>
            <w:tcW w:w="760" w:type="dxa"/>
          </w:tcPr>
          <w:p w14:paraId="2EE3163F">
            <w:pPr>
              <w:pStyle w:val="11"/>
              <w:jc w:val="center"/>
              <w:rPr>
                <w:rFonts w:hint="eastAsia" w:ascii="宋体" w:hAnsi="宋体" w:eastAsia="宋体" w:cs="宋体"/>
                <w:color w:val="auto"/>
                <w:lang w:eastAsia="zh-CN"/>
              </w:rPr>
            </w:pPr>
            <w:r>
              <w:rPr>
                <w:rFonts w:hint="eastAsia" w:ascii="宋体" w:hAnsi="宋体" w:eastAsia="宋体" w:cs="宋体"/>
                <w:color w:val="auto"/>
                <w:lang w:eastAsia="zh-CN"/>
              </w:rPr>
              <w:t>其他未列明行业</w:t>
            </w:r>
          </w:p>
        </w:tc>
        <w:tc>
          <w:tcPr>
            <w:tcW w:w="836" w:type="dxa"/>
          </w:tcPr>
          <w:p w14:paraId="43C62032">
            <w:pPr>
              <w:pStyle w:val="11"/>
              <w:jc w:val="center"/>
              <w:rPr>
                <w:rFonts w:hint="eastAsia" w:ascii="宋体" w:hAnsi="宋体" w:eastAsia="宋体" w:cs="宋体"/>
                <w:color w:val="auto"/>
              </w:rPr>
            </w:pPr>
            <w:r>
              <w:rPr>
                <w:rFonts w:hint="eastAsia" w:ascii="宋体" w:hAnsi="宋体" w:eastAsia="宋体" w:cs="宋体"/>
                <w:color w:val="auto"/>
              </w:rPr>
              <w:t>详见附表一</w:t>
            </w:r>
          </w:p>
        </w:tc>
      </w:tr>
    </w:tbl>
    <w:p w14:paraId="12BE263C">
      <w:pPr>
        <w:pStyle w:val="11"/>
        <w:rPr>
          <w:rFonts w:hint="eastAsia" w:ascii="宋体" w:hAnsi="宋体" w:eastAsia="宋体" w:cs="宋体"/>
        </w:rPr>
      </w:pPr>
      <w:r>
        <w:rPr>
          <w:rFonts w:hint="eastAsia" w:ascii="宋体" w:hAnsi="宋体" w:eastAsia="宋体" w:cs="宋体"/>
          <w:b/>
        </w:rPr>
        <w:t>附表一：</w:t>
      </w:r>
      <w:r>
        <w:rPr>
          <w:rFonts w:hint="eastAsia" w:ascii="宋体" w:hAnsi="宋体" w:eastAsia="宋体" w:cs="宋体"/>
          <w:b/>
          <w:color w:val="auto"/>
          <w:lang w:eastAsia="zh-CN"/>
        </w:rPr>
        <w:t>沙东街社区养老服务设施（颐康中心、颐康服务站）采购项目</w:t>
      </w:r>
    </w:p>
    <w:tbl>
      <w:tblPr>
        <w:tblStyle w:val="9"/>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26"/>
        <w:gridCol w:w="1020"/>
        <w:gridCol w:w="6160"/>
      </w:tblGrid>
      <w:tr w14:paraId="4810BC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6" w:type="dxa"/>
          </w:tcPr>
          <w:p w14:paraId="0C85E4FB">
            <w:pPr>
              <w:pStyle w:val="11"/>
              <w:rPr>
                <w:rFonts w:hint="eastAsia" w:ascii="宋体" w:hAnsi="宋体" w:eastAsia="宋体" w:cs="宋体"/>
              </w:rPr>
            </w:pPr>
            <w:r>
              <w:rPr>
                <w:rFonts w:hint="eastAsia" w:ascii="宋体" w:hAnsi="宋体" w:eastAsia="宋体" w:cs="宋体"/>
              </w:rPr>
              <w:t>参数性质</w:t>
            </w:r>
          </w:p>
        </w:tc>
        <w:tc>
          <w:tcPr>
            <w:tcW w:w="1020" w:type="dxa"/>
          </w:tcPr>
          <w:p w14:paraId="718EDD1F">
            <w:pPr>
              <w:pStyle w:val="11"/>
              <w:rPr>
                <w:rFonts w:hint="eastAsia" w:ascii="宋体" w:hAnsi="宋体" w:eastAsia="宋体" w:cs="宋体"/>
              </w:rPr>
            </w:pPr>
            <w:r>
              <w:rPr>
                <w:rFonts w:hint="eastAsia" w:ascii="宋体" w:hAnsi="宋体" w:eastAsia="宋体" w:cs="宋体"/>
              </w:rPr>
              <w:t>序号</w:t>
            </w:r>
          </w:p>
        </w:tc>
        <w:tc>
          <w:tcPr>
            <w:tcW w:w="6160" w:type="dxa"/>
          </w:tcPr>
          <w:p w14:paraId="27F46A95">
            <w:pPr>
              <w:pStyle w:val="11"/>
              <w:rPr>
                <w:rFonts w:hint="eastAsia" w:ascii="宋体" w:hAnsi="宋体" w:eastAsia="宋体" w:cs="宋体"/>
              </w:rPr>
            </w:pPr>
            <w:r>
              <w:rPr>
                <w:rFonts w:hint="eastAsia" w:ascii="宋体" w:hAnsi="宋体" w:eastAsia="宋体" w:cs="宋体"/>
              </w:rPr>
              <w:t>具体技术(参数)要求</w:t>
            </w:r>
          </w:p>
        </w:tc>
      </w:tr>
      <w:tr w14:paraId="67B0B4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6" w:type="dxa"/>
          </w:tcPr>
          <w:p w14:paraId="0B78F775">
            <w:pPr>
              <w:rPr>
                <w:rFonts w:hint="eastAsia" w:ascii="宋体" w:hAnsi="宋体" w:eastAsia="宋体" w:cs="宋体"/>
              </w:rPr>
            </w:pPr>
          </w:p>
        </w:tc>
        <w:tc>
          <w:tcPr>
            <w:tcW w:w="1020" w:type="dxa"/>
          </w:tcPr>
          <w:p w14:paraId="1E782EB9">
            <w:pPr>
              <w:pStyle w:val="11"/>
              <w:rPr>
                <w:rFonts w:hint="eastAsia" w:ascii="宋体" w:hAnsi="宋体" w:eastAsia="宋体" w:cs="宋体"/>
              </w:rPr>
            </w:pPr>
            <w:r>
              <w:rPr>
                <w:rFonts w:hint="eastAsia" w:ascii="宋体" w:hAnsi="宋体" w:eastAsia="宋体" w:cs="宋体"/>
              </w:rPr>
              <w:t>1</w:t>
            </w:r>
          </w:p>
        </w:tc>
        <w:tc>
          <w:tcPr>
            <w:tcW w:w="6160" w:type="dxa"/>
          </w:tcPr>
          <w:p w14:paraId="7AED47B6">
            <w:pPr>
              <w:pStyle w:val="11"/>
              <w:jc w:val="both"/>
              <w:rPr>
                <w:rFonts w:hint="eastAsia" w:ascii="宋体" w:hAnsi="宋体" w:eastAsia="宋体" w:cs="宋体"/>
              </w:rPr>
            </w:pPr>
            <w:r>
              <w:rPr>
                <w:rFonts w:hint="eastAsia" w:ascii="宋体" w:hAnsi="宋体" w:eastAsia="宋体" w:cs="宋体"/>
                <w:b/>
                <w:bCs/>
                <w:sz w:val="21"/>
              </w:rPr>
              <w:t>采购需求</w:t>
            </w:r>
          </w:p>
        </w:tc>
      </w:tr>
      <w:tr w14:paraId="623AC8C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6" w:type="dxa"/>
          </w:tcPr>
          <w:p w14:paraId="792411EA">
            <w:pPr>
              <w:pStyle w:val="11"/>
              <w:rPr>
                <w:rFonts w:hint="eastAsia" w:ascii="宋体" w:hAnsi="宋体" w:eastAsia="宋体" w:cs="宋体"/>
              </w:rPr>
            </w:pPr>
            <w:r>
              <w:rPr>
                <w:rFonts w:hint="eastAsia" w:ascii="宋体" w:hAnsi="宋体" w:eastAsia="宋体" w:cs="宋体"/>
              </w:rPr>
              <w:t>说明</w:t>
            </w:r>
          </w:p>
        </w:tc>
        <w:tc>
          <w:tcPr>
            <w:tcW w:w="7180" w:type="dxa"/>
            <w:gridSpan w:val="2"/>
          </w:tcPr>
          <w:p w14:paraId="4D77848D">
            <w:pPr>
              <w:pStyle w:val="11"/>
              <w:jc w:val="left"/>
              <w:rPr>
                <w:rFonts w:hint="eastAsia" w:ascii="宋体" w:hAnsi="宋体" w:eastAsia="宋体" w:cs="宋体"/>
              </w:rPr>
            </w:pPr>
            <w:r>
              <w:rPr>
                <w:rFonts w:hint="eastAsia" w:ascii="宋体" w:hAnsi="宋体" w:eastAsia="宋体" w:cs="宋体"/>
              </w:rPr>
              <w:t xml:space="preserve">打“★”号条款为实质性条款，若有任何一条负偏离或不满足则导致投标无效。 </w:t>
            </w:r>
            <w:r>
              <w:rPr>
                <w:rFonts w:hint="eastAsia" w:ascii="宋体" w:hAnsi="宋体" w:eastAsia="宋体" w:cs="宋体"/>
              </w:rPr>
              <w:br w:type="textWrapping"/>
            </w:r>
            <w:r>
              <w:rPr>
                <w:rFonts w:hint="eastAsia" w:ascii="宋体" w:hAnsi="宋体" w:eastAsia="宋体" w:cs="宋体"/>
              </w:rPr>
              <w:t>打“▲”号条款为重要技术参数，若有部分“▲”条款未响应或不满足，不作为无效投标条款。</w:t>
            </w:r>
          </w:p>
        </w:tc>
      </w:tr>
    </w:tbl>
    <w:p w14:paraId="60CB3F1F">
      <w:pPr>
        <w:spacing w:line="360" w:lineRule="auto"/>
        <w:rPr>
          <w:rFonts w:hint="eastAsia" w:ascii="宋体" w:hAnsi="宋体" w:eastAsia="宋体" w:cs="宋体"/>
          <w:sz w:val="21"/>
          <w:szCs w:val="21"/>
        </w:rPr>
      </w:pP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72F37">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CA3909">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FCA3909">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F2184C"/>
    <w:rsid w:val="062477E4"/>
    <w:rsid w:val="092E4D8E"/>
    <w:rsid w:val="0CF27C68"/>
    <w:rsid w:val="0F24008A"/>
    <w:rsid w:val="1584373C"/>
    <w:rsid w:val="16DB1CB0"/>
    <w:rsid w:val="18251A52"/>
    <w:rsid w:val="186B3909"/>
    <w:rsid w:val="188E5849"/>
    <w:rsid w:val="195D6994"/>
    <w:rsid w:val="20E12712"/>
    <w:rsid w:val="24F2184C"/>
    <w:rsid w:val="25EB669A"/>
    <w:rsid w:val="304B08D9"/>
    <w:rsid w:val="32A01FA9"/>
    <w:rsid w:val="38A24CCD"/>
    <w:rsid w:val="39C742BF"/>
    <w:rsid w:val="3B186E77"/>
    <w:rsid w:val="3B7F4E52"/>
    <w:rsid w:val="3D87623F"/>
    <w:rsid w:val="3DE66E27"/>
    <w:rsid w:val="405F34A4"/>
    <w:rsid w:val="42FE0D52"/>
    <w:rsid w:val="44153672"/>
    <w:rsid w:val="4B337A07"/>
    <w:rsid w:val="4FCE5F50"/>
    <w:rsid w:val="4FD81C8B"/>
    <w:rsid w:val="53F10C40"/>
    <w:rsid w:val="5995282B"/>
    <w:rsid w:val="5AA34C22"/>
    <w:rsid w:val="5FF94923"/>
    <w:rsid w:val="66BE1E36"/>
    <w:rsid w:val="705636CC"/>
    <w:rsid w:val="72D66D46"/>
    <w:rsid w:val="74954427"/>
    <w:rsid w:val="779C12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pPr>
    <w:rPr>
      <w:rFonts w:ascii="Tahoma" w:hAnsi="Tahoma" w:eastAsia="微软雅黑" w:cstheme="minorBidi"/>
      <w:sz w:val="22"/>
      <w:szCs w:val="22"/>
      <w:lang w:val="en-US" w:eastAsia="zh-CN" w:bidi="ar-SA"/>
    </w:rPr>
  </w:style>
  <w:style w:type="paragraph" w:styleId="3">
    <w:name w:val="heading 1"/>
    <w:basedOn w:val="1"/>
    <w:next w:val="1"/>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toc 2"/>
    <w:basedOn w:val="1"/>
    <w:next w:val="1"/>
    <w:qFormat/>
    <w:uiPriority w:val="39"/>
    <w:pPr>
      <w:ind w:left="420" w:leftChars="200"/>
    </w:pPr>
    <w:rPr>
      <w:rFonts w:ascii="Calibri" w:hAnsi="Calibri" w:eastAsia="宋体" w:cs="Times New Roman"/>
    </w:r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Title"/>
    <w:basedOn w:val="1"/>
    <w:next w:val="1"/>
    <w:qFormat/>
    <w:uiPriority w:val="0"/>
    <w:pPr>
      <w:widowControl w:val="0"/>
      <w:autoSpaceDE w:val="0"/>
      <w:autoSpaceDN w:val="0"/>
      <w:snapToGrid/>
      <w:spacing w:before="240" w:after="60"/>
      <w:jc w:val="center"/>
      <w:outlineLvl w:val="0"/>
    </w:pPr>
    <w:rPr>
      <w:rFonts w:ascii="Cambria" w:hAnsi="Cambria" w:eastAsia="宋体" w:cs="Times New Roman"/>
      <w:b/>
      <w:bCs/>
      <w:sz w:val="32"/>
      <w:szCs w:val="32"/>
    </w:rPr>
  </w:style>
  <w:style w:type="paragraph" w:customStyle="1" w:styleId="11">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12414</Words>
  <Characters>12934</Characters>
  <Lines>0</Lines>
  <Paragraphs>0</Paragraphs>
  <TotalTime>27</TotalTime>
  <ScaleCrop>false</ScaleCrop>
  <LinksUpToDate>false</LinksUpToDate>
  <CharactersWithSpaces>12961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2025-04-07T06:31:00Z</dcterms:created>
  <dc:creator>代理机构</dc:creator>
  <cp:lastModifiedBy>梁华萍</cp:lastModifiedBy>
  <dcterms:modified xsi:type="dcterms:W3CDTF">2025-11-04T06:41:19Z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1A88E36FC0AA482694C08D2A932C6854_11</vt:lpwstr>
  </property>
  <property fmtid="{D5CDD505-2E9C-101B-9397-08002B2CF9AE}" pid="4" name="KSOTemplateDocerSaveRecord">
    <vt:lpwstr>eyJoZGlkIjoiNjA4YmZhMmI0ZTlhZDQzYmNmNWM2MmQ4ZjdkZDQ1OTUiLCJ1c2VySWQiOiIxNTE5MjQyNDAwIn0=</vt:lpwstr>
  </property>
</Properties>
</file>