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3C3D6">
      <w:pPr>
        <w:pStyle w:val="6"/>
        <w:jc w:val="center"/>
        <w:outlineLvl w:val="1"/>
        <w:rPr>
          <w:rFonts w:ascii="黑体" w:hAnsi="黑体" w:eastAsia="黑体" w:cs="黑体"/>
          <w:i w:val="0"/>
          <w:iCs w:val="0"/>
          <w:caps w:val="0"/>
          <w:color w:val="000000"/>
          <w:spacing w:val="0"/>
          <w:sz w:val="32"/>
          <w:szCs w:val="32"/>
        </w:rPr>
      </w:pPr>
      <w:bookmarkStart w:id="0" w:name="OLE_LINK7"/>
      <w:r>
        <w:rPr>
          <w:rFonts w:hint="eastAsia" w:ascii="黑体" w:hAnsi="黑体" w:eastAsia="黑体" w:cs="黑体"/>
          <w:i w:val="0"/>
          <w:iCs w:val="0"/>
          <w:caps w:val="0"/>
          <w:color w:val="000000"/>
          <w:spacing w:val="0"/>
          <w:sz w:val="32"/>
          <w:szCs w:val="32"/>
          <w:lang w:val="en-US" w:eastAsia="zh-CN"/>
        </w:rPr>
        <w:t>广东省人民医院</w:t>
      </w:r>
      <w:r>
        <w:rPr>
          <w:rFonts w:hint="eastAsia" w:ascii="黑体" w:hAnsi="黑体" w:eastAsia="黑体" w:cs="黑体"/>
          <w:i w:val="0"/>
          <w:iCs w:val="0"/>
          <w:caps w:val="0"/>
          <w:color w:val="000000"/>
          <w:spacing w:val="0"/>
          <w:sz w:val="32"/>
          <w:szCs w:val="32"/>
        </w:rPr>
        <w:t>2026年度核心业务类信息系统维护服务</w:t>
      </w:r>
      <w:r>
        <w:rPr>
          <w:rFonts w:ascii="黑体" w:hAnsi="黑体" w:eastAsia="黑体" w:cs="黑体"/>
          <w:i w:val="0"/>
          <w:iCs w:val="0"/>
          <w:caps w:val="0"/>
          <w:color w:val="000000"/>
          <w:spacing w:val="0"/>
          <w:sz w:val="32"/>
          <w:szCs w:val="32"/>
        </w:rPr>
        <w:t>项目需求</w:t>
      </w:r>
    </w:p>
    <w:bookmarkEnd w:id="0"/>
    <w:p w14:paraId="4413A4FE">
      <w:pPr>
        <w:pStyle w:val="6"/>
        <w:jc w:val="center"/>
        <w:outlineLvl w:val="1"/>
        <w:rPr>
          <w:rFonts w:ascii="宋体" w:hAnsi="宋体"/>
          <w:color w:val="auto"/>
          <w:highlight w:val="none"/>
        </w:rPr>
      </w:pPr>
    </w:p>
    <w:p w14:paraId="35F03C7F">
      <w:pPr>
        <w:pStyle w:val="2"/>
        <w:numPr>
          <w:ilvl w:val="0"/>
          <w:numId w:val="1"/>
        </w:numPr>
        <w:rPr>
          <w:color w:val="auto"/>
          <w:sz w:val="32"/>
          <w:szCs w:val="32"/>
          <w:highlight w:val="none"/>
        </w:rPr>
      </w:pPr>
      <w:r>
        <w:rPr>
          <w:rFonts w:hint="eastAsia"/>
          <w:color w:val="auto"/>
          <w:sz w:val="32"/>
          <w:szCs w:val="32"/>
          <w:highlight w:val="none"/>
          <w:lang w:val="en-US" w:eastAsia="zh-CN"/>
        </w:rPr>
        <w:t>项目名称</w:t>
      </w:r>
    </w:p>
    <w:p w14:paraId="7548FBCC">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i w:val="0"/>
          <w:iCs w:val="0"/>
          <w:caps w:val="0"/>
          <w:color w:val="auto"/>
          <w:spacing w:val="0"/>
          <w:sz w:val="24"/>
          <w:szCs w:val="24"/>
          <w:highlight w:val="none"/>
          <w:lang w:val="en-US" w:eastAsia="zh-CN"/>
        </w:rPr>
        <w:t>广东省人民医院</w:t>
      </w:r>
      <w:r>
        <w:rPr>
          <w:rFonts w:hint="eastAsia" w:cs="宋体" w:asciiTheme="minorEastAsia" w:hAnsiTheme="minorEastAsia" w:eastAsiaTheme="minorEastAsia"/>
          <w:i w:val="0"/>
          <w:iCs w:val="0"/>
          <w:caps w:val="0"/>
          <w:color w:val="auto"/>
          <w:spacing w:val="0"/>
          <w:sz w:val="24"/>
          <w:szCs w:val="24"/>
          <w:highlight w:val="none"/>
        </w:rPr>
        <w:t>2026年度核心业务类信息系统维护服务项目</w:t>
      </w:r>
    </w:p>
    <w:p w14:paraId="1A765F2A"/>
    <w:p w14:paraId="23C1FC75">
      <w:pPr>
        <w:pStyle w:val="2"/>
        <w:numPr>
          <w:ilvl w:val="0"/>
          <w:numId w:val="1"/>
        </w:numPr>
        <w:rPr>
          <w:color w:val="auto"/>
          <w:sz w:val="32"/>
          <w:szCs w:val="32"/>
          <w:highlight w:val="none"/>
        </w:rPr>
      </w:pPr>
      <w:r>
        <w:rPr>
          <w:color w:val="auto"/>
          <w:sz w:val="32"/>
          <w:szCs w:val="32"/>
          <w:highlight w:val="none"/>
        </w:rPr>
        <w:t>服务内容</w:t>
      </w:r>
    </w:p>
    <w:p w14:paraId="2A8CE153">
      <w:pPr>
        <w:numPr>
          <w:ilvl w:val="1"/>
          <w:numId w:val="2"/>
        </w:numPr>
        <w:tabs>
          <w:tab w:val="left" w:pos="1145"/>
        </w:tabs>
        <w:spacing w:line="360" w:lineRule="auto"/>
        <w:ind w:left="709" w:hanging="489"/>
        <w:jc w:val="left"/>
        <w:outlineLvl w:val="2"/>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用户简介</w:t>
      </w:r>
      <w:bookmarkStart w:id="5" w:name="_GoBack"/>
      <w:bookmarkEnd w:id="5"/>
    </w:p>
    <w:p w14:paraId="20657F85">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广东省人民医院是全国最大的集医疗、科研、教学、预防和保健于一体的综合性三甲医院之一，在全国同行业中名列前茅。</w:t>
      </w:r>
    </w:p>
    <w:p w14:paraId="58693C2D">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广东省人民医院信息管理系统（</w:t>
      </w:r>
      <w:r>
        <w:rPr>
          <w:rFonts w:cs="宋体" w:asciiTheme="minorEastAsia" w:hAnsiTheme="minorEastAsia" w:eastAsiaTheme="minorEastAsia"/>
          <w:color w:val="auto"/>
          <w:sz w:val="24"/>
          <w:highlight w:val="none"/>
        </w:rPr>
        <w:t>HIS</w:t>
      </w:r>
      <w:r>
        <w:rPr>
          <w:rFonts w:hint="eastAsia" w:cs="宋体" w:asciiTheme="minorEastAsia" w:hAnsiTheme="minorEastAsia" w:eastAsiaTheme="minorEastAsia"/>
          <w:color w:val="auto"/>
          <w:sz w:val="24"/>
          <w:highlight w:val="none"/>
        </w:rPr>
        <w:t>）覆盖医院经济管理、核算、库存、查询、统计等人财物流的各个领域。因此，医院的业务发展越来越需要信息系统的强有力支持。</w:t>
      </w:r>
    </w:p>
    <w:p w14:paraId="5F145B20">
      <w:pPr>
        <w:numPr>
          <w:ilvl w:val="1"/>
          <w:numId w:val="2"/>
        </w:numPr>
        <w:tabs>
          <w:tab w:val="left" w:pos="1145"/>
        </w:tabs>
        <w:spacing w:line="360" w:lineRule="auto"/>
        <w:ind w:left="709" w:hanging="489"/>
        <w:jc w:val="left"/>
        <w:outlineLvl w:val="2"/>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系统清单</w:t>
      </w:r>
    </w:p>
    <w:p w14:paraId="5E501B34">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广东省人民医院将购买医院信息系统各子系统的维护服务，目前广东省人民医院已在线运行的医院信息系统各子系统的模块及功能如下(简称“软件”）：</w:t>
      </w:r>
    </w:p>
    <w:p w14:paraId="6946C31E">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1.库房管理系统（含低值易耗品、被服、食品管理系统）</w:t>
      </w:r>
    </w:p>
    <w:p w14:paraId="05D52905">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2.综合查询系统</w:t>
      </w:r>
    </w:p>
    <w:p w14:paraId="094ED23C">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3.核算系统</w:t>
      </w:r>
    </w:p>
    <w:p w14:paraId="0FA688AE">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4.职工薪资管理系统</w:t>
      </w:r>
    </w:p>
    <w:p w14:paraId="7F1146D3">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5.财务系统</w:t>
      </w:r>
    </w:p>
    <w:p w14:paraId="705A69CC">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6.阳光用药监控平台</w:t>
      </w:r>
    </w:p>
    <w:p w14:paraId="6AB50AD4">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7.人员动态管理系统</w:t>
      </w:r>
    </w:p>
    <w:p w14:paraId="5F379C8B">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9.住院病人成本归集系统</w:t>
      </w:r>
    </w:p>
    <w:p w14:paraId="11D05E2C">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10.医院数据中心（一期）</w:t>
      </w:r>
    </w:p>
    <w:p w14:paraId="6FC958FE">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11.管理数据中心</w:t>
      </w:r>
    </w:p>
    <w:p w14:paraId="3EBC681C">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13.住院移动护理</w:t>
      </w:r>
    </w:p>
    <w:p w14:paraId="648653C9">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14.采购一体化智能管理系统</w:t>
      </w:r>
    </w:p>
    <w:p w14:paraId="70E15325">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15.健康码卡对接项目</w:t>
      </w:r>
    </w:p>
    <w:p w14:paraId="231475EA">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16.临床数据中心(二期）</w:t>
      </w:r>
      <w:r>
        <w:rPr>
          <w:rFonts w:hint="eastAsia" w:asciiTheme="minorEastAsia" w:hAnsiTheme="minorEastAsia" w:eastAsiaTheme="minorEastAsia"/>
          <w:color w:val="auto"/>
          <w:sz w:val="24"/>
          <w:highlight w:val="none"/>
          <w:lang w:val="en-US" w:eastAsia="zh-CN"/>
        </w:rPr>
        <w:t>之</w:t>
      </w:r>
      <w:r>
        <w:rPr>
          <w:rFonts w:hint="eastAsia" w:asciiTheme="minorEastAsia" w:hAnsiTheme="minorEastAsia" w:eastAsiaTheme="minorEastAsia"/>
          <w:color w:val="auto"/>
          <w:sz w:val="24"/>
          <w:highlight w:val="none"/>
        </w:rPr>
        <w:t>随访系统</w:t>
      </w:r>
    </w:p>
    <w:p w14:paraId="3B1A0B62">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17.省直医疗信息管理系统</w:t>
      </w:r>
    </w:p>
    <w:p w14:paraId="4786696F">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18.新一代HIS系统（含临床诊疗、电子病历、医疗管理、医技管理、药事管理、患者服务、运营管理、护理文书）</w:t>
      </w:r>
    </w:p>
    <w:p w14:paraId="7B7509B5">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19.非夜班移动护理</w:t>
      </w:r>
    </w:p>
    <w:p w14:paraId="0A3B5163">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20.抗菌药物科学化管理系统</w:t>
      </w:r>
    </w:p>
    <w:p w14:paraId="63319E1B">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21.广州市全面健康信息上报接口开发</w:t>
      </w:r>
    </w:p>
    <w:p w14:paraId="3C17E890">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22.智慧医疗建设服务软件及配套硬件（智能候诊信息系统、智慧人脸AI行政管理平台、智能管理驾驶舱）</w:t>
      </w:r>
    </w:p>
    <w:p w14:paraId="651B8CD8">
      <w:pPr>
        <w:pStyle w:val="7"/>
        <w:spacing w:line="360" w:lineRule="auto"/>
        <w:ind w:left="900" w:firstLine="0" w:firstLineChars="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23.慢病智能预警及会诊管理系统</w:t>
      </w:r>
    </w:p>
    <w:p w14:paraId="24601521">
      <w:pPr>
        <w:pStyle w:val="7"/>
        <w:spacing w:line="360" w:lineRule="auto"/>
        <w:ind w:left="900" w:firstLine="0" w:firstLineChars="0"/>
        <w:rPr>
          <w:rFonts w:hint="eastAsia" w:cs="宋体" w:asciiTheme="minorEastAsia" w:hAnsiTheme="minorEastAsia" w:eastAsiaTheme="minorEastAsia"/>
          <w:color w:val="auto"/>
          <w:sz w:val="24"/>
          <w:highlight w:val="none"/>
        </w:rPr>
      </w:pPr>
      <w:bookmarkStart w:id="1" w:name="OLE_LINK1"/>
      <w:r>
        <w:rPr>
          <w:rFonts w:hint="eastAsia" w:cs="宋体" w:asciiTheme="minorEastAsia" w:hAnsiTheme="minorEastAsia" w:eastAsiaTheme="minorEastAsia"/>
          <w:color w:val="auto"/>
          <w:sz w:val="24"/>
          <w:highlight w:val="none"/>
        </w:rPr>
        <w:t>服务内容包含上述系统所有功能与数据开发服务</w:t>
      </w:r>
      <w:bookmarkEnd w:id="1"/>
      <w:r>
        <w:rPr>
          <w:rFonts w:hint="eastAsia" w:cs="宋体" w:asciiTheme="minorEastAsia" w:hAnsiTheme="minorEastAsia" w:eastAsiaTheme="minorEastAsia"/>
          <w:color w:val="auto"/>
          <w:sz w:val="24"/>
          <w:highlight w:val="none"/>
        </w:rPr>
        <w:t>。（此处的“数据开发”是指数据统计、挖掘、数据分析等相关业务）</w:t>
      </w:r>
    </w:p>
    <w:p w14:paraId="77A68B04">
      <w:pPr>
        <w:numPr>
          <w:ilvl w:val="1"/>
          <w:numId w:val="2"/>
        </w:numPr>
        <w:tabs>
          <w:tab w:val="left" w:pos="1145"/>
        </w:tabs>
        <w:spacing w:line="360" w:lineRule="auto"/>
        <w:ind w:left="709" w:hanging="489"/>
        <w:jc w:val="left"/>
        <w:outlineLvl w:val="2"/>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项目内容</w:t>
      </w:r>
    </w:p>
    <w:p w14:paraId="2906298A">
      <w:pPr>
        <w:pStyle w:val="7"/>
        <w:ind w:left="900" w:firstLine="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本条款所界定的服务是指</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在“软件”运维过程中提供给采购人的服务，包括软件日常维护、修改调整、集成服务、系统集成服务、业务系统数据库维护服务、项目管理、需求分析服务。</w:t>
      </w:r>
      <w:r>
        <w:rPr>
          <w:rFonts w:hint="eastAsia"/>
          <w:color w:val="auto"/>
          <w:sz w:val="24"/>
          <w:highlight w:val="none"/>
          <w:lang w:val="en-US" w:eastAsia="zh-CN"/>
        </w:rPr>
        <w:t>其中</w:t>
      </w:r>
      <w:r>
        <w:rPr>
          <w:rFonts w:hint="eastAsia" w:asciiTheme="minorEastAsia" w:hAnsiTheme="minorEastAsia" w:eastAsiaTheme="minorEastAsia"/>
          <w:color w:val="auto"/>
          <w:sz w:val="24"/>
          <w:highlight w:val="none"/>
          <w:u w:val="single"/>
        </w:rPr>
        <w:t>库房管理系统</w:t>
      </w:r>
      <w:r>
        <w:rPr>
          <w:rFonts w:hint="eastAsia" w:asciiTheme="minorEastAsia" w:hAnsiTheme="minorEastAsia" w:eastAsiaTheme="minorEastAsia"/>
          <w:color w:val="auto"/>
          <w:sz w:val="24"/>
          <w:highlight w:val="none"/>
          <w:u w:val="single"/>
          <w:lang w:eastAsia="zh-CN"/>
        </w:rPr>
        <w:t>、</w:t>
      </w:r>
      <w:r>
        <w:rPr>
          <w:rFonts w:hint="eastAsia" w:asciiTheme="minorEastAsia" w:hAnsiTheme="minorEastAsia" w:eastAsiaTheme="minorEastAsia"/>
          <w:color w:val="auto"/>
          <w:sz w:val="24"/>
          <w:highlight w:val="none"/>
          <w:u w:val="single"/>
          <w:lang w:val="en-US" w:eastAsia="zh-CN"/>
        </w:rPr>
        <w:t>核算系统、</w:t>
      </w:r>
      <w:r>
        <w:rPr>
          <w:rFonts w:hint="eastAsia" w:asciiTheme="minorEastAsia" w:hAnsiTheme="minorEastAsia" w:eastAsiaTheme="minorEastAsia"/>
          <w:color w:val="auto"/>
          <w:sz w:val="24"/>
          <w:highlight w:val="none"/>
          <w:u w:val="single"/>
        </w:rPr>
        <w:t>职工薪资管理系统</w:t>
      </w:r>
      <w:r>
        <w:rPr>
          <w:rFonts w:hint="eastAsia" w:asciiTheme="minorEastAsia" w:hAnsiTheme="minorEastAsia" w:eastAsiaTheme="minorEastAsia"/>
          <w:color w:val="auto"/>
          <w:sz w:val="24"/>
          <w:highlight w:val="none"/>
          <w:u w:val="single"/>
          <w:lang w:eastAsia="zh-CN"/>
        </w:rPr>
        <w:t>、</w:t>
      </w:r>
      <w:r>
        <w:rPr>
          <w:rFonts w:hint="eastAsia" w:asciiTheme="minorEastAsia" w:hAnsiTheme="minorEastAsia" w:eastAsiaTheme="minorEastAsia"/>
          <w:color w:val="auto"/>
          <w:sz w:val="24"/>
          <w:highlight w:val="none"/>
          <w:u w:val="single"/>
        </w:rPr>
        <w:t>财务系统</w:t>
      </w:r>
      <w:r>
        <w:rPr>
          <w:rFonts w:hint="eastAsia" w:asciiTheme="minorEastAsia" w:hAnsiTheme="minorEastAsia" w:eastAsiaTheme="minorEastAsia"/>
          <w:color w:val="auto"/>
          <w:sz w:val="24"/>
          <w:highlight w:val="none"/>
          <w:u w:val="single"/>
          <w:lang w:eastAsia="zh-CN"/>
        </w:rPr>
        <w:t>、</w:t>
      </w:r>
      <w:r>
        <w:rPr>
          <w:rFonts w:hint="eastAsia" w:asciiTheme="minorEastAsia" w:hAnsiTheme="minorEastAsia" w:eastAsiaTheme="minorEastAsia"/>
          <w:color w:val="auto"/>
          <w:sz w:val="24"/>
          <w:highlight w:val="none"/>
          <w:u w:val="single"/>
        </w:rPr>
        <w:t>住院病人成本归集系统</w:t>
      </w:r>
      <w:r>
        <w:rPr>
          <w:rFonts w:hint="eastAsia" w:asciiTheme="minorEastAsia" w:hAnsiTheme="minorEastAsia" w:eastAsiaTheme="minorEastAsia"/>
          <w:color w:val="auto"/>
          <w:sz w:val="24"/>
          <w:highlight w:val="none"/>
          <w:u w:val="single"/>
          <w:lang w:eastAsia="zh-CN"/>
        </w:rPr>
        <w:t>、</w:t>
      </w:r>
      <w:r>
        <w:rPr>
          <w:rFonts w:hint="eastAsia" w:asciiTheme="minorEastAsia" w:hAnsiTheme="minorEastAsia" w:eastAsiaTheme="minorEastAsia"/>
          <w:color w:val="auto"/>
          <w:sz w:val="24"/>
          <w:highlight w:val="none"/>
          <w:u w:val="single"/>
        </w:rPr>
        <w:t>临床数据中心(二期）</w:t>
      </w:r>
      <w:r>
        <w:rPr>
          <w:rFonts w:hint="eastAsia" w:asciiTheme="minorEastAsia" w:hAnsiTheme="minorEastAsia" w:eastAsiaTheme="minorEastAsia"/>
          <w:color w:val="auto"/>
          <w:sz w:val="24"/>
          <w:highlight w:val="none"/>
          <w:u w:val="single"/>
          <w:lang w:val="en-US" w:eastAsia="zh-CN"/>
        </w:rPr>
        <w:t>之</w:t>
      </w:r>
      <w:r>
        <w:rPr>
          <w:rFonts w:hint="eastAsia" w:asciiTheme="minorEastAsia" w:hAnsiTheme="minorEastAsia" w:eastAsiaTheme="minorEastAsia"/>
          <w:color w:val="auto"/>
          <w:sz w:val="24"/>
          <w:highlight w:val="none"/>
          <w:u w:val="single"/>
        </w:rPr>
        <w:t>随访系统</w:t>
      </w:r>
      <w:r>
        <w:rPr>
          <w:rFonts w:hint="eastAsia" w:asciiTheme="minorEastAsia" w:hAnsiTheme="minorEastAsia" w:eastAsiaTheme="minorEastAsia"/>
          <w:color w:val="auto"/>
          <w:sz w:val="24"/>
          <w:highlight w:val="none"/>
          <w:u w:val="single"/>
          <w:lang w:eastAsia="zh-CN"/>
        </w:rPr>
        <w:t>、</w:t>
      </w:r>
      <w:r>
        <w:rPr>
          <w:rFonts w:hint="eastAsia" w:asciiTheme="minorEastAsia" w:hAnsiTheme="minorEastAsia" w:eastAsiaTheme="minorEastAsia"/>
          <w:color w:val="auto"/>
          <w:sz w:val="24"/>
          <w:highlight w:val="none"/>
          <w:u w:val="single"/>
        </w:rPr>
        <w:t>慢病智能预警及会诊管理系统</w:t>
      </w:r>
      <w:r>
        <w:rPr>
          <w:rFonts w:hint="eastAsia" w:asciiTheme="minorEastAsia" w:hAnsiTheme="minorEastAsia" w:eastAsiaTheme="minorEastAsia"/>
          <w:color w:val="auto"/>
          <w:sz w:val="24"/>
          <w:highlight w:val="none"/>
          <w:lang w:val="en-US" w:eastAsia="zh-CN"/>
        </w:rPr>
        <w:t>仅需日常维护。</w:t>
      </w:r>
      <w:r>
        <w:rPr>
          <w:rFonts w:hint="eastAsia" w:cs="宋体" w:asciiTheme="minorEastAsia" w:hAnsiTheme="minorEastAsia" w:eastAsiaTheme="minorEastAsia"/>
          <w:color w:val="auto"/>
          <w:sz w:val="24"/>
          <w:highlight w:val="none"/>
        </w:rPr>
        <w:t>在本项目服务期内，由</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开发的新项目和新系统验收后，自动转入本项目进行维护，不再另行签订合同和收费。</w:t>
      </w:r>
    </w:p>
    <w:p w14:paraId="0E7F75D2">
      <w:pPr>
        <w:pStyle w:val="7"/>
        <w:keepNext/>
        <w:keepLines/>
        <w:numPr>
          <w:ilvl w:val="0"/>
          <w:numId w:val="3"/>
        </w:numPr>
        <w:spacing w:line="578" w:lineRule="auto"/>
        <w:ind w:firstLineChars="0"/>
        <w:outlineLvl w:val="0"/>
        <w:rPr>
          <w:rFonts w:hint="eastAsia" w:ascii="宋体" w:hAnsi="宋体"/>
          <w:b/>
          <w:bCs/>
          <w:vanish/>
          <w:color w:val="auto"/>
          <w:kern w:val="44"/>
          <w:sz w:val="44"/>
          <w:szCs w:val="44"/>
          <w:highlight w:val="none"/>
        </w:rPr>
      </w:pPr>
    </w:p>
    <w:p w14:paraId="49D8D301">
      <w:pPr>
        <w:pStyle w:val="7"/>
        <w:keepNext/>
        <w:keepLines/>
        <w:numPr>
          <w:ilvl w:val="0"/>
          <w:numId w:val="3"/>
        </w:numPr>
        <w:spacing w:line="578" w:lineRule="auto"/>
        <w:ind w:firstLineChars="0"/>
        <w:outlineLvl w:val="0"/>
        <w:rPr>
          <w:rFonts w:hint="eastAsia" w:ascii="宋体" w:hAnsi="宋体"/>
          <w:b/>
          <w:bCs/>
          <w:vanish/>
          <w:color w:val="auto"/>
          <w:kern w:val="44"/>
          <w:sz w:val="44"/>
          <w:szCs w:val="44"/>
          <w:highlight w:val="none"/>
        </w:rPr>
      </w:pPr>
    </w:p>
    <w:p w14:paraId="5A0EAED2">
      <w:pPr>
        <w:pStyle w:val="7"/>
        <w:keepNext/>
        <w:keepLines/>
        <w:numPr>
          <w:ilvl w:val="0"/>
          <w:numId w:val="3"/>
        </w:numPr>
        <w:spacing w:line="578" w:lineRule="auto"/>
        <w:ind w:firstLineChars="0"/>
        <w:outlineLvl w:val="0"/>
        <w:rPr>
          <w:rFonts w:hint="eastAsia" w:ascii="宋体" w:hAnsi="宋体"/>
          <w:b/>
          <w:bCs/>
          <w:vanish/>
          <w:color w:val="auto"/>
          <w:kern w:val="44"/>
          <w:sz w:val="44"/>
          <w:szCs w:val="44"/>
          <w:highlight w:val="none"/>
        </w:rPr>
      </w:pPr>
    </w:p>
    <w:p w14:paraId="5CA33D75">
      <w:pPr>
        <w:pStyle w:val="7"/>
        <w:keepNext/>
        <w:keepLines/>
        <w:numPr>
          <w:ilvl w:val="1"/>
          <w:numId w:val="3"/>
        </w:numPr>
        <w:spacing w:line="578" w:lineRule="auto"/>
        <w:ind w:firstLineChars="0"/>
        <w:outlineLvl w:val="0"/>
        <w:rPr>
          <w:rFonts w:hint="eastAsia" w:ascii="宋体" w:hAnsi="宋体"/>
          <w:b/>
          <w:bCs/>
          <w:vanish/>
          <w:color w:val="auto"/>
          <w:kern w:val="44"/>
          <w:sz w:val="44"/>
          <w:szCs w:val="44"/>
          <w:highlight w:val="none"/>
        </w:rPr>
      </w:pPr>
    </w:p>
    <w:p w14:paraId="44884548">
      <w:pPr>
        <w:numPr>
          <w:ilvl w:val="0"/>
          <w:numId w:val="4"/>
        </w:numPr>
        <w:tabs>
          <w:tab w:val="left" w:pos="0"/>
        </w:tabs>
        <w:spacing w:before="120" w:beforeLines="50" w:line="360" w:lineRule="auto"/>
        <w:ind w:left="0" w:firstLine="422" w:firstLineChars="200"/>
        <w:outlineLvl w:val="3"/>
        <w:rPr>
          <w:rFonts w:hint="eastAsia" w:ascii="宋体" w:hAnsi="宋体"/>
          <w:b/>
          <w:color w:val="auto"/>
          <w:szCs w:val="21"/>
          <w:highlight w:val="none"/>
        </w:rPr>
      </w:pPr>
      <w:r>
        <w:rPr>
          <w:rFonts w:hint="eastAsia" w:ascii="宋体" w:hAnsi="宋体"/>
          <w:b/>
          <w:color w:val="auto"/>
          <w:szCs w:val="21"/>
          <w:highlight w:val="none"/>
        </w:rPr>
        <w:t>日常维护</w:t>
      </w:r>
    </w:p>
    <w:p w14:paraId="5F5FCD52">
      <w:pPr>
        <w:numPr>
          <w:ilvl w:val="0"/>
          <w:numId w:val="5"/>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稳定运行保障</w:t>
      </w:r>
    </w:p>
    <w:p w14:paraId="5799BA05">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制定和调整系统检查和维护方案，保证在用各系统及其功能的完整及正确性，能承受不断增加的业务和数据压力，保证系统运行的高效、稳定。</w:t>
      </w:r>
    </w:p>
    <w:p w14:paraId="1AD7804E">
      <w:pPr>
        <w:numPr>
          <w:ilvl w:val="0"/>
          <w:numId w:val="5"/>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系统错误修复</w:t>
      </w:r>
    </w:p>
    <w:p w14:paraId="460FFAC8">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系统在使用过程中发现的错误，在2个工作日完成修复。</w:t>
      </w:r>
    </w:p>
    <w:p w14:paraId="4D32E4AC">
      <w:pPr>
        <w:numPr>
          <w:ilvl w:val="0"/>
          <w:numId w:val="5"/>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系统数据修复</w:t>
      </w:r>
    </w:p>
    <w:p w14:paraId="5D58A47A">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系统使用过程中，因用户误操作等原因导致的数据错误，查明原因和进行数据修复。在5个工作日完成修复。</w:t>
      </w:r>
    </w:p>
    <w:p w14:paraId="448BA6AB">
      <w:pPr>
        <w:numPr>
          <w:ilvl w:val="0"/>
          <w:numId w:val="5"/>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实施培训</w:t>
      </w:r>
    </w:p>
    <w:p w14:paraId="11C0AED1">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负责因各种原因变化增加的项目实施和人员培训工作。</w:t>
      </w:r>
    </w:p>
    <w:p w14:paraId="7030CAE1">
      <w:pPr>
        <w:numPr>
          <w:ilvl w:val="0"/>
          <w:numId w:val="4"/>
        </w:numPr>
        <w:tabs>
          <w:tab w:val="left" w:pos="0"/>
        </w:tabs>
        <w:spacing w:before="120" w:beforeLines="50" w:line="360" w:lineRule="auto"/>
        <w:ind w:left="0" w:firstLine="422" w:firstLineChars="200"/>
        <w:outlineLvl w:val="3"/>
        <w:rPr>
          <w:rFonts w:hint="eastAsia" w:ascii="宋体" w:hAnsi="宋体"/>
          <w:b/>
          <w:color w:val="auto"/>
          <w:szCs w:val="21"/>
          <w:highlight w:val="none"/>
        </w:rPr>
      </w:pPr>
      <w:r>
        <w:rPr>
          <w:rFonts w:hint="eastAsia" w:ascii="宋体" w:hAnsi="宋体"/>
          <w:b/>
          <w:color w:val="auto"/>
          <w:szCs w:val="21"/>
          <w:highlight w:val="none"/>
        </w:rPr>
        <w:t>修改调整</w:t>
      </w:r>
    </w:p>
    <w:p w14:paraId="4897DC9B">
      <w:pPr>
        <w:spacing w:line="360" w:lineRule="auto"/>
        <w:ind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根据采购人的要求改进或扩充信息系统使其更完善、适应环境的变化，并将这些修改调整加以实施、培训、后续服务。</w:t>
      </w:r>
    </w:p>
    <w:p w14:paraId="53B6F4C0">
      <w:pPr>
        <w:spacing w:line="360" w:lineRule="auto"/>
        <w:ind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针对采购人提出的功能调整，</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需进行</w:t>
      </w:r>
      <w:r>
        <w:rPr>
          <w:rFonts w:hint="eastAsia" w:cs="宋体" w:asciiTheme="minorEastAsia" w:hAnsiTheme="minorEastAsia" w:eastAsiaTheme="minorEastAsia"/>
          <w:color w:val="auto"/>
          <w:sz w:val="24"/>
          <w:highlight w:val="none"/>
        </w:rPr>
        <w:t>日常需求调研、需求文档整理、软件功能开发及功能调整。程序更换前测试、更换程序期间以及更换程序后的维护服务。</w:t>
      </w:r>
    </w:p>
    <w:p w14:paraId="0F2BA39A">
      <w:pPr>
        <w:spacing w:line="360" w:lineRule="auto"/>
        <w:ind w:firstLine="480" w:firstLineChars="200"/>
        <w:rPr>
          <w:rFonts w:hint="eastAsia" w:ascii="宋体" w:hAnsi="宋体"/>
          <w:color w:val="auto"/>
          <w:szCs w:val="21"/>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根据采购人所提出的需求，对软件进行本地化修改过程中，涉及数据库表结构，视图以及存储过程的变更，需要通过采购人信息部门的评审，评审通过后方可修改。</w:t>
      </w:r>
    </w:p>
    <w:p w14:paraId="4E5A36AA">
      <w:pPr>
        <w:numPr>
          <w:ilvl w:val="0"/>
          <w:numId w:val="6"/>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完善性调整</w:t>
      </w:r>
    </w:p>
    <w:p w14:paraId="49D89FE1">
      <w:pPr>
        <w:numPr>
          <w:ilvl w:val="0"/>
          <w:numId w:val="7"/>
        </w:numPr>
        <w:spacing w:line="360" w:lineRule="auto"/>
        <w:ind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支持为达致符合政府规范、要求所必须进行的修改。</w:t>
      </w:r>
    </w:p>
    <w:p w14:paraId="5A6B9FC1">
      <w:pPr>
        <w:numPr>
          <w:ilvl w:val="0"/>
          <w:numId w:val="7"/>
        </w:numPr>
        <w:spacing w:line="360" w:lineRule="auto"/>
        <w:ind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在系统结构允许的范围内，根据采购人管理和业务变化做出必要的流程变更、功能新增、调整和修改，执行和实施信息系统软件升级。</w:t>
      </w:r>
    </w:p>
    <w:p w14:paraId="766474BF">
      <w:pPr>
        <w:numPr>
          <w:ilvl w:val="0"/>
          <w:numId w:val="7"/>
        </w:num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满足采购人对外数据上报接口的修改。</w:t>
      </w:r>
    </w:p>
    <w:p w14:paraId="0434788B">
      <w:pPr>
        <w:numPr>
          <w:ilvl w:val="0"/>
          <w:numId w:val="6"/>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适应性调整</w:t>
      </w:r>
    </w:p>
    <w:p w14:paraId="2E7CC2EC">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维护期内，信息系统的应适应支撑系统软件（包括服务器端、客户端），如操作系统、数据库系统、浏览器等发生改变而做相应的调整。</w:t>
      </w:r>
    </w:p>
    <w:p w14:paraId="0A004507">
      <w:pPr>
        <w:numPr>
          <w:ilvl w:val="0"/>
          <w:numId w:val="6"/>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安全要求调整</w:t>
      </w:r>
    </w:p>
    <w:p w14:paraId="33A7C540">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当现有系统存在安全漏洞时，</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必须及时整改修复。相关费用已包含在投标报价中，采购人不再另行支付。</w:t>
      </w:r>
    </w:p>
    <w:p w14:paraId="7242B544">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采购人每年进行系统等保复测，</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必须按等保复测提出的整改要求及时完成系统整改。</w:t>
      </w:r>
    </w:p>
    <w:p w14:paraId="6AEE135B">
      <w:pPr>
        <w:numPr>
          <w:ilvl w:val="0"/>
          <w:numId w:val="6"/>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配合国产化改造测试</w:t>
      </w:r>
    </w:p>
    <w:p w14:paraId="05538A36">
      <w:pPr>
        <w:spacing w:line="360" w:lineRule="auto"/>
        <w:ind w:left="480"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配合采购人对数据库、操作系统、中间件、客户端电脑进行</w:t>
      </w:r>
      <w:r>
        <w:rPr>
          <w:rFonts w:hint="eastAsia" w:asciiTheme="minorEastAsia" w:hAnsiTheme="minorEastAsia" w:eastAsiaTheme="minorEastAsia"/>
          <w:color w:val="auto"/>
          <w:sz w:val="24"/>
          <w:highlight w:val="none"/>
        </w:rPr>
        <w:t>国产化</w:t>
      </w:r>
      <w:r>
        <w:rPr>
          <w:rFonts w:hint="eastAsia" w:cs="宋体" w:asciiTheme="minorEastAsia" w:hAnsiTheme="minorEastAsia" w:eastAsiaTheme="minorEastAsia"/>
          <w:color w:val="auto"/>
          <w:sz w:val="24"/>
          <w:highlight w:val="none"/>
        </w:rPr>
        <w:t>改造测试工作，与采购人一起优化</w:t>
      </w:r>
      <w:r>
        <w:rPr>
          <w:rFonts w:hint="eastAsia" w:asciiTheme="minorEastAsia" w:hAnsiTheme="minorEastAsia" w:eastAsiaTheme="minorEastAsia"/>
          <w:color w:val="auto"/>
          <w:sz w:val="24"/>
          <w:highlight w:val="none"/>
        </w:rPr>
        <w:t>国产化</w:t>
      </w:r>
      <w:r>
        <w:rPr>
          <w:rFonts w:hint="eastAsia" w:cs="宋体" w:asciiTheme="minorEastAsia" w:hAnsiTheme="minorEastAsia" w:eastAsiaTheme="minorEastAsia"/>
          <w:color w:val="auto"/>
          <w:sz w:val="24"/>
          <w:highlight w:val="none"/>
        </w:rPr>
        <w:t>环境下的系统性能。</w:t>
      </w:r>
    </w:p>
    <w:p w14:paraId="03538089">
      <w:pPr>
        <w:numPr>
          <w:ilvl w:val="0"/>
          <w:numId w:val="4"/>
        </w:numPr>
        <w:tabs>
          <w:tab w:val="left" w:pos="0"/>
        </w:tabs>
        <w:spacing w:before="120" w:beforeLines="50" w:line="360" w:lineRule="auto"/>
        <w:ind w:left="0" w:firstLine="422" w:firstLineChars="200"/>
        <w:outlineLvl w:val="3"/>
        <w:rPr>
          <w:rFonts w:hint="eastAsia" w:ascii="宋体" w:hAnsi="宋体"/>
          <w:b/>
          <w:color w:val="auto"/>
          <w:szCs w:val="21"/>
          <w:highlight w:val="none"/>
        </w:rPr>
      </w:pPr>
      <w:r>
        <w:rPr>
          <w:rFonts w:hint="eastAsia" w:ascii="宋体" w:hAnsi="宋体"/>
          <w:b/>
          <w:color w:val="auto"/>
          <w:szCs w:val="21"/>
          <w:highlight w:val="none"/>
        </w:rPr>
        <w:t>集成维护</w:t>
      </w:r>
    </w:p>
    <w:p w14:paraId="2188515E">
      <w:pPr>
        <w:numPr>
          <w:ilvl w:val="0"/>
          <w:numId w:val="8"/>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在本项目服务期内，</w:t>
      </w:r>
      <w:r>
        <w:rPr>
          <w:rFonts w:hint="eastAsia" w:cs="宋体" w:asciiTheme="minorEastAsia" w:hAnsiTheme="minorEastAsia" w:eastAsiaTheme="minorEastAsia"/>
          <w:color w:val="auto"/>
          <w:sz w:val="24"/>
          <w:highlight w:val="none"/>
        </w:rPr>
        <w:t>采购人</w:t>
      </w:r>
      <w:r>
        <w:rPr>
          <w:rFonts w:hint="eastAsia" w:asciiTheme="minorEastAsia" w:hAnsiTheme="minorEastAsia" w:eastAsiaTheme="minorEastAsia"/>
          <w:color w:val="auto"/>
          <w:sz w:val="24"/>
          <w:highlight w:val="none"/>
        </w:rPr>
        <w:t>购买的第三方软件需要集成到合同项目范围内的系统模块时，</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负责完成软件的接口开发工作。</w:t>
      </w:r>
    </w:p>
    <w:p w14:paraId="2A21982E">
      <w:pPr>
        <w:numPr>
          <w:ilvl w:val="0"/>
          <w:numId w:val="8"/>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在本项目服务期内，对维护范围内的系统、在系统结构允许范围内，按采购人要求提供数据开发服务。</w:t>
      </w:r>
    </w:p>
    <w:p w14:paraId="1AF0E494">
      <w:pPr>
        <w:numPr>
          <w:ilvl w:val="0"/>
          <w:numId w:val="4"/>
        </w:numPr>
        <w:tabs>
          <w:tab w:val="left" w:pos="0"/>
        </w:tabs>
        <w:spacing w:before="120" w:beforeLines="50" w:line="360" w:lineRule="auto"/>
        <w:ind w:left="0" w:firstLine="422" w:firstLineChars="200"/>
        <w:outlineLvl w:val="3"/>
        <w:rPr>
          <w:rFonts w:hint="eastAsia" w:ascii="宋体" w:hAnsi="宋体"/>
          <w:b/>
          <w:color w:val="auto"/>
          <w:szCs w:val="21"/>
          <w:highlight w:val="none"/>
        </w:rPr>
      </w:pPr>
      <w:r>
        <w:rPr>
          <w:rFonts w:hint="eastAsia" w:ascii="宋体" w:hAnsi="宋体"/>
          <w:b/>
          <w:color w:val="auto"/>
          <w:szCs w:val="21"/>
          <w:highlight w:val="none"/>
        </w:rPr>
        <w:t>系统集成服务</w:t>
      </w:r>
      <w:r>
        <w:rPr>
          <w:rFonts w:hint="eastAsia" w:cs="宋体" w:asciiTheme="minorEastAsia" w:hAnsiTheme="minorEastAsia" w:eastAsiaTheme="minorEastAsia"/>
          <w:color w:val="auto"/>
          <w:sz w:val="24"/>
          <w:highlight w:val="none"/>
        </w:rPr>
        <w:t>（指服务器硬件和系统软件集成服务）</w:t>
      </w:r>
    </w:p>
    <w:p w14:paraId="63254C89">
      <w:pPr>
        <w:numPr>
          <w:ilvl w:val="0"/>
          <w:numId w:val="9"/>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系统维护：负责对合同项目范围内的系统模块所包含的自建应用服务以及相关中间件的管理、监控和维护；协助</w:t>
      </w:r>
      <w:r>
        <w:rPr>
          <w:rFonts w:hint="eastAsia" w:cs="宋体" w:asciiTheme="minorEastAsia" w:hAnsiTheme="minorEastAsia" w:eastAsiaTheme="minorEastAsia"/>
          <w:color w:val="auto"/>
          <w:sz w:val="24"/>
          <w:highlight w:val="none"/>
        </w:rPr>
        <w:t>采购人</w:t>
      </w:r>
      <w:r>
        <w:rPr>
          <w:rFonts w:hint="eastAsia" w:asciiTheme="minorEastAsia" w:hAnsiTheme="minorEastAsia" w:eastAsiaTheme="minorEastAsia"/>
          <w:color w:val="auto"/>
          <w:sz w:val="24"/>
          <w:highlight w:val="none"/>
        </w:rPr>
        <w:t>对操作系统、数据库系统平台软件的管理、监控和维护。</w:t>
      </w:r>
    </w:p>
    <w:p w14:paraId="63D3C19A">
      <w:pPr>
        <w:numPr>
          <w:ilvl w:val="0"/>
          <w:numId w:val="9"/>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系统安全：协助</w:t>
      </w:r>
      <w:r>
        <w:rPr>
          <w:rFonts w:hint="eastAsia" w:cs="宋体" w:asciiTheme="minorEastAsia" w:hAnsiTheme="minorEastAsia" w:eastAsiaTheme="minorEastAsia"/>
          <w:color w:val="auto"/>
          <w:sz w:val="24"/>
          <w:highlight w:val="none"/>
        </w:rPr>
        <w:t>采购人</w:t>
      </w:r>
      <w:r>
        <w:rPr>
          <w:rFonts w:hint="eastAsia" w:asciiTheme="minorEastAsia" w:hAnsiTheme="minorEastAsia" w:eastAsiaTheme="minorEastAsia"/>
          <w:color w:val="auto"/>
          <w:sz w:val="24"/>
          <w:highlight w:val="none"/>
        </w:rPr>
        <w:t>信息系统安全性方案的总体规划、设计和监控。</w:t>
      </w:r>
    </w:p>
    <w:p w14:paraId="2D564C8B">
      <w:pPr>
        <w:numPr>
          <w:ilvl w:val="0"/>
          <w:numId w:val="9"/>
        </w:numPr>
        <w:spacing w:line="360" w:lineRule="auto"/>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数据备份：协助</w:t>
      </w:r>
      <w:r>
        <w:rPr>
          <w:rFonts w:hint="eastAsia" w:cs="宋体" w:asciiTheme="minorEastAsia" w:hAnsiTheme="minorEastAsia" w:eastAsiaTheme="minorEastAsia"/>
          <w:color w:val="auto"/>
          <w:sz w:val="24"/>
          <w:highlight w:val="none"/>
        </w:rPr>
        <w:t>采购人</w:t>
      </w:r>
      <w:r>
        <w:rPr>
          <w:rFonts w:hint="eastAsia" w:asciiTheme="minorEastAsia" w:hAnsiTheme="minorEastAsia" w:eastAsiaTheme="minorEastAsia"/>
          <w:color w:val="auto"/>
          <w:sz w:val="24"/>
          <w:highlight w:val="none"/>
        </w:rPr>
        <w:t>数据备份包括实时备份和系统安全性方案的设计和实施。</w:t>
      </w:r>
    </w:p>
    <w:p w14:paraId="6367724B">
      <w:pPr>
        <w:numPr>
          <w:ilvl w:val="0"/>
          <w:numId w:val="4"/>
        </w:numPr>
        <w:tabs>
          <w:tab w:val="left" w:pos="0"/>
        </w:tabs>
        <w:spacing w:before="120" w:beforeLines="50" w:line="360" w:lineRule="auto"/>
        <w:ind w:left="0" w:firstLine="482" w:firstLineChars="200"/>
        <w:outlineLvl w:val="3"/>
        <w:rPr>
          <w:rFonts w:hint="eastAsia" w:asciiTheme="minorEastAsia" w:hAnsiTheme="minorEastAsia" w:eastAsiaTheme="minorEastAsia"/>
          <w:b/>
          <w:color w:val="auto"/>
          <w:sz w:val="24"/>
          <w:highlight w:val="none"/>
        </w:rPr>
      </w:pPr>
      <w:r>
        <w:rPr>
          <w:rFonts w:hint="eastAsia" w:cs="宋体" w:asciiTheme="minorEastAsia" w:hAnsiTheme="minorEastAsia" w:eastAsiaTheme="minorEastAsia"/>
          <w:b/>
          <w:color w:val="auto"/>
          <w:sz w:val="24"/>
          <w:highlight w:val="none"/>
        </w:rPr>
        <w:t>业务系统数据库维护</w:t>
      </w:r>
    </w:p>
    <w:p w14:paraId="28651FBE">
      <w:pPr>
        <w:pStyle w:val="7"/>
        <w:numPr>
          <w:ilvl w:val="0"/>
          <w:numId w:val="10"/>
        </w:numPr>
        <w:spacing w:line="360" w:lineRule="auto"/>
        <w:ind w:firstLine="42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业务数据库巡检：</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必须在每月对维护范围内的业务数据库进行一次巡检，包括业务运行情况、存储空间情况、业务数据库运行情况，</w:t>
      </w:r>
      <w:r>
        <w:rPr>
          <w:rFonts w:cs="宋体" w:asciiTheme="minorEastAsia" w:hAnsiTheme="minorEastAsia" w:eastAsiaTheme="minorEastAsia"/>
          <w:color w:val="auto"/>
          <w:sz w:val="24"/>
          <w:highlight w:val="none"/>
        </w:rPr>
        <w:t>并提交巡检报告</w:t>
      </w:r>
      <w:r>
        <w:rPr>
          <w:rFonts w:hint="eastAsia" w:cs="宋体" w:asciiTheme="minorEastAsia" w:hAnsiTheme="minorEastAsia" w:eastAsiaTheme="minorEastAsia"/>
          <w:color w:val="auto"/>
          <w:sz w:val="24"/>
          <w:highlight w:val="none"/>
        </w:rPr>
        <w:t>。</w:t>
      </w:r>
    </w:p>
    <w:p w14:paraId="3F918346">
      <w:pPr>
        <w:pStyle w:val="7"/>
        <w:numPr>
          <w:ilvl w:val="0"/>
          <w:numId w:val="10"/>
        </w:numPr>
        <w:spacing w:line="360" w:lineRule="auto"/>
        <w:ind w:firstLine="42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配合数据库维护：配合采购人完成数据库系统升级、维护</w:t>
      </w:r>
      <w:r>
        <w:rPr>
          <w:rFonts w:hint="eastAsia" w:cs="宋体" w:asciiTheme="minorEastAsia" w:hAnsiTheme="minorEastAsia" w:eastAsiaTheme="minorEastAsia"/>
          <w:color w:val="auto"/>
          <w:sz w:val="24"/>
          <w:highlight w:val="none"/>
          <w:lang w:eastAsia="zh-CN"/>
        </w:rPr>
        <w:t>、</w:t>
      </w:r>
      <w:r>
        <w:rPr>
          <w:rFonts w:hint="eastAsia" w:cs="宋体" w:asciiTheme="minorEastAsia" w:hAnsiTheme="minorEastAsia" w:eastAsiaTheme="minorEastAsia"/>
          <w:color w:val="auto"/>
          <w:sz w:val="24"/>
          <w:highlight w:val="none"/>
          <w:lang w:val="en-US" w:eastAsia="zh-CN"/>
        </w:rPr>
        <w:t>容灾</w:t>
      </w:r>
      <w:r>
        <w:rPr>
          <w:rFonts w:hint="eastAsia" w:cs="宋体" w:asciiTheme="minorEastAsia" w:hAnsiTheme="minorEastAsia" w:eastAsiaTheme="minorEastAsia"/>
          <w:color w:val="auto"/>
          <w:sz w:val="24"/>
          <w:highlight w:val="none"/>
        </w:rPr>
        <w:t>等工作，提供业务层面的技术支持。处理</w:t>
      </w:r>
      <w:r>
        <w:rPr>
          <w:rFonts w:cs="宋体" w:asciiTheme="minorEastAsia" w:hAnsiTheme="minorEastAsia" w:eastAsiaTheme="minorEastAsia"/>
          <w:color w:val="auto"/>
          <w:sz w:val="24"/>
          <w:highlight w:val="none"/>
        </w:rPr>
        <w:t>数据库日常报错</w:t>
      </w:r>
      <w:r>
        <w:rPr>
          <w:rFonts w:hint="eastAsia" w:cs="宋体" w:asciiTheme="minorEastAsia" w:hAnsiTheme="minorEastAsia" w:eastAsiaTheme="minorEastAsia"/>
          <w:color w:val="auto"/>
          <w:sz w:val="24"/>
          <w:highlight w:val="none"/>
        </w:rPr>
        <w:t>。</w:t>
      </w:r>
    </w:p>
    <w:p w14:paraId="6065406E">
      <w:pPr>
        <w:pStyle w:val="7"/>
        <w:numPr>
          <w:ilvl w:val="0"/>
          <w:numId w:val="10"/>
        </w:numPr>
        <w:spacing w:line="360" w:lineRule="auto"/>
        <w:ind w:firstLine="42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配合备份管理：配合采购人完成</w:t>
      </w:r>
      <w:r>
        <w:rPr>
          <w:rFonts w:cs="宋体" w:asciiTheme="minorEastAsia" w:hAnsiTheme="minorEastAsia" w:eastAsiaTheme="minorEastAsia"/>
          <w:color w:val="auto"/>
          <w:sz w:val="24"/>
          <w:highlight w:val="none"/>
        </w:rPr>
        <w:t>数据库日常备份管理，按需求梳理并调整不同数据库的备份方式和计划</w:t>
      </w:r>
      <w:r>
        <w:rPr>
          <w:rFonts w:hint="eastAsia" w:cs="宋体" w:asciiTheme="minorEastAsia" w:hAnsiTheme="minorEastAsia" w:eastAsiaTheme="minorEastAsia"/>
          <w:color w:val="auto"/>
          <w:sz w:val="24"/>
          <w:highlight w:val="none"/>
        </w:rPr>
        <w:t>。</w:t>
      </w:r>
    </w:p>
    <w:p w14:paraId="717DB79F">
      <w:pPr>
        <w:pStyle w:val="7"/>
        <w:numPr>
          <w:ilvl w:val="0"/>
          <w:numId w:val="10"/>
        </w:numPr>
        <w:spacing w:line="360" w:lineRule="auto"/>
        <w:ind w:firstLine="42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配合数据库优化：对合同项目范围内的系统模块的数据库（oracle、sql server等）性能优化、故障处理及运行报告；对高消耗SQL进行分析，并提出优化方案。</w:t>
      </w:r>
    </w:p>
    <w:p w14:paraId="5CA0FFBA">
      <w:pPr>
        <w:pStyle w:val="7"/>
        <w:numPr>
          <w:ilvl w:val="0"/>
          <w:numId w:val="10"/>
        </w:numPr>
        <w:spacing w:line="360" w:lineRule="auto"/>
        <w:ind w:firstLine="42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配合数据库迁移：</w:t>
      </w:r>
      <w:r>
        <w:rPr>
          <w:rFonts w:cs="宋体" w:asciiTheme="minorEastAsia" w:hAnsiTheme="minorEastAsia" w:eastAsiaTheme="minorEastAsia"/>
          <w:color w:val="auto"/>
          <w:sz w:val="24"/>
          <w:highlight w:val="none"/>
        </w:rPr>
        <w:t>数据库迁移工作以及迁移变更前后对新旧环境的检查及配置</w:t>
      </w:r>
      <w:r>
        <w:rPr>
          <w:rFonts w:hint="eastAsia" w:cs="宋体" w:asciiTheme="minorEastAsia" w:hAnsiTheme="minorEastAsia" w:eastAsiaTheme="minorEastAsia"/>
          <w:color w:val="auto"/>
          <w:sz w:val="24"/>
          <w:highlight w:val="none"/>
        </w:rPr>
        <w:t>。</w:t>
      </w:r>
    </w:p>
    <w:p w14:paraId="6CD26CE1">
      <w:pPr>
        <w:pStyle w:val="7"/>
        <w:numPr>
          <w:ilvl w:val="0"/>
          <w:numId w:val="10"/>
        </w:numPr>
        <w:spacing w:line="360" w:lineRule="auto"/>
        <w:ind w:firstLine="420" w:firstLineChars="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配合数据库监控：对在用系统</w:t>
      </w:r>
      <w:r>
        <w:rPr>
          <w:rFonts w:cs="宋体" w:asciiTheme="minorEastAsia" w:hAnsiTheme="minorEastAsia" w:eastAsiaTheme="minorEastAsia"/>
          <w:color w:val="auto"/>
          <w:sz w:val="24"/>
          <w:highlight w:val="none"/>
        </w:rPr>
        <w:t>数据库</w:t>
      </w:r>
      <w:r>
        <w:rPr>
          <w:rFonts w:hint="eastAsia" w:cs="宋体" w:asciiTheme="minorEastAsia" w:hAnsiTheme="minorEastAsia" w:eastAsiaTheme="minorEastAsia"/>
          <w:color w:val="auto"/>
          <w:sz w:val="24"/>
          <w:highlight w:val="none"/>
        </w:rPr>
        <w:t>进行</w:t>
      </w:r>
      <w:r>
        <w:rPr>
          <w:rFonts w:cs="宋体" w:asciiTheme="minorEastAsia" w:hAnsiTheme="minorEastAsia" w:eastAsiaTheme="minorEastAsia"/>
          <w:color w:val="auto"/>
          <w:sz w:val="24"/>
          <w:highlight w:val="none"/>
        </w:rPr>
        <w:t>运行监控、报告工作，提出风险报告及应对措施</w:t>
      </w:r>
      <w:r>
        <w:rPr>
          <w:rFonts w:hint="eastAsia" w:cs="宋体" w:asciiTheme="minorEastAsia" w:hAnsiTheme="minorEastAsia" w:eastAsiaTheme="minorEastAsia"/>
          <w:color w:val="auto"/>
          <w:sz w:val="24"/>
          <w:highlight w:val="none"/>
        </w:rPr>
        <w:t>。</w:t>
      </w:r>
    </w:p>
    <w:p w14:paraId="373A3415">
      <w:pPr>
        <w:numPr>
          <w:ilvl w:val="0"/>
          <w:numId w:val="4"/>
        </w:numPr>
        <w:tabs>
          <w:tab w:val="left" w:pos="0"/>
        </w:tabs>
        <w:spacing w:before="120" w:beforeLines="50" w:line="360" w:lineRule="auto"/>
        <w:ind w:left="0" w:firstLine="482" w:firstLineChars="200"/>
        <w:outlineLvl w:val="3"/>
        <w:rPr>
          <w:rFonts w:hint="eastAsia" w:cs="宋体" w:asciiTheme="minorEastAsia" w:hAnsiTheme="minorEastAsia" w:eastAsiaTheme="minorEastAsia"/>
          <w:b/>
          <w:color w:val="auto"/>
          <w:sz w:val="24"/>
          <w:highlight w:val="none"/>
        </w:rPr>
      </w:pPr>
      <w:r>
        <w:rPr>
          <w:rFonts w:hint="eastAsia" w:cs="宋体" w:asciiTheme="minorEastAsia" w:hAnsiTheme="minorEastAsia" w:eastAsiaTheme="minorEastAsia"/>
          <w:b/>
          <w:color w:val="auto"/>
          <w:sz w:val="24"/>
          <w:highlight w:val="none"/>
        </w:rPr>
        <w:t>项目管理</w:t>
      </w:r>
    </w:p>
    <w:p w14:paraId="7E4498D0">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采购人、</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指派代表组成立软件项目管理小组，管理本软件的开发和实施。提供管理小组成员名单和通讯方式。采购人、</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可以根据具体情况重新指定本方的管理小组的成员，但应当以书面方式通知另一方；如一方重新指定的小组成员涉及到本项目的重要工作，更换方应事先征得对方的书面同意。另一方应及时审查更换方提出的书面建议，双方在合理、善意、维护双方利益的基础上讨论更换事宜。</w:t>
      </w:r>
    </w:p>
    <w:p w14:paraId="68EC7F75">
      <w:pPr>
        <w:numPr>
          <w:ilvl w:val="0"/>
          <w:numId w:val="4"/>
        </w:numPr>
        <w:tabs>
          <w:tab w:val="left" w:pos="0"/>
        </w:tabs>
        <w:spacing w:before="120" w:beforeLines="50" w:line="360" w:lineRule="auto"/>
        <w:ind w:left="0" w:firstLine="482" w:firstLineChars="200"/>
        <w:outlineLvl w:val="3"/>
        <w:rPr>
          <w:rFonts w:ascii="宋体"/>
          <w:b/>
          <w:color w:val="auto"/>
          <w:kern w:val="0"/>
          <w:sz w:val="24"/>
          <w:highlight w:val="none"/>
        </w:rPr>
      </w:pPr>
      <w:r>
        <w:rPr>
          <w:rFonts w:hint="eastAsia" w:ascii="宋体" w:hAnsi="宋体"/>
          <w:b/>
          <w:color w:val="auto"/>
          <w:kern w:val="0"/>
          <w:sz w:val="24"/>
          <w:highlight w:val="none"/>
        </w:rPr>
        <w:t>需求分析</w:t>
      </w:r>
    </w:p>
    <w:p w14:paraId="087D2561">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为保证“软件”更好地满足采购人的工作需要，</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需在实施过程中，阶段性地向采购人征集产品需求，发放需求调查表。采购人项目管理人员在收到产品需求调查表，在10个工作日内，向</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提交填写完成的产品需求调查表。</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在收到采购人反馈产品需求调查表后，应在10个工作日内完成需求分析书。该需求分析书经采购人认可，并由采购双方签字后作为项目实施过程中的文件，由采购双方项目经理各自保存。对于采购人主动提出的需求，</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应予以积极配合，并在收到需求信息后10个工作日内完成需求分析书。该需求分析书经双方签字后作为项目实施文件，由采购双方项目经理各自保存。对于双方确定的需求，</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应积极履行开发及实施责任。</w:t>
      </w:r>
    </w:p>
    <w:p w14:paraId="6154B643">
      <w:pPr>
        <w:spacing w:line="360" w:lineRule="auto"/>
        <w:rPr>
          <w:rFonts w:hint="eastAsia" w:cs="宋体" w:asciiTheme="minorEastAsia" w:hAnsiTheme="minorEastAsia" w:eastAsiaTheme="minorEastAsia"/>
          <w:color w:val="auto"/>
          <w:sz w:val="24"/>
          <w:highlight w:val="none"/>
        </w:rPr>
      </w:pPr>
    </w:p>
    <w:p w14:paraId="06B75439">
      <w:pPr>
        <w:pStyle w:val="2"/>
        <w:numPr>
          <w:ilvl w:val="0"/>
          <w:numId w:val="1"/>
        </w:numPr>
        <w:rPr>
          <w:color w:val="auto"/>
          <w:sz w:val="32"/>
          <w:szCs w:val="32"/>
          <w:highlight w:val="none"/>
        </w:rPr>
      </w:pPr>
      <w:r>
        <w:rPr>
          <w:color w:val="auto"/>
          <w:sz w:val="32"/>
          <w:szCs w:val="32"/>
          <w:highlight w:val="none"/>
        </w:rPr>
        <w:t>服务方式</w:t>
      </w:r>
    </w:p>
    <w:p w14:paraId="79B2D51A">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以现场服务为主，其它电话、邮件指导、远程维护、技术交流方式不限。</w:t>
      </w:r>
    </w:p>
    <w:p w14:paraId="20520AB3">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服务人员服务时间：正常工作日早上8:00—下午18:00。</w:t>
      </w:r>
      <w:r>
        <w:rPr>
          <w:rFonts w:hint="eastAsia" w:cs="宋体" w:asciiTheme="minorEastAsia" w:hAnsiTheme="minorEastAsia" w:eastAsiaTheme="minorEastAsia"/>
          <w:b/>
          <w:bCs/>
          <w:color w:val="auto"/>
          <w:sz w:val="24"/>
          <w:highlight w:val="none"/>
          <w:u w:val="single"/>
        </w:rPr>
        <w:t>非工作时间应安排值班人员。</w:t>
      </w:r>
    </w:p>
    <w:p w14:paraId="3BEDAB91">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专人服务地点：广东省人民医院采购人指定地点。</w:t>
      </w:r>
    </w:p>
    <w:p w14:paraId="46AA0A22">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服务人员工作时应注意言行举止，要求佩戴工作证。</w:t>
      </w:r>
    </w:p>
    <w:p w14:paraId="034CE1CA">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服务人员休假超过1天时</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安排其他人员补充并提前告知采购人。</w:t>
      </w:r>
    </w:p>
    <w:p w14:paraId="651A1527">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服务人员需登记记录故障及处理情况，定期交采购人项目负责人确认；</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在每月5日前完成上月维护服务记录整理、提交采购人信息管理处。</w:t>
      </w:r>
    </w:p>
    <w:p w14:paraId="2E148F74">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需在每月25日前需提供“节假日期间值班安排”给采购人信息管理处。</w:t>
      </w:r>
    </w:p>
    <w:p w14:paraId="522DC09A">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需配合采购人信息管理处定期走访采购人重点用户部门，与用户进行现场交流，并解答用户问题。</w:t>
      </w:r>
    </w:p>
    <w:p w14:paraId="6E8A66A2">
      <w:pPr>
        <w:numPr>
          <w:ilvl w:val="1"/>
          <w:numId w:val="11"/>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对服务质量予以保证，采购人有权根据服务评级方案（见附件1《广东省人民医院信息项目供应商履约评价方案确认书》），每季度对HIS维护的服务质量及每次版本实施的效果进行评价考核。评价考核结果与运维年度维护验收挂钩。</w:t>
      </w:r>
    </w:p>
    <w:p w14:paraId="25CC62BE">
      <w:pPr>
        <w:pStyle w:val="8"/>
        <w:rPr>
          <w:rFonts w:hint="eastAsia" w:cs="宋体" w:asciiTheme="minorEastAsia" w:hAnsiTheme="minorEastAsia" w:eastAsiaTheme="minorEastAsia"/>
          <w:color w:val="auto"/>
          <w:highlight w:val="none"/>
        </w:rPr>
      </w:pPr>
    </w:p>
    <w:p w14:paraId="0FB9D152">
      <w:pPr>
        <w:pStyle w:val="2"/>
        <w:numPr>
          <w:ilvl w:val="0"/>
          <w:numId w:val="1"/>
        </w:numPr>
        <w:rPr>
          <w:color w:val="auto"/>
          <w:sz w:val="32"/>
          <w:szCs w:val="32"/>
          <w:highlight w:val="none"/>
        </w:rPr>
      </w:pPr>
      <w:r>
        <w:rPr>
          <w:color w:val="auto"/>
          <w:sz w:val="32"/>
          <w:szCs w:val="32"/>
          <w:highlight w:val="none"/>
        </w:rPr>
        <w:t>服务人员要求</w:t>
      </w:r>
    </w:p>
    <w:p w14:paraId="4FE4423F">
      <w:pPr>
        <w:numPr>
          <w:ilvl w:val="1"/>
          <w:numId w:val="12"/>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须为本项目成立专门的项目组开展工作，同时应指派专人分别负责日常现场运维，功能调整修改和接口开发，按时完成工作内容。项目组有明确的岗位职责与分工，确保使项目按质、按量、按时及有序实施。具有完善的组织架构、队伍管理机制、岗位目标管理责任制、绩效考核机制，完善人才队伍,配备专业人员确保人员合同期内稳定性。</w:t>
      </w:r>
    </w:p>
    <w:p w14:paraId="72350FAD">
      <w:pPr>
        <w:numPr>
          <w:ilvl w:val="1"/>
          <w:numId w:val="12"/>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应在投标方案中明确本项目的项目经理和技术团队，项目经理和技术团队应当具有与本项目相关的技术水平和服务经验。项目实施时，</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应当严格按照本项目投标文件响应情况指派专职项目经理，具体负责本项目的实施并与采购人接洽。</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应当严格按照本项目投标文件响应情况投入与本项目相适应的、充足的服务人员进行本项目工作。</w:t>
      </w:r>
    </w:p>
    <w:p w14:paraId="5F793C80">
      <w:pPr>
        <w:numPr>
          <w:ilvl w:val="1"/>
          <w:numId w:val="12"/>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 xml:space="preserve"> </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不得随意调整项目人员，如确需调整的，应报请采购人同意。未经采购人同意，</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不得随意调整项目负责人及团队技术人员。</w:t>
      </w:r>
    </w:p>
    <w:p w14:paraId="06E45104">
      <w:pPr>
        <w:pStyle w:val="2"/>
        <w:numPr>
          <w:ilvl w:val="0"/>
          <w:numId w:val="1"/>
        </w:numPr>
        <w:rPr>
          <w:color w:val="auto"/>
          <w:sz w:val="32"/>
          <w:szCs w:val="32"/>
          <w:highlight w:val="none"/>
        </w:rPr>
      </w:pPr>
      <w:r>
        <w:rPr>
          <w:color w:val="auto"/>
          <w:sz w:val="32"/>
          <w:szCs w:val="32"/>
          <w:highlight w:val="none"/>
        </w:rPr>
        <w:t>服务时间</w:t>
      </w:r>
    </w:p>
    <w:p w14:paraId="1AC5F38C">
      <w:pPr>
        <w:tabs>
          <w:tab w:val="left" w:pos="567"/>
        </w:tabs>
        <w:spacing w:before="120" w:beforeLines="50" w:line="360" w:lineRule="auto"/>
        <w:ind w:firstLine="480" w:firstLineChars="200"/>
        <w:rPr>
          <w:rFonts w:hint="eastAsia" w:ascii="宋体" w:hAnsi="宋体"/>
          <w:color w:val="auto"/>
          <w:szCs w:val="21"/>
          <w:highlight w:val="none"/>
        </w:rPr>
      </w:pPr>
      <w:r>
        <w:rPr>
          <w:rFonts w:cs="宋体" w:asciiTheme="minorEastAsia" w:hAnsiTheme="minorEastAsia" w:eastAsiaTheme="minorEastAsia"/>
          <w:color w:val="auto"/>
          <w:sz w:val="24"/>
          <w:highlight w:val="none"/>
        </w:rPr>
        <w:t>202</w:t>
      </w:r>
      <w:r>
        <w:rPr>
          <w:rFonts w:hint="eastAsia" w:cs="宋体" w:asciiTheme="minorEastAsia" w:hAnsiTheme="minorEastAsia" w:eastAsiaTheme="minorEastAsia"/>
          <w:color w:val="auto"/>
          <w:sz w:val="24"/>
          <w:highlight w:val="none"/>
          <w:lang w:val="en-US" w:eastAsia="zh-CN"/>
        </w:rPr>
        <w:t>6</w:t>
      </w:r>
      <w:r>
        <w:rPr>
          <w:rFonts w:hint="eastAsia" w:cs="宋体" w:asciiTheme="minorEastAsia" w:hAnsiTheme="minorEastAsia" w:eastAsiaTheme="minorEastAsia"/>
          <w:color w:val="auto"/>
          <w:sz w:val="24"/>
          <w:highlight w:val="none"/>
        </w:rPr>
        <w:t>年</w:t>
      </w:r>
      <w:r>
        <w:rPr>
          <w:rFonts w:cs="宋体" w:asciiTheme="minorEastAsia" w:hAnsiTheme="minorEastAsia" w:eastAsiaTheme="minorEastAsia"/>
          <w:color w:val="auto"/>
          <w:sz w:val="24"/>
          <w:highlight w:val="none"/>
        </w:rPr>
        <w:t>12</w:t>
      </w:r>
      <w:r>
        <w:rPr>
          <w:rFonts w:hint="eastAsia" w:cs="宋体" w:asciiTheme="minorEastAsia" w:hAnsiTheme="minorEastAsia" w:eastAsiaTheme="minorEastAsia"/>
          <w:color w:val="auto"/>
          <w:sz w:val="24"/>
          <w:highlight w:val="none"/>
        </w:rPr>
        <w:t>月</w:t>
      </w:r>
      <w:r>
        <w:rPr>
          <w:rFonts w:cs="宋体" w:asciiTheme="minorEastAsia" w:hAnsiTheme="minorEastAsia" w:eastAsiaTheme="minorEastAsia"/>
          <w:color w:val="auto"/>
          <w:sz w:val="24"/>
          <w:highlight w:val="none"/>
        </w:rPr>
        <w:t>2</w:t>
      </w:r>
      <w:r>
        <w:rPr>
          <w:rFonts w:hint="eastAsia" w:cs="宋体" w:asciiTheme="minorEastAsia" w:hAnsiTheme="minorEastAsia" w:eastAsiaTheme="minorEastAsia"/>
          <w:color w:val="auto"/>
          <w:sz w:val="24"/>
          <w:highlight w:val="none"/>
        </w:rPr>
        <w:t>日至</w:t>
      </w:r>
      <w:r>
        <w:rPr>
          <w:rFonts w:cs="宋体" w:asciiTheme="minorEastAsia" w:hAnsiTheme="minorEastAsia" w:eastAsiaTheme="minorEastAsia"/>
          <w:color w:val="auto"/>
          <w:sz w:val="24"/>
          <w:highlight w:val="none"/>
        </w:rPr>
        <w:t>20</w:t>
      </w:r>
      <w:r>
        <w:rPr>
          <w:rFonts w:hint="eastAsia" w:cs="宋体" w:asciiTheme="minorEastAsia" w:hAnsiTheme="minorEastAsia" w:eastAsiaTheme="minorEastAsia"/>
          <w:color w:val="auto"/>
          <w:sz w:val="24"/>
          <w:highlight w:val="none"/>
          <w:lang w:val="en-US" w:eastAsia="zh-CN"/>
        </w:rPr>
        <w:t>27</w:t>
      </w:r>
      <w:r>
        <w:rPr>
          <w:rFonts w:hint="eastAsia" w:cs="宋体" w:asciiTheme="minorEastAsia" w:hAnsiTheme="minorEastAsia" w:eastAsiaTheme="minorEastAsia"/>
          <w:color w:val="auto"/>
          <w:sz w:val="24"/>
          <w:highlight w:val="none"/>
        </w:rPr>
        <w:t>年</w:t>
      </w:r>
      <w:r>
        <w:rPr>
          <w:rFonts w:cs="宋体" w:asciiTheme="minorEastAsia" w:hAnsiTheme="minorEastAsia" w:eastAsiaTheme="minorEastAsia"/>
          <w:color w:val="auto"/>
          <w:sz w:val="24"/>
          <w:highlight w:val="none"/>
        </w:rPr>
        <w:t>12</w:t>
      </w:r>
      <w:r>
        <w:rPr>
          <w:rFonts w:hint="eastAsia" w:cs="宋体" w:asciiTheme="minorEastAsia" w:hAnsiTheme="minorEastAsia" w:eastAsiaTheme="minorEastAsia"/>
          <w:color w:val="auto"/>
          <w:sz w:val="24"/>
          <w:highlight w:val="none"/>
        </w:rPr>
        <w:t>月</w:t>
      </w:r>
      <w:r>
        <w:rPr>
          <w:rFonts w:cs="宋体" w:asciiTheme="minorEastAsia" w:hAnsiTheme="minorEastAsia" w:eastAsiaTheme="minorEastAsia"/>
          <w:color w:val="auto"/>
          <w:sz w:val="24"/>
          <w:highlight w:val="none"/>
        </w:rPr>
        <w:t>1</w:t>
      </w:r>
      <w:r>
        <w:rPr>
          <w:rFonts w:hint="eastAsia" w:cs="宋体" w:asciiTheme="minorEastAsia" w:hAnsiTheme="minorEastAsia" w:eastAsiaTheme="minorEastAsia"/>
          <w:color w:val="auto"/>
          <w:sz w:val="24"/>
          <w:highlight w:val="none"/>
        </w:rPr>
        <w:t>日</w:t>
      </w:r>
      <w:r>
        <w:rPr>
          <w:rFonts w:hint="eastAsia" w:ascii="宋体" w:hAnsi="宋体"/>
          <w:color w:val="auto"/>
          <w:szCs w:val="21"/>
          <w:highlight w:val="none"/>
        </w:rPr>
        <w:t>。</w:t>
      </w:r>
    </w:p>
    <w:p w14:paraId="2BCFAAF6">
      <w:pPr>
        <w:tabs>
          <w:tab w:val="left" w:pos="567"/>
        </w:tabs>
        <w:spacing w:before="120" w:beforeLines="50" w:line="360" w:lineRule="auto"/>
        <w:ind w:firstLine="420" w:firstLineChars="200"/>
        <w:rPr>
          <w:rFonts w:hint="eastAsia" w:ascii="宋体" w:hAnsi="宋体"/>
          <w:color w:val="auto"/>
          <w:szCs w:val="21"/>
          <w:highlight w:val="none"/>
        </w:rPr>
      </w:pPr>
    </w:p>
    <w:p w14:paraId="0D7FEBAF">
      <w:pPr>
        <w:pStyle w:val="2"/>
        <w:numPr>
          <w:ilvl w:val="0"/>
          <w:numId w:val="1"/>
        </w:numPr>
        <w:rPr>
          <w:color w:val="auto"/>
          <w:sz w:val="32"/>
          <w:szCs w:val="32"/>
          <w:highlight w:val="none"/>
        </w:rPr>
      </w:pPr>
      <w:r>
        <w:rPr>
          <w:color w:val="auto"/>
          <w:sz w:val="32"/>
          <w:szCs w:val="32"/>
          <w:highlight w:val="none"/>
        </w:rPr>
        <w:t>服务响应要求</w:t>
      </w:r>
    </w:p>
    <w:p w14:paraId="1AA06F8F">
      <w:pPr>
        <w:numPr>
          <w:ilvl w:val="1"/>
          <w:numId w:val="13"/>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日常维护响应</w:t>
      </w:r>
    </w:p>
    <w:p w14:paraId="16CC8FA3">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工作期间（正常工作日8：00-18：00），信息系统故障响应时间不超过0.5小时，到达现场时间不超过1小时；非工作期间，信息系统故障响应时间不超过1小时，到达现场时间不超过2小时。</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应提出故障解决方案，工作至故障修妥完全恢复正常服务为止，修复时间不超过2个工作日。</w:t>
      </w:r>
    </w:p>
    <w:p w14:paraId="71494E28">
      <w:pPr>
        <w:numPr>
          <w:ilvl w:val="1"/>
          <w:numId w:val="13"/>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修改调整、系统集成响应</w:t>
      </w:r>
    </w:p>
    <w:p w14:paraId="0C619177">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应在采购人提交修改调整内容后的20天内落实交付。</w:t>
      </w:r>
    </w:p>
    <w:p w14:paraId="6294B3F0">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若</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未能及时进行需求响应，采购人有权终止维护合同。</w:t>
      </w:r>
    </w:p>
    <w:p w14:paraId="6BD40D13">
      <w:pPr>
        <w:numPr>
          <w:ilvl w:val="1"/>
          <w:numId w:val="13"/>
        </w:numPr>
        <w:tabs>
          <w:tab w:val="left" w:pos="1145"/>
        </w:tabs>
        <w:spacing w:line="360" w:lineRule="auto"/>
        <w:ind w:left="9" w:firstLine="211"/>
        <w:jc w:val="left"/>
        <w:rPr>
          <w:rFonts w:hint="eastAsia" w:ascii="宋体" w:hAnsi="宋体"/>
          <w:color w:val="auto"/>
          <w:szCs w:val="21"/>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应作出无推诿承诺</w:t>
      </w:r>
    </w:p>
    <w:p w14:paraId="7E2151D7">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即</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在收到采购人报修通知及要求后，须按照日常维护响应时间要求派技术人员到场，全力协助、使系统尽快恢复正常。</w:t>
      </w:r>
    </w:p>
    <w:p w14:paraId="619B3B9F">
      <w:pPr>
        <w:numPr>
          <w:ilvl w:val="1"/>
          <w:numId w:val="13"/>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提供详细的维护人员清单</w:t>
      </w:r>
    </w:p>
    <w:p w14:paraId="71389BBE">
      <w:pPr>
        <w:tabs>
          <w:tab w:val="left" w:pos="0"/>
          <w:tab w:val="left" w:pos="210"/>
          <w:tab w:val="left" w:pos="567"/>
        </w:tabs>
        <w:spacing w:line="360" w:lineRule="auto"/>
        <w:ind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应有专门的维护部门并指定固定技术力量用于信息系统维护，并向采购人提供详细的维护人员清单及其联系方式。</w:t>
      </w:r>
    </w:p>
    <w:p w14:paraId="7F6DB07B">
      <w:pPr>
        <w:numPr>
          <w:ilvl w:val="1"/>
          <w:numId w:val="13"/>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系统维护工作要求</w:t>
      </w:r>
    </w:p>
    <w:p w14:paraId="48B752EB">
      <w:pPr>
        <w:numPr>
          <w:ilvl w:val="0"/>
          <w:numId w:val="14"/>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须有完整的维护记录管理，确保所有问题提出及处理有记录，有供双方共同记录反馈的简捷的操作方式，达到经双方确认真实可信，可跟踪问题解决情况，查询所有维护记录，并可作为验收依据。</w:t>
      </w:r>
    </w:p>
    <w:p w14:paraId="2C74AA58">
      <w:pPr>
        <w:numPr>
          <w:ilvl w:val="0"/>
          <w:numId w:val="14"/>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需根据采购人要求，安排维护人员使用采购人项目管理平台系统中的需求管理模块和缺陷（报障）管理模块，接收采购人相关报障及需求信息，并反馈相应处理信息，该维护记录可作为维保履约证明。</w:t>
      </w:r>
    </w:p>
    <w:p w14:paraId="729997B8">
      <w:pPr>
        <w:numPr>
          <w:ilvl w:val="0"/>
          <w:numId w:val="14"/>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定期（每月）进行系统巡检，对系统运行的软硬件情况（尤其是数据库环境）进行监控，并出具巡检报告，针对潜在的风险应提供解决方案并实施。</w:t>
      </w:r>
    </w:p>
    <w:p w14:paraId="05B3CE9B">
      <w:pPr>
        <w:rPr>
          <w:color w:val="auto"/>
          <w:highlight w:val="none"/>
        </w:rPr>
      </w:pPr>
    </w:p>
    <w:p w14:paraId="6C6A0345">
      <w:pPr>
        <w:pStyle w:val="2"/>
        <w:numPr>
          <w:ilvl w:val="0"/>
          <w:numId w:val="1"/>
        </w:numPr>
        <w:rPr>
          <w:color w:val="auto"/>
          <w:sz w:val="32"/>
          <w:szCs w:val="32"/>
          <w:highlight w:val="none"/>
        </w:rPr>
      </w:pPr>
      <w:r>
        <w:rPr>
          <w:color w:val="auto"/>
          <w:sz w:val="32"/>
          <w:szCs w:val="32"/>
          <w:highlight w:val="none"/>
        </w:rPr>
        <w:t>维护服务验收</w:t>
      </w:r>
    </w:p>
    <w:p w14:paraId="768EF039">
      <w:pPr>
        <w:numPr>
          <w:ilvl w:val="1"/>
          <w:numId w:val="15"/>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验收时间</w:t>
      </w:r>
    </w:p>
    <w:p w14:paraId="656B6EB0">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服务期满，由</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向采购人申请验收，采购人在收到验收申请后30天内组织验收。</w:t>
      </w:r>
    </w:p>
    <w:p w14:paraId="05062B09">
      <w:pPr>
        <w:numPr>
          <w:ilvl w:val="1"/>
          <w:numId w:val="15"/>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验收人员：</w:t>
      </w:r>
    </w:p>
    <w:p w14:paraId="38EC7682">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双方相关人员。</w:t>
      </w:r>
    </w:p>
    <w:p w14:paraId="2F205CFE">
      <w:pPr>
        <w:numPr>
          <w:ilvl w:val="1"/>
          <w:numId w:val="15"/>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验收标准</w:t>
      </w:r>
    </w:p>
    <w:p w14:paraId="627B6716">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提供维护记录（日常维护记录、履约评分情况、服务器巡检记录，需求完成进度记录）经采购人审核确认后验收。</w:t>
      </w:r>
    </w:p>
    <w:p w14:paraId="21906F25">
      <w:pPr>
        <w:numPr>
          <w:ilvl w:val="1"/>
          <w:numId w:val="15"/>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双方约定</w:t>
      </w:r>
    </w:p>
    <w:p w14:paraId="73E33B85">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双方同意，任何一方以非正当理由拖延验收，将承担相应责任。</w:t>
      </w:r>
    </w:p>
    <w:p w14:paraId="3EE91CB3">
      <w:pPr>
        <w:numPr>
          <w:ilvl w:val="1"/>
          <w:numId w:val="15"/>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提交给采购人的实施产出物包括：</w:t>
      </w:r>
    </w:p>
    <w:p w14:paraId="159FE0F1">
      <w:pPr>
        <w:numPr>
          <w:ilvl w:val="0"/>
          <w:numId w:val="16"/>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正常运作于采购人真实环境下的本项目标的修改调整、集成服务及其相关配套、支持。</w:t>
      </w:r>
    </w:p>
    <w:p w14:paraId="1789F7B3">
      <w:pPr>
        <w:numPr>
          <w:ilvl w:val="0"/>
          <w:numId w:val="16"/>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须向采购人提供所有有关本项目执行的技术文件，包括但不限于：系统管理及维护手册、用户操作手册、</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的测试报告、数据结构说明书、系统源代码和程序结构说明。上述技术文件应包含保证采购人能够正确进行操作、检查、维修、维护、测试和调试需要的所有内容。如果项目必需但合同又未作规定的要</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才能提供的技术文件，</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也应及时向采购人提供。</w:t>
      </w:r>
    </w:p>
    <w:p w14:paraId="6DD428F1">
      <w:pPr>
        <w:numPr>
          <w:ilvl w:val="0"/>
          <w:numId w:val="16"/>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提供的文档和资料均应以磁介质(或光盘)和纸张为载体，文件格式为Word文档或PDF文档或其他可视化文件。</w:t>
      </w:r>
    </w:p>
    <w:p w14:paraId="58D91B4A">
      <w:pPr>
        <w:numPr>
          <w:ilvl w:val="0"/>
          <w:numId w:val="16"/>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采购人如发现</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未提供有关文件，可以推迟付款，直至</w:t>
      </w: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补齐有关文件。</w:t>
      </w:r>
    </w:p>
    <w:p w14:paraId="175CFCA5">
      <w:pPr>
        <w:tabs>
          <w:tab w:val="left" w:pos="0"/>
          <w:tab w:val="left" w:pos="210"/>
          <w:tab w:val="left" w:pos="567"/>
        </w:tabs>
        <w:spacing w:line="360" w:lineRule="auto"/>
        <w:rPr>
          <w:rFonts w:hint="eastAsia" w:asciiTheme="minorEastAsia" w:hAnsiTheme="minorEastAsia" w:eastAsiaTheme="minorEastAsia"/>
          <w:color w:val="auto"/>
          <w:sz w:val="24"/>
          <w:highlight w:val="none"/>
        </w:rPr>
      </w:pPr>
    </w:p>
    <w:p w14:paraId="11EB282F">
      <w:pPr>
        <w:pStyle w:val="2"/>
        <w:numPr>
          <w:ilvl w:val="0"/>
          <w:numId w:val="1"/>
        </w:numPr>
        <w:rPr>
          <w:rFonts w:asciiTheme="minorEastAsia" w:hAnsiTheme="minorEastAsia" w:eastAsiaTheme="minorEastAsia"/>
          <w:color w:val="auto"/>
          <w:sz w:val="24"/>
          <w:highlight w:val="none"/>
        </w:rPr>
      </w:pPr>
      <w:r>
        <w:rPr>
          <w:color w:val="auto"/>
          <w:sz w:val="32"/>
          <w:szCs w:val="32"/>
          <w:highlight w:val="none"/>
        </w:rPr>
        <w:t>售后服务、版权、保密等要求</w:t>
      </w:r>
    </w:p>
    <w:p w14:paraId="39CA2342">
      <w:pPr>
        <w:numPr>
          <w:ilvl w:val="1"/>
          <w:numId w:val="17"/>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修改调整部分的售后服务</w:t>
      </w:r>
    </w:p>
    <w:p w14:paraId="75873A19">
      <w:pPr>
        <w:numPr>
          <w:ilvl w:val="0"/>
          <w:numId w:val="18"/>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服务内容：技术支持和指导，“软件”系统的局部改进完善以及全院性故障等情况下的现场问题解决。</w:t>
      </w:r>
    </w:p>
    <w:p w14:paraId="53C30766">
      <w:pPr>
        <w:numPr>
          <w:ilvl w:val="0"/>
          <w:numId w:val="18"/>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服务方式：电话/邮件指导、远程维护、技术交流、现场服务。</w:t>
      </w:r>
    </w:p>
    <w:p w14:paraId="677EBA56">
      <w:pPr>
        <w:numPr>
          <w:ilvl w:val="0"/>
          <w:numId w:val="18"/>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服务响应时间：工作期间（正常工作日8：00-18：00）软件故障响应时间不超过0.5小时，到达现场时间不超过1小时；非工作期间软件故障响应时间不超过1小时，到达现场时间不超过2小时。</w:t>
      </w:r>
    </w:p>
    <w:p w14:paraId="5E137E9D">
      <w:pPr>
        <w:numPr>
          <w:ilvl w:val="1"/>
          <w:numId w:val="17"/>
        </w:numPr>
        <w:tabs>
          <w:tab w:val="left" w:pos="1145"/>
        </w:tabs>
        <w:spacing w:line="360" w:lineRule="auto"/>
        <w:ind w:left="9" w:firstLine="211"/>
        <w:jc w:val="left"/>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售后服务、版权、保密等要求</w:t>
      </w:r>
    </w:p>
    <w:p w14:paraId="45AA15E5">
      <w:pPr>
        <w:numPr>
          <w:ilvl w:val="0"/>
          <w:numId w:val="19"/>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采购人责任</w:t>
      </w:r>
    </w:p>
    <w:p w14:paraId="4C58B44E">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1</w:t>
      </w:r>
      <w:r>
        <w:rPr>
          <w:rFonts w:hint="eastAsia" w:cs="宋体" w:asciiTheme="minorEastAsia" w:hAnsiTheme="minorEastAsia" w:eastAsiaTheme="minorEastAsia"/>
          <w:color w:val="auto"/>
          <w:sz w:val="24"/>
          <w:highlight w:val="none"/>
        </w:rPr>
        <w:t>）按照约定按时付款，以保证服务的顺利进行和系统使用。</w:t>
      </w:r>
    </w:p>
    <w:p w14:paraId="4D6BB19D">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2</w:t>
      </w:r>
      <w:r>
        <w:rPr>
          <w:rFonts w:hint="eastAsia" w:cs="宋体" w:asciiTheme="minorEastAsia" w:hAnsiTheme="minorEastAsia" w:eastAsiaTheme="minorEastAsia"/>
          <w:color w:val="auto"/>
          <w:sz w:val="24"/>
          <w:highlight w:val="none"/>
        </w:rPr>
        <w:t>）提供培训场地，组织参加培训的人员按时出席，并配合</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对操作人员的考核。</w:t>
      </w:r>
    </w:p>
    <w:p w14:paraId="3B8A9148">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3</w:t>
      </w:r>
      <w:r>
        <w:rPr>
          <w:rFonts w:hint="eastAsia" w:cs="宋体" w:asciiTheme="minorEastAsia" w:hAnsiTheme="minorEastAsia" w:eastAsiaTheme="minorEastAsia"/>
          <w:color w:val="auto"/>
          <w:sz w:val="24"/>
          <w:highlight w:val="none"/>
        </w:rPr>
        <w:t>）负责“软件”系统运行环境的准备，保证提供的硬件系统和网络环境达到“软件”系统运行的基本条件，确保“软件”在每一工作站点有可连接的网络接口，并保证网络连接的稳定性。</w:t>
      </w:r>
    </w:p>
    <w:p w14:paraId="71BC80CA">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4</w:t>
      </w:r>
      <w:r>
        <w:rPr>
          <w:rFonts w:hint="eastAsia" w:cs="宋体" w:asciiTheme="minorEastAsia" w:hAnsiTheme="minorEastAsia" w:eastAsiaTheme="minorEastAsia"/>
          <w:color w:val="auto"/>
          <w:sz w:val="24"/>
          <w:highlight w:val="none"/>
        </w:rPr>
        <w:t>）指派专人负责收集整理“软件”运行所需数据，并保证数据的完整性和正确性。</w:t>
      </w:r>
    </w:p>
    <w:p w14:paraId="430B5E3C">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5</w:t>
      </w:r>
      <w:r>
        <w:rPr>
          <w:rFonts w:hint="eastAsia" w:cs="宋体" w:asciiTheme="minorEastAsia" w:hAnsiTheme="minorEastAsia" w:eastAsiaTheme="minorEastAsia"/>
          <w:color w:val="auto"/>
          <w:sz w:val="24"/>
          <w:highlight w:val="none"/>
        </w:rPr>
        <w:t>）负责提供直线电话或“软件”系统实施所需的基础设施（包括为今后远程服务需要所应配备的联网接入条件）。</w:t>
      </w:r>
    </w:p>
    <w:p w14:paraId="1794E402">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6</w:t>
      </w:r>
      <w:r>
        <w:rPr>
          <w:rFonts w:hint="eastAsia" w:cs="宋体" w:asciiTheme="minorEastAsia" w:hAnsiTheme="minorEastAsia" w:eastAsiaTheme="minorEastAsia"/>
          <w:color w:val="auto"/>
          <w:sz w:val="24"/>
          <w:highlight w:val="none"/>
        </w:rPr>
        <w:t>）负责帮助协调信息系统维护服务与第三方相关软件连接（如</w:t>
      </w:r>
      <w:r>
        <w:rPr>
          <w:rFonts w:cs="宋体" w:asciiTheme="minorEastAsia" w:hAnsiTheme="minorEastAsia" w:eastAsiaTheme="minorEastAsia"/>
          <w:color w:val="auto"/>
          <w:sz w:val="24"/>
          <w:highlight w:val="none"/>
        </w:rPr>
        <w:t>HIS</w:t>
      </w: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PACS</w:t>
      </w: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LIS</w:t>
      </w:r>
      <w:r>
        <w:rPr>
          <w:rFonts w:hint="eastAsia" w:cs="宋体" w:asciiTheme="minorEastAsia" w:hAnsiTheme="minorEastAsia" w:eastAsiaTheme="minorEastAsia"/>
          <w:color w:val="auto"/>
          <w:sz w:val="24"/>
          <w:highlight w:val="none"/>
        </w:rPr>
        <w:t>等）的接口工作，提供</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要求的第三方软件标准的数据接口。</w:t>
      </w:r>
    </w:p>
    <w:p w14:paraId="26FE34CA">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7</w:t>
      </w:r>
      <w:r>
        <w:rPr>
          <w:rFonts w:hint="eastAsia" w:cs="宋体" w:asciiTheme="minorEastAsia" w:hAnsiTheme="minorEastAsia" w:eastAsiaTheme="minorEastAsia"/>
          <w:color w:val="auto"/>
          <w:sz w:val="24"/>
          <w:highlight w:val="none"/>
        </w:rPr>
        <w:t>）对于采购人自行修改软件导致的损失及责任由采购人承担。</w:t>
      </w:r>
    </w:p>
    <w:p w14:paraId="158CBAB1">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8</w:t>
      </w:r>
      <w:r>
        <w:rPr>
          <w:rFonts w:hint="eastAsia" w:cs="宋体" w:asciiTheme="minorEastAsia" w:hAnsiTheme="minorEastAsia" w:eastAsiaTheme="minorEastAsia"/>
          <w:color w:val="auto"/>
          <w:sz w:val="24"/>
          <w:highlight w:val="none"/>
        </w:rPr>
        <w:t>）为不影响采购人正常业务，</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可能需要利用休息时间或者节假日，采购人应积极配合并协调好各部门的关系。</w:t>
      </w:r>
    </w:p>
    <w:p w14:paraId="31B33F14">
      <w:pPr>
        <w:numPr>
          <w:ilvl w:val="0"/>
          <w:numId w:val="19"/>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lang w:eastAsia="zh-CN"/>
        </w:rPr>
        <w:t>服务商</w:t>
      </w:r>
      <w:r>
        <w:rPr>
          <w:rFonts w:hint="eastAsia" w:asciiTheme="minorEastAsia" w:hAnsiTheme="minorEastAsia" w:eastAsiaTheme="minorEastAsia"/>
          <w:color w:val="auto"/>
          <w:sz w:val="24"/>
          <w:highlight w:val="none"/>
        </w:rPr>
        <w:t>责任</w:t>
      </w:r>
    </w:p>
    <w:p w14:paraId="3DC16AD8">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1</w:t>
      </w:r>
      <w:r>
        <w:rPr>
          <w:rFonts w:hint="eastAsia" w:cs="宋体" w:asciiTheme="minorEastAsia" w:hAnsiTheme="minorEastAsia" w:eastAsiaTheme="minorEastAsia"/>
          <w:color w:val="auto"/>
          <w:sz w:val="24"/>
          <w:highlight w:val="none"/>
        </w:rPr>
        <w:t>）提供“软件”及按用户需求书中的文档要求提供软件相关文档。</w:t>
      </w:r>
    </w:p>
    <w:p w14:paraId="5DAFAD36">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2</w:t>
      </w:r>
      <w:r>
        <w:rPr>
          <w:rFonts w:hint="eastAsia" w:cs="宋体" w:asciiTheme="minorEastAsia" w:hAnsiTheme="minorEastAsia" w:eastAsiaTheme="minorEastAsia"/>
          <w:color w:val="auto"/>
          <w:sz w:val="24"/>
          <w:highlight w:val="none"/>
        </w:rPr>
        <w:t>）保证“软件”功能与</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提供给采购人的方案和演示系统中的“软件”功能描述一致。</w:t>
      </w:r>
    </w:p>
    <w:p w14:paraId="2114B06A">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3</w:t>
      </w:r>
      <w:r>
        <w:rPr>
          <w:rFonts w:hint="eastAsia" w:cs="宋体" w:asciiTheme="minorEastAsia" w:hAnsiTheme="minorEastAsia" w:eastAsiaTheme="minorEastAsia"/>
          <w:color w:val="auto"/>
          <w:sz w:val="24"/>
          <w:highlight w:val="none"/>
        </w:rPr>
        <w:t>）</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应保护采购人在使用该系统时不受第三方提出侵权指控。</w:t>
      </w:r>
    </w:p>
    <w:p w14:paraId="11AA751D">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4</w:t>
      </w:r>
      <w:r>
        <w:rPr>
          <w:rFonts w:hint="eastAsia" w:cs="宋体" w:asciiTheme="minorEastAsia" w:hAnsiTheme="minorEastAsia" w:eastAsiaTheme="minorEastAsia"/>
          <w:color w:val="auto"/>
          <w:sz w:val="24"/>
          <w:highlight w:val="none"/>
        </w:rPr>
        <w:t>）保证整体信息系统维护服务运行安全、稳定、高效和数据完整准确。</w:t>
      </w:r>
    </w:p>
    <w:p w14:paraId="3A8950D5">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5</w:t>
      </w:r>
      <w:r>
        <w:rPr>
          <w:rFonts w:hint="eastAsia" w:cs="宋体" w:asciiTheme="minorEastAsia" w:hAnsiTheme="minorEastAsia" w:eastAsiaTheme="minorEastAsia"/>
          <w:color w:val="auto"/>
          <w:sz w:val="24"/>
          <w:highlight w:val="none"/>
        </w:rPr>
        <w:t>）负责采购人“软件”系统维护人员及信息系统维护服务软件骨干操作人员的培训。</w:t>
      </w:r>
    </w:p>
    <w:p w14:paraId="3070F097">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6</w:t>
      </w:r>
      <w:r>
        <w:rPr>
          <w:rFonts w:hint="eastAsia" w:cs="宋体" w:asciiTheme="minorEastAsia" w:hAnsiTheme="minorEastAsia" w:eastAsiaTheme="minorEastAsia"/>
          <w:color w:val="auto"/>
          <w:sz w:val="24"/>
          <w:highlight w:val="none"/>
        </w:rPr>
        <w:t>）负责“软件”系统的安装、调试工作。</w:t>
      </w:r>
    </w:p>
    <w:p w14:paraId="6B6D7793">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7</w:t>
      </w:r>
      <w:r>
        <w:rPr>
          <w:rFonts w:hint="eastAsia" w:cs="宋体" w:asciiTheme="minorEastAsia" w:hAnsiTheme="minorEastAsia" w:eastAsiaTheme="minorEastAsia"/>
          <w:color w:val="auto"/>
          <w:sz w:val="24"/>
          <w:highlight w:val="none"/>
        </w:rPr>
        <w:t>）负责“软件”系统与采购人其它信息管理系统的接口，并保证在收到采购人相关接口需求后于</w:t>
      </w:r>
      <w:r>
        <w:rPr>
          <w:rFonts w:cs="宋体" w:asciiTheme="minorEastAsia" w:hAnsiTheme="minorEastAsia" w:eastAsiaTheme="minorEastAsia"/>
          <w:color w:val="auto"/>
          <w:sz w:val="24"/>
          <w:highlight w:val="none"/>
        </w:rPr>
        <w:t>20</w:t>
      </w:r>
      <w:r>
        <w:rPr>
          <w:rFonts w:hint="eastAsia" w:cs="宋体" w:asciiTheme="minorEastAsia" w:hAnsiTheme="minorEastAsia" w:eastAsiaTheme="minorEastAsia"/>
          <w:color w:val="auto"/>
          <w:sz w:val="24"/>
          <w:highlight w:val="none"/>
        </w:rPr>
        <w:t>个工作日内完成相应接口工作。</w:t>
      </w:r>
    </w:p>
    <w:p w14:paraId="51D43A78">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8</w:t>
      </w:r>
      <w:r>
        <w:rPr>
          <w:rFonts w:hint="eastAsia" w:cs="宋体" w:asciiTheme="minorEastAsia" w:hAnsiTheme="minorEastAsia" w:eastAsiaTheme="minorEastAsia"/>
          <w:color w:val="auto"/>
          <w:sz w:val="24"/>
          <w:highlight w:val="none"/>
        </w:rPr>
        <w:t>）负责“软件”的客户化修改工作，按照《软件系统客户化需求说明书》规定的内容和工期，完成“软件”范围内的客户化修改，并按用户需求书中的文档要求提供软件相关文档（电子版）。</w:t>
      </w:r>
    </w:p>
    <w:p w14:paraId="6E7E575F">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9</w:t>
      </w:r>
      <w:r>
        <w:rPr>
          <w:rFonts w:hint="eastAsia" w:cs="宋体" w:asciiTheme="minorEastAsia" w:hAnsiTheme="minorEastAsia" w:eastAsiaTheme="minorEastAsia"/>
          <w:color w:val="auto"/>
          <w:sz w:val="24"/>
          <w:highlight w:val="none"/>
        </w:rPr>
        <w:t>）</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承诺对影响“软件”系统正常运转的故障响应时间小于</w:t>
      </w:r>
      <w:r>
        <w:rPr>
          <w:rFonts w:cs="宋体" w:asciiTheme="minorEastAsia" w:hAnsiTheme="minorEastAsia" w:eastAsiaTheme="minorEastAsia"/>
          <w:color w:val="auto"/>
          <w:sz w:val="24"/>
          <w:highlight w:val="none"/>
        </w:rPr>
        <w:t>1</w:t>
      </w:r>
      <w:r>
        <w:rPr>
          <w:rFonts w:hint="eastAsia" w:cs="宋体" w:asciiTheme="minorEastAsia" w:hAnsiTheme="minorEastAsia" w:eastAsiaTheme="minorEastAsia"/>
          <w:color w:val="auto"/>
          <w:sz w:val="24"/>
          <w:highlight w:val="none"/>
        </w:rPr>
        <w:t>小时。</w:t>
      </w:r>
    </w:p>
    <w:p w14:paraId="7A8158FC">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10</w:t>
      </w:r>
      <w:r>
        <w:rPr>
          <w:rFonts w:hint="eastAsia" w:cs="宋体" w:asciiTheme="minorEastAsia" w:hAnsiTheme="minorEastAsia" w:eastAsiaTheme="minorEastAsia"/>
          <w:color w:val="auto"/>
          <w:sz w:val="24"/>
          <w:highlight w:val="none"/>
        </w:rPr>
        <w:t>）</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向采购人提供“软件”系统，并根据采购人业务需要进行适当的修改和定制，同时负责该信息系统的升级工作。</w:t>
      </w:r>
    </w:p>
    <w:p w14:paraId="49FA27E3">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11</w:t>
      </w:r>
      <w:r>
        <w:rPr>
          <w:rFonts w:hint="eastAsia" w:cs="宋体" w:asciiTheme="minorEastAsia" w:hAnsiTheme="minorEastAsia" w:eastAsiaTheme="minorEastAsia"/>
          <w:color w:val="auto"/>
          <w:sz w:val="24"/>
          <w:highlight w:val="none"/>
        </w:rPr>
        <w:t>）</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应保证开发修改工作的质量，</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根据采购人需求开发修改的功能，应保证能够在不经采购人测试的情况下在采购人的业务环境中正常运行。</w:t>
      </w:r>
    </w:p>
    <w:p w14:paraId="711650E2">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1</w:t>
      </w:r>
      <w:r>
        <w:rPr>
          <w:rFonts w:hint="eastAsia" w:cs="宋体" w:asciiTheme="minorEastAsia" w:hAnsiTheme="minorEastAsia" w:eastAsiaTheme="minorEastAsia"/>
          <w:color w:val="auto"/>
          <w:sz w:val="24"/>
          <w:highlight w:val="none"/>
        </w:rPr>
        <w:t>2）</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应当结合本项目的项目特点拟定完善的、针对性的售后服务管理制度，并确保服务过程中，严格执行售后服务管理制度。</w:t>
      </w:r>
    </w:p>
    <w:p w14:paraId="58BD635F">
      <w:pPr>
        <w:numPr>
          <w:ilvl w:val="0"/>
          <w:numId w:val="19"/>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版权</w:t>
      </w:r>
    </w:p>
    <w:p w14:paraId="6F6BDF96">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1</w:t>
      </w:r>
      <w:r>
        <w:rPr>
          <w:rFonts w:hint="eastAsia" w:cs="宋体" w:asciiTheme="minorEastAsia" w:hAnsiTheme="minorEastAsia" w:eastAsiaTheme="minorEastAsia"/>
          <w:color w:val="auto"/>
          <w:sz w:val="24"/>
          <w:highlight w:val="none"/>
        </w:rPr>
        <w:t>）根据采购人需求由</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开发功能部分之软件版权归双方共有。</w:t>
      </w:r>
    </w:p>
    <w:p w14:paraId="5DDFFC45">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2</w:t>
      </w:r>
      <w:r>
        <w:rPr>
          <w:rFonts w:hint="eastAsia" w:cs="宋体" w:asciiTheme="minorEastAsia" w:hAnsiTheme="minorEastAsia" w:eastAsiaTheme="minorEastAsia"/>
          <w:color w:val="auto"/>
          <w:sz w:val="24"/>
          <w:highlight w:val="none"/>
        </w:rPr>
        <w:t>）采购人应尊重从</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购置的应用软件的注册版权，遵守国家《计算机软件保护条例》有关规定，不得以任何形式再次转让、租赁</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具有完整版权的软件，并不得以任何形式或手段解密该软件。</w:t>
      </w:r>
    </w:p>
    <w:p w14:paraId="3FD46468">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3</w:t>
      </w:r>
      <w:r>
        <w:rPr>
          <w:rFonts w:hint="eastAsia" w:cs="宋体" w:asciiTheme="minorEastAsia" w:hAnsiTheme="minorEastAsia" w:eastAsiaTheme="minorEastAsia"/>
          <w:color w:val="auto"/>
          <w:sz w:val="24"/>
          <w:highlight w:val="none"/>
        </w:rPr>
        <w:t>）采购人在遵循法律及上述两项条款框架内使用系统软件时，不受</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任何其他约束限制。</w:t>
      </w:r>
    </w:p>
    <w:p w14:paraId="0242E474">
      <w:pPr>
        <w:spacing w:line="360" w:lineRule="auto"/>
        <w:ind w:firstLine="480" w:firstLineChars="200"/>
        <w:rPr>
          <w:rFonts w:hint="eastAsia"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w:t>
      </w:r>
      <w:r>
        <w:rPr>
          <w:rFonts w:cs="宋体" w:asciiTheme="minorEastAsia" w:hAnsiTheme="minorEastAsia" w:eastAsiaTheme="minorEastAsia"/>
          <w:color w:val="auto"/>
          <w:sz w:val="24"/>
          <w:highlight w:val="none"/>
        </w:rPr>
        <w:t>4</w:t>
      </w:r>
      <w:r>
        <w:rPr>
          <w:rFonts w:hint="eastAsia" w:cs="宋体" w:asciiTheme="minorEastAsia" w:hAnsiTheme="minorEastAsia" w:eastAsiaTheme="minorEastAsia"/>
          <w:color w:val="auto"/>
          <w:sz w:val="24"/>
          <w:highlight w:val="none"/>
        </w:rPr>
        <w:t>）系统采集之所有数据，所有权归采购人所有。</w:t>
      </w:r>
    </w:p>
    <w:p w14:paraId="4696A36A">
      <w:pPr>
        <w:numPr>
          <w:ilvl w:val="0"/>
          <w:numId w:val="19"/>
        </w:numPr>
        <w:tabs>
          <w:tab w:val="left" w:pos="0"/>
          <w:tab w:val="left" w:pos="210"/>
          <w:tab w:val="left" w:pos="567"/>
        </w:tabs>
        <w:spacing w:line="360" w:lineRule="auto"/>
        <w:ind w:left="0" w:firstLine="480" w:firstLineChars="200"/>
        <w:rPr>
          <w:rFonts w:hint="eastAsia" w:asciiTheme="minorEastAsia" w:hAnsiTheme="minorEastAsia" w:eastAsiaTheme="minorEastAsia"/>
          <w:color w:val="auto"/>
          <w:sz w:val="24"/>
          <w:highlight w:val="none"/>
        </w:rPr>
      </w:pPr>
      <w:r>
        <w:rPr>
          <w:rFonts w:hint="eastAsia" w:asciiTheme="minorEastAsia" w:hAnsiTheme="minorEastAsia" w:eastAsiaTheme="minorEastAsia"/>
          <w:color w:val="auto"/>
          <w:sz w:val="24"/>
          <w:highlight w:val="none"/>
        </w:rPr>
        <w:t>保密原则</w:t>
      </w:r>
    </w:p>
    <w:p w14:paraId="1DC56D9A">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项目中所涉及的双方的内部资料、数据和其他商业信息，未经信息拥有方的许可，信息获得方不得以任何形式用于合同之外的目的，不得以任何形式向第三方泄露。</w:t>
      </w:r>
      <w:r>
        <w:rPr>
          <w:rFonts w:hint="eastAsia" w:cs="宋体" w:asciiTheme="minorEastAsia" w:hAnsiTheme="minorEastAsia" w:eastAsiaTheme="minorEastAsia"/>
          <w:color w:val="auto"/>
          <w:sz w:val="24"/>
          <w:highlight w:val="none"/>
          <w:lang w:eastAsia="zh-CN"/>
        </w:rPr>
        <w:t>服务商</w:t>
      </w:r>
      <w:r>
        <w:rPr>
          <w:rFonts w:hint="eastAsia" w:cs="宋体" w:asciiTheme="minorEastAsia" w:hAnsiTheme="minorEastAsia" w:eastAsiaTheme="minorEastAsia"/>
          <w:color w:val="auto"/>
          <w:sz w:val="24"/>
          <w:highlight w:val="none"/>
        </w:rPr>
        <w:t>不得在软件系统中留有任何可能导致采购人数据泄密的软件“后门”。发生</w:t>
      </w:r>
    </w:p>
    <w:p w14:paraId="52C2922E">
      <w:pPr>
        <w:spacing w:line="360" w:lineRule="auto"/>
        <w:ind w:firstLine="480" w:firstLineChars="200"/>
        <w:rPr>
          <w:rFonts w:hint="eastAsia" w:cs="宋体" w:asciiTheme="minorEastAsia" w:hAnsiTheme="minorEastAsia" w:eastAsiaTheme="minorEastAsia"/>
          <w:color w:val="auto"/>
          <w:sz w:val="24"/>
          <w:highlight w:val="none"/>
        </w:rPr>
      </w:pPr>
      <w:r>
        <w:rPr>
          <w:rFonts w:hint="eastAsia" w:cs="宋体" w:asciiTheme="minorEastAsia" w:hAnsiTheme="minorEastAsia" w:eastAsiaTheme="minorEastAsia"/>
          <w:color w:val="auto"/>
          <w:sz w:val="24"/>
          <w:highlight w:val="none"/>
        </w:rPr>
        <w:t>泄密事件，信息拥有方有权追究泄密方的经济和法律责任。</w:t>
      </w:r>
    </w:p>
    <w:p w14:paraId="1616DA5C">
      <w:pPr>
        <w:spacing w:line="360" w:lineRule="auto"/>
        <w:ind w:firstLine="480" w:firstLineChars="200"/>
        <w:rPr>
          <w:rFonts w:hint="eastAsia" w:cs="宋体" w:asciiTheme="minorEastAsia" w:hAnsiTheme="minorEastAsia" w:eastAsiaTheme="minorEastAsia"/>
          <w:color w:val="auto"/>
          <w:sz w:val="24"/>
          <w:highlight w:val="none"/>
        </w:rPr>
      </w:pPr>
    </w:p>
    <w:p w14:paraId="68CF694E">
      <w:pPr>
        <w:spacing w:line="360" w:lineRule="auto"/>
        <w:ind w:firstLine="602" w:firstLineChars="200"/>
        <w:rPr>
          <w:rFonts w:hint="eastAsia" w:ascii="宋体" w:hAnsi="宋体" w:cs="宋体"/>
          <w:b/>
          <w:color w:val="auto"/>
          <w:sz w:val="30"/>
          <w:szCs w:val="30"/>
          <w:highlight w:val="none"/>
        </w:rPr>
      </w:pPr>
      <w:r>
        <w:rPr>
          <w:rFonts w:ascii="宋体" w:hAnsi="宋体" w:cs="宋体"/>
          <w:b/>
          <w:color w:val="auto"/>
          <w:sz w:val="30"/>
          <w:szCs w:val="30"/>
          <w:highlight w:val="none"/>
        </w:rPr>
        <w:br w:type="page"/>
      </w:r>
    </w:p>
    <w:p w14:paraId="31A65B1F">
      <w:pPr>
        <w:tabs>
          <w:tab w:val="left" w:pos="780"/>
        </w:tabs>
        <w:spacing w:before="120" w:beforeLines="50" w:line="360" w:lineRule="auto"/>
        <w:outlineLvl w:val="0"/>
        <w:rPr>
          <w:rFonts w:hint="eastAsia" w:ascii="宋体" w:hAnsi="宋体" w:cs="宋体"/>
          <w:b/>
          <w:color w:val="auto"/>
          <w:szCs w:val="21"/>
          <w:highlight w:val="none"/>
        </w:rPr>
      </w:pPr>
      <w:r>
        <w:rPr>
          <w:rFonts w:hint="eastAsia" w:ascii="宋体" w:hAnsi="宋体" w:cs="宋体"/>
          <w:b/>
          <w:color w:val="auto"/>
          <w:szCs w:val="21"/>
          <w:highlight w:val="none"/>
        </w:rPr>
        <w:t>附件1</w:t>
      </w:r>
    </w:p>
    <w:p w14:paraId="1835EEB5">
      <w:pPr>
        <w:spacing w:line="276" w:lineRule="auto"/>
        <w:jc w:val="center"/>
        <w:rPr>
          <w:rFonts w:hint="eastAsia" w:ascii="宋体" w:hAnsi="宋体" w:cs="宋体"/>
          <w:b/>
          <w:bCs/>
          <w:color w:val="auto"/>
          <w:sz w:val="24"/>
          <w:highlight w:val="none"/>
        </w:rPr>
      </w:pPr>
      <w:r>
        <w:rPr>
          <w:rFonts w:hint="eastAsia" w:ascii="宋体" w:hAnsi="宋体" w:cs="宋体"/>
          <w:b/>
          <w:bCs/>
          <w:color w:val="auto"/>
          <w:sz w:val="24"/>
          <w:highlight w:val="none"/>
          <w:lang w:val="zh-CN"/>
        </w:rPr>
        <w:t>广东省人民医院信息项目供应商履约评价方案</w:t>
      </w:r>
      <w:r>
        <w:rPr>
          <w:rFonts w:hint="eastAsia" w:ascii="宋体" w:hAnsi="宋体" w:cs="宋体"/>
          <w:b/>
          <w:bCs/>
          <w:color w:val="auto"/>
          <w:sz w:val="24"/>
          <w:highlight w:val="none"/>
        </w:rPr>
        <w:t>确认书</w:t>
      </w:r>
    </w:p>
    <w:p w14:paraId="4AEFBE55">
      <w:pPr>
        <w:spacing w:line="276" w:lineRule="auto"/>
        <w:ind w:firstLine="480" w:firstLineChars="200"/>
        <w:rPr>
          <w:rFonts w:hint="eastAsia" w:ascii="宋体" w:hAnsi="宋体" w:cs="宋体"/>
          <w:bCs/>
          <w:color w:val="auto"/>
          <w:sz w:val="24"/>
          <w:highlight w:val="none"/>
          <w:lang w:val="zh-CN"/>
        </w:rPr>
      </w:pPr>
      <w:r>
        <w:rPr>
          <w:rFonts w:hint="eastAsia" w:ascii="宋体" w:hAnsi="宋体" w:cs="宋体"/>
          <w:bCs/>
          <w:color w:val="auto"/>
          <w:sz w:val="24"/>
          <w:highlight w:val="none"/>
          <w:lang w:val="zh-CN"/>
        </w:rPr>
        <w:t>为进一步完善对信息项目供应商管理、加强监管及有效推进项目进度，建立信息项目合作供应商履约评价反馈机制、具体方案如下：</w:t>
      </w:r>
    </w:p>
    <w:p w14:paraId="69363D7B">
      <w:pPr>
        <w:pStyle w:val="7"/>
        <w:numPr>
          <w:ilvl w:val="0"/>
          <w:numId w:val="20"/>
        </w:numPr>
        <w:spacing w:line="276" w:lineRule="auto"/>
        <w:ind w:left="0" w:firstLine="0" w:firstLineChars="0"/>
        <w:rPr>
          <w:rFonts w:hint="eastAsia" w:ascii="宋体" w:hAnsi="宋体" w:cs="宋体"/>
          <w:b/>
          <w:color w:val="auto"/>
          <w:sz w:val="24"/>
          <w:highlight w:val="none"/>
        </w:rPr>
      </w:pPr>
      <w:r>
        <w:rPr>
          <w:rFonts w:hint="eastAsia" w:ascii="宋体" w:hAnsi="宋体" w:cs="宋体"/>
          <w:b/>
          <w:color w:val="auto"/>
          <w:sz w:val="24"/>
          <w:highlight w:val="none"/>
        </w:rPr>
        <w:t>评价反馈范围</w:t>
      </w:r>
    </w:p>
    <w:p w14:paraId="2DF91D11">
      <w:pPr>
        <w:spacing w:line="276" w:lineRule="auto"/>
        <w:rPr>
          <w:rFonts w:hint="eastAsia" w:ascii="宋体" w:hAnsi="宋体" w:cs="宋体"/>
          <w:bCs/>
          <w:color w:val="auto"/>
          <w:sz w:val="24"/>
          <w:highlight w:val="none"/>
          <w:lang w:val="zh-CN"/>
        </w:rPr>
      </w:pPr>
      <w:r>
        <w:rPr>
          <w:rFonts w:hint="eastAsia" w:ascii="宋体" w:hAnsi="宋体" w:cs="宋体"/>
          <w:bCs/>
          <w:color w:val="auto"/>
          <w:sz w:val="24"/>
          <w:highlight w:val="none"/>
          <w:lang w:val="zh-CN"/>
        </w:rPr>
        <w:t>通过招标采购方式的在建信息项目（即尚未完成验收信息项目）。</w:t>
      </w:r>
    </w:p>
    <w:p w14:paraId="7020842F">
      <w:pPr>
        <w:pStyle w:val="7"/>
        <w:numPr>
          <w:ilvl w:val="0"/>
          <w:numId w:val="20"/>
        </w:numPr>
        <w:spacing w:line="276" w:lineRule="auto"/>
        <w:ind w:left="0" w:firstLine="0" w:firstLineChars="0"/>
        <w:rPr>
          <w:rFonts w:hint="eastAsia" w:ascii="宋体" w:hAnsi="宋体" w:cs="宋体"/>
          <w:b/>
          <w:color w:val="auto"/>
          <w:sz w:val="24"/>
          <w:highlight w:val="none"/>
        </w:rPr>
      </w:pPr>
      <w:r>
        <w:rPr>
          <w:rFonts w:hint="eastAsia" w:ascii="宋体" w:hAnsi="宋体" w:cs="宋体"/>
          <w:b/>
          <w:color w:val="auto"/>
          <w:sz w:val="24"/>
          <w:highlight w:val="none"/>
        </w:rPr>
        <w:t>评价反馈周期</w:t>
      </w:r>
    </w:p>
    <w:p w14:paraId="3512BD7E">
      <w:pPr>
        <w:spacing w:line="276" w:lineRule="auto"/>
        <w:rPr>
          <w:rFonts w:hint="eastAsia" w:ascii="宋体" w:hAnsi="宋体" w:cs="宋体"/>
          <w:bCs/>
          <w:color w:val="auto"/>
          <w:sz w:val="24"/>
          <w:highlight w:val="none"/>
          <w:lang w:val="zh-CN"/>
        </w:rPr>
      </w:pPr>
      <w:r>
        <w:rPr>
          <w:rFonts w:hint="eastAsia" w:ascii="宋体" w:hAnsi="宋体" w:cs="宋体"/>
          <w:bCs/>
          <w:color w:val="auto"/>
          <w:sz w:val="24"/>
          <w:highlight w:val="none"/>
          <w:lang w:val="zh-CN"/>
        </w:rPr>
        <w:t>不定期（至少每三个月一次）对项目承建供应商进行评价反馈。</w:t>
      </w:r>
    </w:p>
    <w:p w14:paraId="54A890A6">
      <w:pPr>
        <w:pStyle w:val="7"/>
        <w:numPr>
          <w:ilvl w:val="0"/>
          <w:numId w:val="20"/>
        </w:numPr>
        <w:spacing w:line="276" w:lineRule="auto"/>
        <w:ind w:left="0" w:firstLine="0" w:firstLineChars="0"/>
        <w:rPr>
          <w:rFonts w:hint="eastAsia" w:ascii="宋体" w:hAnsi="宋体" w:cs="宋体"/>
          <w:b/>
          <w:color w:val="auto"/>
          <w:sz w:val="24"/>
          <w:highlight w:val="none"/>
        </w:rPr>
      </w:pPr>
      <w:r>
        <w:rPr>
          <w:rFonts w:hint="eastAsia" w:ascii="宋体" w:hAnsi="宋体" w:cs="宋体"/>
          <w:b/>
          <w:color w:val="auto"/>
          <w:sz w:val="24"/>
          <w:highlight w:val="none"/>
        </w:rPr>
        <w:t>评价评分机制</w:t>
      </w:r>
    </w:p>
    <w:p w14:paraId="68E321E3">
      <w:pPr>
        <w:numPr>
          <w:ilvl w:val="0"/>
          <w:numId w:val="21"/>
        </w:numPr>
        <w:spacing w:line="276" w:lineRule="auto"/>
        <w:ind w:firstLine="0"/>
        <w:rPr>
          <w:rFonts w:hint="eastAsia" w:ascii="宋体" w:hAnsi="宋体" w:cs="宋体"/>
          <w:color w:val="auto"/>
          <w:sz w:val="24"/>
          <w:highlight w:val="none"/>
        </w:rPr>
      </w:pPr>
      <w:r>
        <w:rPr>
          <w:rFonts w:hint="eastAsia" w:ascii="宋体" w:hAnsi="宋体" w:cs="宋体"/>
          <w:color w:val="auto"/>
          <w:sz w:val="24"/>
          <w:highlight w:val="none"/>
        </w:rPr>
        <w:t>由项目主管对项目承建供应商的履约情况进行评分，并填写《广东省人民医院在建信息项目承建供应商履约评分表》（详见附件2）、由项目监管对评分进行审核签字。</w:t>
      </w:r>
    </w:p>
    <w:p w14:paraId="4F498723">
      <w:pPr>
        <w:numPr>
          <w:ilvl w:val="0"/>
          <w:numId w:val="21"/>
        </w:numPr>
        <w:spacing w:line="276" w:lineRule="auto"/>
        <w:ind w:firstLine="0"/>
        <w:rPr>
          <w:rFonts w:hint="eastAsia" w:ascii="宋体" w:hAnsi="宋体" w:cs="宋体"/>
          <w:color w:val="auto"/>
          <w:sz w:val="24"/>
          <w:highlight w:val="none"/>
        </w:rPr>
      </w:pPr>
      <w:r>
        <w:rPr>
          <w:rFonts w:hint="eastAsia" w:ascii="宋体" w:hAnsi="宋体" w:cs="宋体"/>
          <w:color w:val="auto"/>
          <w:sz w:val="24"/>
          <w:highlight w:val="none"/>
        </w:rPr>
        <w:t>由信管处业务管理科收集汇总每季度各信息项目承建供应商的履约评分情况、提交信管处处务会通报并呈报信息主管副院长。</w:t>
      </w:r>
    </w:p>
    <w:p w14:paraId="41337365">
      <w:pPr>
        <w:numPr>
          <w:ilvl w:val="0"/>
          <w:numId w:val="21"/>
        </w:numPr>
        <w:spacing w:line="276" w:lineRule="auto"/>
        <w:ind w:firstLine="0"/>
        <w:rPr>
          <w:rFonts w:hint="eastAsia" w:ascii="宋体" w:hAnsi="宋体" w:cs="宋体"/>
          <w:color w:val="auto"/>
          <w:sz w:val="24"/>
          <w:highlight w:val="none"/>
        </w:rPr>
      </w:pPr>
      <w:r>
        <w:rPr>
          <w:rFonts w:hint="eastAsia" w:ascii="宋体" w:hAnsi="宋体" w:cs="宋体"/>
          <w:color w:val="auto"/>
          <w:sz w:val="24"/>
          <w:highlight w:val="none"/>
        </w:rPr>
        <w:t>根据评分结果，对履约评分低于70分的供应商采取敦促措施如下：</w:t>
      </w:r>
    </w:p>
    <w:p w14:paraId="20A1963F">
      <w:pPr>
        <w:pStyle w:val="7"/>
        <w:tabs>
          <w:tab w:val="left" w:pos="640"/>
        </w:tabs>
        <w:spacing w:line="276" w:lineRule="auto"/>
        <w:ind w:firstLine="0" w:firstLineChars="0"/>
        <w:rPr>
          <w:rFonts w:hint="eastAsia" w:ascii="宋体" w:hAnsi="宋体" w:cs="宋体"/>
          <w:color w:val="auto"/>
          <w:sz w:val="24"/>
          <w:highlight w:val="none"/>
        </w:rPr>
      </w:pPr>
      <w:r>
        <w:rPr>
          <w:rFonts w:hint="eastAsia" w:ascii="宋体" w:hAnsi="宋体" w:cs="宋体"/>
          <w:color w:val="auto"/>
          <w:sz w:val="24"/>
          <w:highlight w:val="none"/>
        </w:rPr>
        <w:t>（1）首次季度履约评分低于70分（含70分）：由信管处业务管理科联同项目组约谈供应商，并将约谈记录和评分结果和通过公函正式反馈供应商。</w:t>
      </w:r>
    </w:p>
    <w:p w14:paraId="2154181A">
      <w:pPr>
        <w:pStyle w:val="7"/>
        <w:tabs>
          <w:tab w:val="left" w:pos="640"/>
        </w:tabs>
        <w:spacing w:line="276" w:lineRule="auto"/>
        <w:ind w:firstLine="0" w:firstLineChars="0"/>
        <w:rPr>
          <w:rFonts w:hint="eastAsia" w:ascii="宋体" w:hAnsi="宋体" w:cs="宋体"/>
          <w:color w:val="auto"/>
          <w:sz w:val="24"/>
          <w:highlight w:val="none"/>
        </w:rPr>
      </w:pPr>
      <w:r>
        <w:rPr>
          <w:rFonts w:hint="eastAsia" w:ascii="宋体" w:hAnsi="宋体" w:cs="宋体"/>
          <w:color w:val="auto"/>
          <w:sz w:val="24"/>
          <w:highlight w:val="none"/>
        </w:rPr>
        <w:t>（2）连续两个季度履约评分低于70分（含70分）：由信管处业务管理科呈报提请信息主管副院长约谈供应商；将约谈记录和评分结果正式通过公函反馈供应商，并对应扣罚20%履约保证金。我院有权单方面解除合同。</w:t>
      </w:r>
    </w:p>
    <w:p w14:paraId="5A335903">
      <w:pPr>
        <w:pStyle w:val="7"/>
        <w:tabs>
          <w:tab w:val="left" w:pos="640"/>
        </w:tabs>
        <w:spacing w:line="276" w:lineRule="auto"/>
        <w:ind w:firstLine="0" w:firstLineChars="0"/>
        <w:rPr>
          <w:rFonts w:hint="eastAsia" w:ascii="宋体" w:hAnsi="宋体" w:cs="宋体"/>
          <w:color w:val="auto"/>
          <w:sz w:val="24"/>
          <w:highlight w:val="none"/>
        </w:rPr>
      </w:pPr>
      <w:r>
        <w:rPr>
          <w:rFonts w:hint="eastAsia" w:ascii="宋体" w:hAnsi="宋体" w:cs="宋体"/>
          <w:color w:val="auto"/>
          <w:sz w:val="24"/>
          <w:highlight w:val="none"/>
        </w:rPr>
        <w:t>（3）连续三个季度履约评分低于70分（含70分）：由信管处形成报告呈报院长办公会、提请将该供应商列入我院采购黑名单、并扣罚该项目剩余履约保证金。我院有权单方面解除合同。</w:t>
      </w:r>
    </w:p>
    <w:p w14:paraId="56B7253D">
      <w:pPr>
        <w:pStyle w:val="7"/>
        <w:numPr>
          <w:ilvl w:val="0"/>
          <w:numId w:val="20"/>
        </w:numPr>
        <w:spacing w:line="276" w:lineRule="auto"/>
        <w:ind w:left="0" w:firstLine="0" w:firstLineChars="0"/>
        <w:rPr>
          <w:rFonts w:hint="eastAsia" w:ascii="宋体" w:hAnsi="宋体" w:cs="宋体"/>
          <w:b/>
          <w:color w:val="auto"/>
          <w:sz w:val="24"/>
          <w:highlight w:val="none"/>
        </w:rPr>
      </w:pPr>
      <w:r>
        <w:rPr>
          <w:rFonts w:hint="eastAsia" w:ascii="宋体" w:hAnsi="宋体" w:cs="宋体"/>
          <w:b/>
          <w:color w:val="auto"/>
          <w:sz w:val="24"/>
          <w:highlight w:val="none"/>
        </w:rPr>
        <w:t>其他</w:t>
      </w:r>
    </w:p>
    <w:p w14:paraId="660F660C">
      <w:pPr>
        <w:spacing w:line="276" w:lineRule="auto"/>
        <w:rPr>
          <w:rFonts w:hint="eastAsia" w:ascii="宋体" w:hAnsi="宋体" w:cs="宋体"/>
          <w:color w:val="auto"/>
          <w:sz w:val="24"/>
          <w:highlight w:val="none"/>
        </w:rPr>
      </w:pPr>
      <w:r>
        <w:rPr>
          <w:rFonts w:hint="eastAsia" w:ascii="宋体" w:hAnsi="宋体" w:cs="宋体"/>
          <w:color w:val="auto"/>
          <w:sz w:val="24"/>
          <w:highlight w:val="none"/>
        </w:rPr>
        <w:t>本确认书一式两份，采购人一份，中标供应商一份，两份协议具有同等法律效力。本确认书自中标供应商盖章之日起生效。</w:t>
      </w:r>
    </w:p>
    <w:p w14:paraId="21959F2C">
      <w:pPr>
        <w:spacing w:line="276" w:lineRule="auto"/>
        <w:rPr>
          <w:rFonts w:hint="eastAsia" w:ascii="宋体" w:hAnsi="宋体" w:cs="宋体"/>
          <w:color w:val="auto"/>
          <w:sz w:val="24"/>
          <w:highlight w:val="none"/>
        </w:rPr>
      </w:pPr>
    </w:p>
    <w:p w14:paraId="57C00F64">
      <w:pPr>
        <w:spacing w:line="276" w:lineRule="auto"/>
        <w:rPr>
          <w:rFonts w:hint="eastAsia" w:ascii="宋体" w:hAnsi="宋体" w:cs="宋体"/>
          <w:color w:val="auto"/>
          <w:sz w:val="24"/>
          <w:highlight w:val="none"/>
        </w:rPr>
      </w:pPr>
      <w:r>
        <w:rPr>
          <w:rFonts w:hint="eastAsia" w:ascii="宋体" w:hAnsi="宋体" w:cs="宋体"/>
          <w:color w:val="auto"/>
          <w:sz w:val="24"/>
          <w:highlight w:val="none"/>
        </w:rPr>
        <w:t>附件2：《广东省人民医院在建信息项目承建供应商履约评分表》</w:t>
      </w:r>
    </w:p>
    <w:p w14:paraId="0A54D569">
      <w:pPr>
        <w:wordWrap w:val="0"/>
        <w:spacing w:line="276" w:lineRule="auto"/>
        <w:jc w:val="right"/>
        <w:rPr>
          <w:rFonts w:hint="eastAsia" w:ascii="宋体" w:hAnsi="宋体" w:cs="宋体"/>
          <w:b/>
          <w:color w:val="auto"/>
          <w:sz w:val="24"/>
          <w:highlight w:val="none"/>
        </w:rPr>
      </w:pPr>
      <w:r>
        <w:rPr>
          <w:rFonts w:hint="eastAsia" w:ascii="宋体" w:hAnsi="宋体" w:cs="宋体"/>
          <w:b/>
          <w:color w:val="auto"/>
          <w:sz w:val="24"/>
          <w:highlight w:val="none"/>
        </w:rPr>
        <w:t xml:space="preserve">广东省人民医院   </w:t>
      </w:r>
    </w:p>
    <w:p w14:paraId="38996614">
      <w:pPr>
        <w:wordWrap w:val="0"/>
        <w:spacing w:line="276" w:lineRule="auto"/>
        <w:jc w:val="right"/>
        <w:rPr>
          <w:rFonts w:hint="eastAsia" w:ascii="宋体" w:hAnsi="宋体" w:cs="宋体"/>
          <w:b/>
          <w:color w:val="auto"/>
          <w:sz w:val="24"/>
          <w:highlight w:val="none"/>
        </w:rPr>
      </w:pPr>
      <w:r>
        <w:rPr>
          <w:rFonts w:hint="eastAsia" w:ascii="宋体" w:hAnsi="宋体" w:cs="宋体"/>
          <w:b/>
          <w:color w:val="auto"/>
          <w:sz w:val="24"/>
          <w:highlight w:val="none"/>
        </w:rPr>
        <w:t xml:space="preserve">信息管理处    </w:t>
      </w:r>
    </w:p>
    <w:p w14:paraId="44EEC53A">
      <w:pPr>
        <w:spacing w:line="276" w:lineRule="auto"/>
        <w:jc w:val="right"/>
        <w:rPr>
          <w:rFonts w:hint="eastAsia" w:ascii="宋体" w:hAnsi="宋体" w:cs="宋体"/>
          <w:b/>
          <w:color w:val="auto"/>
          <w:sz w:val="24"/>
          <w:highlight w:val="none"/>
        </w:rPr>
      </w:pPr>
      <w:r>
        <w:rPr>
          <w:rFonts w:hint="eastAsia" w:ascii="宋体" w:hAnsi="宋体" w:cs="宋体"/>
          <w:b/>
          <w:color w:val="auto"/>
          <w:sz w:val="24"/>
          <w:highlight w:val="none"/>
        </w:rPr>
        <w:t>202    年    月    日</w:t>
      </w:r>
    </w:p>
    <w:p w14:paraId="0384C8A8">
      <w:pPr>
        <w:spacing w:line="276" w:lineRule="auto"/>
        <w:rPr>
          <w:rFonts w:hint="eastAsia" w:ascii="宋体" w:hAnsi="宋体" w:cs="宋体"/>
          <w:b/>
          <w:color w:val="auto"/>
          <w:sz w:val="24"/>
          <w:highlight w:val="none"/>
        </w:rPr>
      </w:pPr>
      <w:r>
        <w:rPr>
          <w:rFonts w:hint="eastAsia" w:ascii="宋体" w:hAnsi="宋体" w:cs="宋体"/>
          <w:b/>
          <w:color w:val="auto"/>
          <w:sz w:val="24"/>
          <w:highlight w:val="none"/>
        </w:rPr>
        <w:t>供应商名称（盖章）：</w:t>
      </w:r>
    </w:p>
    <w:p w14:paraId="2833018A">
      <w:pPr>
        <w:spacing w:line="276" w:lineRule="auto"/>
        <w:rPr>
          <w:rFonts w:hint="eastAsia" w:ascii="宋体" w:hAnsi="宋体" w:cs="宋体"/>
          <w:b/>
          <w:color w:val="auto"/>
          <w:sz w:val="24"/>
          <w:highlight w:val="none"/>
        </w:rPr>
      </w:pPr>
      <w:r>
        <w:rPr>
          <w:rFonts w:hint="eastAsia" w:ascii="宋体" w:hAnsi="宋体" w:cs="宋体"/>
          <w:b/>
          <w:color w:val="auto"/>
          <w:sz w:val="24"/>
          <w:highlight w:val="none"/>
        </w:rPr>
        <w:t>我司同意执行贵院的履约评价方案。</w:t>
      </w:r>
    </w:p>
    <w:p w14:paraId="16DD5FD4">
      <w:pPr>
        <w:spacing w:line="276" w:lineRule="auto"/>
        <w:rPr>
          <w:rFonts w:hint="eastAsia" w:ascii="宋体" w:hAnsi="宋体" w:cs="宋体"/>
          <w:b/>
          <w:color w:val="auto"/>
          <w:sz w:val="24"/>
          <w:highlight w:val="none"/>
        </w:rPr>
      </w:pPr>
    </w:p>
    <w:p w14:paraId="247AC1E0">
      <w:pPr>
        <w:spacing w:line="276" w:lineRule="auto"/>
        <w:rPr>
          <w:rFonts w:hint="eastAsia" w:ascii="宋体" w:hAnsi="宋体" w:cs="宋体"/>
          <w:b/>
          <w:color w:val="auto"/>
          <w:sz w:val="24"/>
          <w:highlight w:val="none"/>
        </w:rPr>
      </w:pPr>
      <w:r>
        <w:rPr>
          <w:rFonts w:hint="eastAsia" w:ascii="宋体" w:hAnsi="宋体" w:cs="宋体"/>
          <w:b/>
          <w:color w:val="auto"/>
          <w:sz w:val="24"/>
          <w:highlight w:val="none"/>
        </w:rPr>
        <w:t>项 目 名称：</w:t>
      </w:r>
    </w:p>
    <w:p w14:paraId="38EC699B">
      <w:pPr>
        <w:spacing w:line="276" w:lineRule="auto"/>
        <w:rPr>
          <w:rFonts w:hint="eastAsia" w:ascii="宋体" w:hAnsi="宋体" w:cs="宋体"/>
          <w:b/>
          <w:color w:val="auto"/>
          <w:sz w:val="24"/>
          <w:highlight w:val="none"/>
        </w:rPr>
      </w:pPr>
      <w:r>
        <w:rPr>
          <w:rFonts w:hint="eastAsia" w:ascii="宋体" w:hAnsi="宋体" w:cs="宋体"/>
          <w:b/>
          <w:color w:val="auto"/>
          <w:sz w:val="24"/>
          <w:highlight w:val="none"/>
        </w:rPr>
        <w:t>项目负责人：</w:t>
      </w:r>
    </w:p>
    <w:p w14:paraId="20421667">
      <w:pPr>
        <w:spacing w:line="276" w:lineRule="auto"/>
        <w:rPr>
          <w:rFonts w:hint="eastAsia" w:ascii="宋体" w:hAnsi="宋体" w:cs="宋体"/>
          <w:b/>
          <w:color w:val="auto"/>
          <w:sz w:val="24"/>
          <w:highlight w:val="none"/>
        </w:rPr>
      </w:pPr>
      <w:r>
        <w:rPr>
          <w:rFonts w:hint="eastAsia" w:ascii="宋体" w:hAnsi="宋体" w:cs="宋体"/>
          <w:b/>
          <w:color w:val="auto"/>
          <w:sz w:val="24"/>
          <w:highlight w:val="none"/>
        </w:rPr>
        <w:t>手  机  号：</w:t>
      </w:r>
    </w:p>
    <w:p w14:paraId="209C309E">
      <w:pPr>
        <w:spacing w:line="276" w:lineRule="auto"/>
        <w:rPr>
          <w:rFonts w:hint="eastAsia" w:ascii="宋体" w:hAnsi="宋体" w:cs="宋体"/>
          <w:b/>
          <w:color w:val="auto"/>
          <w:sz w:val="24"/>
          <w:highlight w:val="none"/>
        </w:rPr>
      </w:pPr>
      <w:r>
        <w:rPr>
          <w:rFonts w:hint="eastAsia" w:ascii="宋体" w:hAnsi="宋体" w:cs="宋体"/>
          <w:b/>
          <w:color w:val="auto"/>
          <w:sz w:val="24"/>
          <w:highlight w:val="none"/>
        </w:rPr>
        <w:t>邮      箱：</w:t>
      </w:r>
    </w:p>
    <w:p w14:paraId="593C50F4">
      <w:pPr>
        <w:spacing w:line="276" w:lineRule="auto"/>
        <w:rPr>
          <w:rFonts w:hint="eastAsia" w:ascii="宋体" w:hAnsi="宋体" w:cs="宋体"/>
          <w:b/>
          <w:color w:val="auto"/>
          <w:sz w:val="24"/>
          <w:highlight w:val="none"/>
        </w:rPr>
        <w:sectPr>
          <w:footerReference r:id="rId3" w:type="default"/>
          <w:pgSz w:w="11900" w:h="16840"/>
          <w:pgMar w:top="1134" w:right="1127" w:bottom="1560" w:left="1134" w:header="0" w:footer="694" w:gutter="0"/>
          <w:cols w:space="720" w:num="1"/>
        </w:sectPr>
      </w:pPr>
      <w:r>
        <w:rPr>
          <w:rFonts w:hint="eastAsia" w:ascii="宋体" w:hAnsi="宋体" w:cs="宋体"/>
          <w:b/>
          <w:color w:val="auto"/>
          <w:sz w:val="24"/>
          <w:highlight w:val="none"/>
        </w:rPr>
        <w:t>日      期：</w:t>
      </w:r>
    </w:p>
    <w:p w14:paraId="6244DBE1">
      <w:pPr>
        <w:tabs>
          <w:tab w:val="left" w:pos="780"/>
        </w:tabs>
        <w:spacing w:before="156" w:beforeLines="50" w:line="360" w:lineRule="auto"/>
        <w:outlineLvl w:val="0"/>
        <w:rPr>
          <w:rFonts w:hint="eastAsia" w:ascii="宋体" w:hAnsi="宋体" w:cs="宋体"/>
          <w:b/>
          <w:color w:val="auto"/>
          <w:szCs w:val="21"/>
          <w:highlight w:val="none"/>
        </w:rPr>
      </w:pPr>
      <w:r>
        <w:rPr>
          <w:rFonts w:hint="eastAsia" w:ascii="宋体" w:hAnsi="宋体" w:cs="宋体"/>
          <w:b/>
          <w:color w:val="auto"/>
          <w:szCs w:val="21"/>
          <w:highlight w:val="none"/>
        </w:rPr>
        <w:t>附件2</w:t>
      </w:r>
    </w:p>
    <w:p w14:paraId="5ACE0EC2">
      <w:pPr>
        <w:spacing w:after="156" w:afterLines="50"/>
        <w:jc w:val="center"/>
        <w:rPr>
          <w:rFonts w:hint="eastAsia" w:ascii="宋体" w:hAnsi="宋体" w:cs="宋体"/>
          <w:b/>
          <w:color w:val="auto"/>
          <w:szCs w:val="21"/>
          <w:highlight w:val="none"/>
        </w:rPr>
      </w:pPr>
      <w:r>
        <w:rPr>
          <w:rFonts w:hint="eastAsia" w:ascii="宋体" w:hAnsi="宋体" w:cs="宋体"/>
          <w:b/>
          <w:color w:val="auto"/>
          <w:szCs w:val="21"/>
          <w:highlight w:val="none"/>
        </w:rPr>
        <w:t>广东省人民医院在建信息项目承建供应商履约评分表</w:t>
      </w:r>
    </w:p>
    <w:p w14:paraId="5FD43929">
      <w:pPr>
        <w:spacing w:after="156" w:afterLines="50"/>
        <w:rPr>
          <w:rFonts w:hint="eastAsia" w:ascii="宋体" w:hAnsi="宋体" w:cs="宋体"/>
          <w:b/>
          <w:color w:val="auto"/>
          <w:szCs w:val="21"/>
          <w:highlight w:val="none"/>
        </w:rPr>
      </w:pPr>
      <w:r>
        <w:rPr>
          <w:rFonts w:hint="eastAsia" w:ascii="宋体" w:hAnsi="宋体" w:cs="宋体"/>
          <w:b/>
          <w:color w:val="auto"/>
          <w:szCs w:val="21"/>
          <w:highlight w:val="none"/>
        </w:rPr>
        <w:t>评分周期：202   年第  季度</w:t>
      </w:r>
    </w:p>
    <w:p w14:paraId="01A5A61D">
      <w:pPr>
        <w:spacing w:after="156" w:afterLines="50"/>
        <w:rPr>
          <w:rFonts w:hint="eastAsia" w:ascii="宋体" w:hAnsi="宋体" w:cs="宋体"/>
          <w:b/>
          <w:color w:val="auto"/>
          <w:szCs w:val="21"/>
          <w:highlight w:val="none"/>
        </w:rPr>
      </w:pPr>
      <w:r>
        <w:rPr>
          <w:rFonts w:hint="eastAsia" w:ascii="宋体" w:hAnsi="宋体" w:cs="宋体"/>
          <w:b/>
          <w:color w:val="auto"/>
          <w:szCs w:val="21"/>
          <w:highlight w:val="none"/>
        </w:rPr>
        <w:t>项目名称：</w:t>
      </w:r>
    </w:p>
    <w:p w14:paraId="324DC1F9">
      <w:pPr>
        <w:spacing w:after="156" w:afterLines="50"/>
        <w:rPr>
          <w:rFonts w:hint="eastAsia" w:ascii="宋体" w:hAnsi="宋体" w:cs="宋体"/>
          <w:b/>
          <w:color w:val="auto"/>
          <w:szCs w:val="21"/>
          <w:highlight w:val="none"/>
        </w:rPr>
      </w:pPr>
      <w:r>
        <w:rPr>
          <w:rFonts w:hint="eastAsia" w:ascii="宋体" w:hAnsi="宋体" w:cs="宋体"/>
          <w:b/>
          <w:color w:val="auto"/>
          <w:szCs w:val="21"/>
          <w:highlight w:val="none"/>
        </w:rPr>
        <w:t>供应商名称：</w:t>
      </w:r>
    </w:p>
    <w:tbl>
      <w:tblPr>
        <w:tblStyle w:val="4"/>
        <w:tblW w:w="9523" w:type="dxa"/>
        <w:jc w:val="center"/>
        <w:tblLayout w:type="fixed"/>
        <w:tblCellMar>
          <w:top w:w="0" w:type="dxa"/>
          <w:left w:w="108" w:type="dxa"/>
          <w:bottom w:w="0" w:type="dxa"/>
          <w:right w:w="108" w:type="dxa"/>
        </w:tblCellMar>
      </w:tblPr>
      <w:tblGrid>
        <w:gridCol w:w="636"/>
        <w:gridCol w:w="1140"/>
        <w:gridCol w:w="1269"/>
        <w:gridCol w:w="1379"/>
        <w:gridCol w:w="2809"/>
        <w:gridCol w:w="722"/>
        <w:gridCol w:w="791"/>
        <w:gridCol w:w="777"/>
      </w:tblGrid>
      <w:tr w14:paraId="65C3C815">
        <w:tblPrEx>
          <w:tblCellMar>
            <w:top w:w="0" w:type="dxa"/>
            <w:left w:w="108" w:type="dxa"/>
            <w:bottom w:w="0" w:type="dxa"/>
            <w:right w:w="108" w:type="dxa"/>
          </w:tblCellMar>
        </w:tblPrEx>
        <w:trPr>
          <w:trHeight w:val="690"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4A0B05A9">
            <w:pPr>
              <w:jc w:val="left"/>
              <w:rPr>
                <w:rFonts w:hint="eastAsia" w:ascii="仿宋" w:hAnsi="仿宋" w:eastAsia="仿宋" w:cs="仿宋"/>
                <w:b/>
                <w:bCs/>
                <w:color w:val="auto"/>
                <w:szCs w:val="21"/>
                <w:highlight w:val="none"/>
              </w:rPr>
            </w:pPr>
            <w:r>
              <w:rPr>
                <w:rFonts w:hint="eastAsia" w:ascii="仿宋" w:hAnsi="仿宋" w:eastAsia="仿宋" w:cs="仿宋"/>
                <w:b/>
                <w:bCs/>
                <w:color w:val="auto"/>
                <w:szCs w:val="21"/>
                <w:highlight w:val="none"/>
              </w:rPr>
              <w:t>序号</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2D3BB194">
            <w:pPr>
              <w:jc w:val="left"/>
              <w:rPr>
                <w:rFonts w:hint="eastAsia" w:ascii="仿宋" w:hAnsi="仿宋" w:eastAsia="仿宋" w:cs="仿宋"/>
                <w:b/>
                <w:bCs/>
                <w:color w:val="auto"/>
                <w:szCs w:val="21"/>
                <w:highlight w:val="none"/>
              </w:rPr>
            </w:pPr>
            <w:r>
              <w:rPr>
                <w:rFonts w:hint="eastAsia" w:ascii="仿宋" w:hAnsi="仿宋" w:eastAsia="仿宋" w:cs="仿宋"/>
                <w:b/>
                <w:bCs/>
                <w:color w:val="auto"/>
                <w:szCs w:val="21"/>
                <w:highlight w:val="none"/>
              </w:rPr>
              <w:t>评分维度</w:t>
            </w:r>
          </w:p>
        </w:tc>
        <w:tc>
          <w:tcPr>
            <w:tcW w:w="2648" w:type="dxa"/>
            <w:gridSpan w:val="2"/>
            <w:vMerge w:val="restart"/>
            <w:tcBorders>
              <w:top w:val="single" w:color="000000" w:sz="4" w:space="0"/>
              <w:left w:val="single" w:color="000000" w:sz="4" w:space="0"/>
              <w:bottom w:val="single" w:color="000000" w:sz="4" w:space="0"/>
              <w:right w:val="single" w:color="000000" w:sz="4" w:space="0"/>
            </w:tcBorders>
            <w:vAlign w:val="center"/>
          </w:tcPr>
          <w:p w14:paraId="4E8034CB">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考核办法</w:t>
            </w:r>
          </w:p>
        </w:tc>
        <w:tc>
          <w:tcPr>
            <w:tcW w:w="2809" w:type="dxa"/>
            <w:vMerge w:val="restart"/>
            <w:tcBorders>
              <w:top w:val="single" w:color="000000" w:sz="4" w:space="0"/>
              <w:left w:val="single" w:color="000000" w:sz="4" w:space="0"/>
              <w:bottom w:val="single" w:color="000000" w:sz="4" w:space="0"/>
              <w:right w:val="single" w:color="000000" w:sz="4" w:space="0"/>
            </w:tcBorders>
            <w:vAlign w:val="center"/>
          </w:tcPr>
          <w:p w14:paraId="50F1E487">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评分细则</w:t>
            </w:r>
          </w:p>
        </w:tc>
        <w:tc>
          <w:tcPr>
            <w:tcW w:w="722" w:type="dxa"/>
            <w:tcBorders>
              <w:top w:val="single" w:color="000000" w:sz="4" w:space="0"/>
              <w:left w:val="single" w:color="000000" w:sz="4" w:space="0"/>
              <w:bottom w:val="single" w:color="000000" w:sz="4" w:space="0"/>
              <w:right w:val="single" w:color="000000" w:sz="4" w:space="0"/>
            </w:tcBorders>
            <w:vAlign w:val="center"/>
          </w:tcPr>
          <w:p w14:paraId="5B46B238">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不满意</w:t>
            </w:r>
          </w:p>
        </w:tc>
        <w:tc>
          <w:tcPr>
            <w:tcW w:w="791" w:type="dxa"/>
            <w:tcBorders>
              <w:top w:val="single" w:color="000000" w:sz="4" w:space="0"/>
              <w:left w:val="single" w:color="000000" w:sz="4" w:space="0"/>
              <w:bottom w:val="single" w:color="000000" w:sz="4" w:space="0"/>
              <w:right w:val="single" w:color="000000" w:sz="4" w:space="0"/>
            </w:tcBorders>
            <w:vAlign w:val="center"/>
          </w:tcPr>
          <w:p w14:paraId="58B2F781">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基本满意</w:t>
            </w:r>
          </w:p>
        </w:tc>
        <w:tc>
          <w:tcPr>
            <w:tcW w:w="777" w:type="dxa"/>
            <w:tcBorders>
              <w:top w:val="single" w:color="000000" w:sz="4" w:space="0"/>
              <w:left w:val="single" w:color="000000" w:sz="4" w:space="0"/>
              <w:bottom w:val="single" w:color="000000" w:sz="4" w:space="0"/>
              <w:right w:val="single" w:color="000000" w:sz="4" w:space="0"/>
            </w:tcBorders>
            <w:vAlign w:val="center"/>
          </w:tcPr>
          <w:p w14:paraId="27D84BE3">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满意</w:t>
            </w:r>
          </w:p>
        </w:tc>
      </w:tr>
      <w:tr w14:paraId="46C646A0">
        <w:trPr>
          <w:trHeight w:val="69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23797254">
            <w:pPr>
              <w:jc w:val="left"/>
              <w:rPr>
                <w:rFonts w:hint="eastAsia" w:ascii="仿宋" w:hAnsi="仿宋" w:eastAsia="仿宋" w:cs="仿宋"/>
                <w:b/>
                <w:bCs/>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14A80CC9">
            <w:pPr>
              <w:jc w:val="left"/>
              <w:rPr>
                <w:rFonts w:hint="eastAsia" w:ascii="仿宋" w:hAnsi="仿宋" w:eastAsia="仿宋" w:cs="仿宋"/>
                <w:b/>
                <w:bCs/>
                <w:color w:val="auto"/>
                <w:szCs w:val="21"/>
                <w:highlight w:val="none"/>
              </w:rPr>
            </w:pPr>
          </w:p>
        </w:tc>
        <w:tc>
          <w:tcPr>
            <w:tcW w:w="2648"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9E1E659">
            <w:pPr>
              <w:jc w:val="left"/>
              <w:rPr>
                <w:rFonts w:hint="eastAsia" w:ascii="仿宋" w:hAnsi="仿宋" w:eastAsia="仿宋" w:cs="仿宋"/>
                <w:b/>
                <w:bCs/>
                <w:color w:val="auto"/>
                <w:szCs w:val="21"/>
                <w:highlight w:val="none"/>
              </w:rPr>
            </w:pPr>
          </w:p>
        </w:tc>
        <w:tc>
          <w:tcPr>
            <w:tcW w:w="2809" w:type="dxa"/>
            <w:vMerge w:val="continue"/>
            <w:tcBorders>
              <w:top w:val="single" w:color="000000" w:sz="4" w:space="0"/>
              <w:left w:val="single" w:color="000000" w:sz="4" w:space="0"/>
              <w:bottom w:val="single" w:color="000000" w:sz="4" w:space="0"/>
              <w:right w:val="single" w:color="000000" w:sz="4" w:space="0"/>
            </w:tcBorders>
            <w:vAlign w:val="center"/>
          </w:tcPr>
          <w:p w14:paraId="72E4ABB8">
            <w:pPr>
              <w:jc w:val="left"/>
              <w:rPr>
                <w:rFonts w:hint="eastAsia" w:ascii="仿宋" w:hAnsi="仿宋" w:eastAsia="仿宋" w:cs="仿宋"/>
                <w:b/>
                <w:bCs/>
                <w:color w:val="auto"/>
                <w:szCs w:val="21"/>
                <w:highlight w:val="none"/>
              </w:rPr>
            </w:pPr>
          </w:p>
        </w:tc>
        <w:tc>
          <w:tcPr>
            <w:tcW w:w="722" w:type="dxa"/>
            <w:tcBorders>
              <w:top w:val="single" w:color="000000" w:sz="4" w:space="0"/>
              <w:left w:val="single" w:color="000000" w:sz="4" w:space="0"/>
              <w:bottom w:val="single" w:color="000000" w:sz="4" w:space="0"/>
              <w:right w:val="single" w:color="000000" w:sz="4" w:space="0"/>
            </w:tcBorders>
            <w:vAlign w:val="center"/>
          </w:tcPr>
          <w:p w14:paraId="1E7EDE89">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（0～70分 ）</w:t>
            </w:r>
          </w:p>
        </w:tc>
        <w:tc>
          <w:tcPr>
            <w:tcW w:w="791" w:type="dxa"/>
            <w:tcBorders>
              <w:top w:val="single" w:color="000000" w:sz="4" w:space="0"/>
              <w:left w:val="single" w:color="000000" w:sz="4" w:space="0"/>
              <w:bottom w:val="single" w:color="000000" w:sz="4" w:space="0"/>
              <w:right w:val="single" w:color="000000" w:sz="4" w:space="0"/>
            </w:tcBorders>
            <w:vAlign w:val="center"/>
          </w:tcPr>
          <w:p w14:paraId="222FF229">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（71～89分）</w:t>
            </w:r>
          </w:p>
        </w:tc>
        <w:tc>
          <w:tcPr>
            <w:tcW w:w="777" w:type="dxa"/>
            <w:tcBorders>
              <w:top w:val="single" w:color="000000" w:sz="4" w:space="0"/>
              <w:left w:val="single" w:color="000000" w:sz="4" w:space="0"/>
              <w:bottom w:val="single" w:color="000000" w:sz="4" w:space="0"/>
              <w:right w:val="single" w:color="000000" w:sz="4" w:space="0"/>
            </w:tcBorders>
            <w:vAlign w:val="center"/>
          </w:tcPr>
          <w:p w14:paraId="3947B90B">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（90～100分）</w:t>
            </w:r>
          </w:p>
        </w:tc>
      </w:tr>
      <w:tr w14:paraId="3C75E03A">
        <w:trPr>
          <w:trHeight w:val="345"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00034152">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1</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07C386F5">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需求响应速度</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19DD3CCD">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需在采购人正式提交需求后的7个工作日内将需求提交计划反馈采购人。</w:t>
            </w:r>
          </w:p>
        </w:tc>
        <w:tc>
          <w:tcPr>
            <w:tcW w:w="2809" w:type="dxa"/>
            <w:tcBorders>
              <w:top w:val="single" w:color="000000" w:sz="4" w:space="0"/>
              <w:left w:val="single" w:color="000000" w:sz="4" w:space="0"/>
              <w:bottom w:val="single" w:color="000000" w:sz="4" w:space="0"/>
              <w:right w:val="single" w:color="000000" w:sz="4" w:space="0"/>
            </w:tcBorders>
            <w:vAlign w:val="center"/>
          </w:tcPr>
          <w:p w14:paraId="5AE0F5D6">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不按时反馈需求提交计划的，每次扣2分。</w:t>
            </w:r>
          </w:p>
        </w:tc>
        <w:tc>
          <w:tcPr>
            <w:tcW w:w="722" w:type="dxa"/>
            <w:vMerge w:val="restart"/>
            <w:tcBorders>
              <w:top w:val="single" w:color="000000" w:sz="4" w:space="0"/>
              <w:left w:val="single" w:color="000000" w:sz="4" w:space="0"/>
              <w:right w:val="single" w:color="000000" w:sz="4" w:space="0"/>
            </w:tcBorders>
            <w:vAlign w:val="center"/>
          </w:tcPr>
          <w:p w14:paraId="498B31B2">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right w:val="single" w:color="000000" w:sz="4" w:space="0"/>
            </w:tcBorders>
            <w:vAlign w:val="center"/>
          </w:tcPr>
          <w:p w14:paraId="48D98299">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right w:val="single" w:color="000000" w:sz="4" w:space="0"/>
            </w:tcBorders>
            <w:vAlign w:val="center"/>
          </w:tcPr>
          <w:p w14:paraId="22AA9801">
            <w:pPr>
              <w:jc w:val="left"/>
              <w:rPr>
                <w:rFonts w:hint="eastAsia" w:ascii="仿宋" w:hAnsi="仿宋" w:eastAsia="仿宋" w:cs="仿宋"/>
                <w:color w:val="auto"/>
                <w:szCs w:val="21"/>
                <w:highlight w:val="none"/>
              </w:rPr>
            </w:pPr>
          </w:p>
        </w:tc>
      </w:tr>
      <w:tr w14:paraId="1CEEB4FA">
        <w:tblPrEx>
          <w:tblCellMar>
            <w:top w:w="0" w:type="dxa"/>
            <w:left w:w="108" w:type="dxa"/>
            <w:bottom w:w="0" w:type="dxa"/>
            <w:right w:w="108" w:type="dxa"/>
          </w:tblCellMar>
        </w:tblPrEx>
        <w:trPr>
          <w:trHeight w:val="1035"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6A043F19">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147FCAB9">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3A80A41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积极加班加点实现采购人的紧急需求（如医保政策调整要求下月初必须上线，而按正常进度又难以排期的，或者如非典突发需求；或者类似医院重大事故导致网站紧急维护。</w:t>
            </w:r>
          </w:p>
        </w:tc>
        <w:tc>
          <w:tcPr>
            <w:tcW w:w="2809" w:type="dxa"/>
            <w:tcBorders>
              <w:top w:val="single" w:color="000000" w:sz="4" w:space="0"/>
              <w:left w:val="single" w:color="000000" w:sz="4" w:space="0"/>
              <w:bottom w:val="single" w:color="000000" w:sz="4" w:space="0"/>
              <w:right w:val="single" w:color="000000" w:sz="4" w:space="0"/>
            </w:tcBorders>
            <w:vAlign w:val="center"/>
          </w:tcPr>
          <w:p w14:paraId="797E552A">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经采购人确认后，每次加10分。</w:t>
            </w:r>
          </w:p>
        </w:tc>
        <w:tc>
          <w:tcPr>
            <w:tcW w:w="722" w:type="dxa"/>
            <w:vMerge w:val="continue"/>
            <w:tcBorders>
              <w:left w:val="single" w:color="000000" w:sz="4" w:space="0"/>
              <w:bottom w:val="single" w:color="000000" w:sz="4" w:space="0"/>
              <w:right w:val="single" w:color="000000" w:sz="4" w:space="0"/>
            </w:tcBorders>
            <w:vAlign w:val="center"/>
          </w:tcPr>
          <w:p w14:paraId="5BC07867">
            <w:pPr>
              <w:jc w:val="left"/>
              <w:rPr>
                <w:rFonts w:hint="eastAsia" w:ascii="仿宋" w:hAnsi="仿宋" w:eastAsia="仿宋" w:cs="仿宋"/>
                <w:color w:val="auto"/>
                <w:szCs w:val="21"/>
                <w:highlight w:val="none"/>
              </w:rPr>
            </w:pPr>
          </w:p>
        </w:tc>
        <w:tc>
          <w:tcPr>
            <w:tcW w:w="791" w:type="dxa"/>
            <w:vMerge w:val="continue"/>
            <w:tcBorders>
              <w:left w:val="single" w:color="000000" w:sz="4" w:space="0"/>
              <w:bottom w:val="single" w:color="000000" w:sz="4" w:space="0"/>
              <w:right w:val="single" w:color="000000" w:sz="4" w:space="0"/>
            </w:tcBorders>
            <w:vAlign w:val="center"/>
          </w:tcPr>
          <w:p w14:paraId="1E1A39B6">
            <w:pPr>
              <w:jc w:val="left"/>
              <w:rPr>
                <w:rFonts w:hint="eastAsia" w:ascii="仿宋" w:hAnsi="仿宋" w:eastAsia="仿宋" w:cs="仿宋"/>
                <w:color w:val="auto"/>
                <w:szCs w:val="21"/>
                <w:highlight w:val="none"/>
              </w:rPr>
            </w:pPr>
          </w:p>
        </w:tc>
        <w:tc>
          <w:tcPr>
            <w:tcW w:w="777" w:type="dxa"/>
            <w:vMerge w:val="continue"/>
            <w:tcBorders>
              <w:left w:val="single" w:color="000000" w:sz="4" w:space="0"/>
              <w:bottom w:val="single" w:color="000000" w:sz="4" w:space="0"/>
              <w:right w:val="single" w:color="000000" w:sz="4" w:space="0"/>
            </w:tcBorders>
            <w:vAlign w:val="center"/>
          </w:tcPr>
          <w:p w14:paraId="6E1D5A34">
            <w:pPr>
              <w:jc w:val="left"/>
              <w:rPr>
                <w:rFonts w:hint="eastAsia" w:ascii="仿宋" w:hAnsi="仿宋" w:eastAsia="仿宋" w:cs="仿宋"/>
                <w:color w:val="auto"/>
                <w:szCs w:val="21"/>
                <w:highlight w:val="none"/>
              </w:rPr>
            </w:pPr>
          </w:p>
        </w:tc>
      </w:tr>
      <w:tr w14:paraId="13479C7C">
        <w:tblPrEx>
          <w:tblCellMar>
            <w:top w:w="0" w:type="dxa"/>
            <w:left w:w="108" w:type="dxa"/>
            <w:bottom w:w="0" w:type="dxa"/>
            <w:right w:w="108" w:type="dxa"/>
          </w:tblCellMar>
        </w:tblPrEx>
        <w:trPr>
          <w:trHeight w:val="1380"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2DEE80F8">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2</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4C0D508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需求版本质量</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0FAE2C30">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应按照采购人要求（需要说明书）实现系统功能，减少软件缺陷。</w:t>
            </w:r>
          </w:p>
        </w:tc>
        <w:tc>
          <w:tcPr>
            <w:tcW w:w="2809" w:type="dxa"/>
            <w:tcBorders>
              <w:top w:val="single" w:color="000000" w:sz="4" w:space="0"/>
              <w:left w:val="single" w:color="000000" w:sz="4" w:space="0"/>
              <w:bottom w:val="single" w:color="000000" w:sz="4" w:space="0"/>
              <w:right w:val="single" w:color="000000" w:sz="4" w:space="0"/>
            </w:tcBorders>
            <w:vAlign w:val="center"/>
          </w:tcPr>
          <w:p w14:paraId="097618FB">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以下情况，每出现一次，扣3分。1、系统未实现需求说明书中的功能。2、系统出现了需求说明书中指明不应该出现的错误。3、系统出现了需求说明书中未提到或未确认的功能。4、软件运行缓慢。</w:t>
            </w:r>
          </w:p>
        </w:tc>
        <w:tc>
          <w:tcPr>
            <w:tcW w:w="722" w:type="dxa"/>
            <w:vMerge w:val="restart"/>
            <w:tcBorders>
              <w:top w:val="single" w:color="000000" w:sz="4" w:space="0"/>
              <w:left w:val="single" w:color="000000" w:sz="4" w:space="0"/>
              <w:bottom w:val="single" w:color="000000" w:sz="4" w:space="0"/>
              <w:right w:val="single" w:color="000000" w:sz="4" w:space="0"/>
            </w:tcBorders>
            <w:vAlign w:val="center"/>
          </w:tcPr>
          <w:p w14:paraId="6A305F3C">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bottom w:val="single" w:color="000000" w:sz="4" w:space="0"/>
              <w:right w:val="single" w:color="000000" w:sz="4" w:space="0"/>
            </w:tcBorders>
            <w:vAlign w:val="center"/>
          </w:tcPr>
          <w:p w14:paraId="3ABDE693">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bottom w:val="single" w:color="000000" w:sz="4" w:space="0"/>
              <w:right w:val="single" w:color="000000" w:sz="4" w:space="0"/>
            </w:tcBorders>
            <w:vAlign w:val="center"/>
          </w:tcPr>
          <w:p w14:paraId="01480758">
            <w:pPr>
              <w:jc w:val="left"/>
              <w:rPr>
                <w:rFonts w:hint="eastAsia" w:ascii="仿宋" w:hAnsi="仿宋" w:eastAsia="仿宋" w:cs="仿宋"/>
                <w:color w:val="auto"/>
                <w:szCs w:val="21"/>
                <w:highlight w:val="none"/>
              </w:rPr>
            </w:pPr>
          </w:p>
        </w:tc>
      </w:tr>
      <w:tr w14:paraId="45D7367D">
        <w:tblPrEx>
          <w:tblCellMar>
            <w:top w:w="0" w:type="dxa"/>
            <w:left w:w="108" w:type="dxa"/>
            <w:bottom w:w="0" w:type="dxa"/>
            <w:right w:w="108" w:type="dxa"/>
          </w:tblCellMar>
        </w:tblPrEx>
        <w:trPr>
          <w:trHeight w:val="698"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30A053AE">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3FD0CBAD">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43ED099F">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每项需求提交测试环境供采购人项目负责人核对，按季度统计核对结果一次性通过率要求。</w:t>
            </w:r>
          </w:p>
        </w:tc>
        <w:tc>
          <w:tcPr>
            <w:tcW w:w="2809" w:type="dxa"/>
            <w:tcBorders>
              <w:top w:val="single" w:color="000000" w:sz="4" w:space="0"/>
              <w:left w:val="single" w:color="000000" w:sz="4" w:space="0"/>
              <w:bottom w:val="single" w:color="000000" w:sz="4" w:space="0"/>
              <w:right w:val="single" w:color="000000" w:sz="4" w:space="0"/>
            </w:tcBorders>
            <w:vAlign w:val="center"/>
          </w:tcPr>
          <w:p w14:paraId="4B68A725">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版本一次性测试通过率要求≥90%</w:t>
            </w:r>
          </w:p>
          <w:p w14:paraId="65A816DE">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1、一次性测试通过率</w:t>
            </w:r>
            <w:bookmarkStart w:id="2" w:name="OLE_LINK3"/>
            <w:r>
              <w:rPr>
                <w:rFonts w:hint="eastAsia" w:ascii="仿宋" w:hAnsi="仿宋" w:eastAsia="仿宋" w:cs="仿宋"/>
                <w:color w:val="auto"/>
                <w:kern w:val="0"/>
                <w:szCs w:val="21"/>
                <w:highlight w:val="none"/>
              </w:rPr>
              <w:t>≥</w:t>
            </w:r>
            <w:bookmarkEnd w:id="2"/>
            <w:r>
              <w:rPr>
                <w:rFonts w:hint="eastAsia" w:ascii="仿宋" w:hAnsi="仿宋" w:eastAsia="仿宋" w:cs="仿宋"/>
                <w:color w:val="auto"/>
                <w:kern w:val="0"/>
                <w:szCs w:val="21"/>
                <w:highlight w:val="none"/>
              </w:rPr>
              <w:t>90%的，本项不扣分。</w:t>
            </w:r>
          </w:p>
          <w:p w14:paraId="213237A4">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2、</w:t>
            </w:r>
            <w:bookmarkStart w:id="3" w:name="OLE_LINK2"/>
            <w:r>
              <w:rPr>
                <w:rFonts w:hint="eastAsia" w:ascii="仿宋" w:hAnsi="仿宋" w:eastAsia="仿宋" w:cs="仿宋"/>
                <w:color w:val="auto"/>
                <w:kern w:val="0"/>
                <w:szCs w:val="21"/>
                <w:highlight w:val="none"/>
              </w:rPr>
              <w:t>一次性测试通过率</w:t>
            </w:r>
            <w:bookmarkEnd w:id="3"/>
            <w:r>
              <w:rPr>
                <w:rFonts w:hint="eastAsia" w:ascii="仿宋" w:hAnsi="仿宋" w:eastAsia="仿宋" w:cs="仿宋"/>
                <w:color w:val="auto"/>
                <w:kern w:val="0"/>
                <w:szCs w:val="21"/>
                <w:highlight w:val="none"/>
              </w:rPr>
              <w:t>在85%—90（不含）%的，扣4分。</w:t>
            </w:r>
          </w:p>
          <w:p w14:paraId="31029FA5">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3、一次性测试通过率在80%—85%（不含）的，扣8分。</w:t>
            </w:r>
          </w:p>
          <w:p w14:paraId="0C8DB85E">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4、一次性通过率低于80%（不含）的，扣10分。</w:t>
            </w:r>
          </w:p>
          <w:p w14:paraId="43D2AEF9">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如果因用户原因导致不通过的，不纳入此项统计。</w:t>
            </w:r>
          </w:p>
        </w:tc>
        <w:tc>
          <w:tcPr>
            <w:tcW w:w="722" w:type="dxa"/>
            <w:vMerge w:val="continue"/>
            <w:tcBorders>
              <w:top w:val="single" w:color="000000" w:sz="4" w:space="0"/>
              <w:left w:val="single" w:color="000000" w:sz="4" w:space="0"/>
              <w:bottom w:val="single" w:color="000000" w:sz="4" w:space="0"/>
              <w:right w:val="single" w:color="000000" w:sz="4" w:space="0"/>
            </w:tcBorders>
            <w:vAlign w:val="center"/>
          </w:tcPr>
          <w:p w14:paraId="3436CAC6">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000000" w:sz="4" w:space="0"/>
              <w:right w:val="single" w:color="000000" w:sz="4" w:space="0"/>
            </w:tcBorders>
            <w:vAlign w:val="center"/>
          </w:tcPr>
          <w:p w14:paraId="10F5F156">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000000" w:sz="4" w:space="0"/>
              <w:right w:val="single" w:color="000000" w:sz="4" w:space="0"/>
            </w:tcBorders>
            <w:vAlign w:val="center"/>
          </w:tcPr>
          <w:p w14:paraId="3EA37406">
            <w:pPr>
              <w:jc w:val="left"/>
              <w:rPr>
                <w:rFonts w:hint="eastAsia" w:ascii="仿宋" w:hAnsi="仿宋" w:eastAsia="仿宋" w:cs="仿宋"/>
                <w:color w:val="auto"/>
                <w:szCs w:val="21"/>
                <w:highlight w:val="none"/>
              </w:rPr>
            </w:pPr>
          </w:p>
        </w:tc>
      </w:tr>
      <w:tr w14:paraId="032FB966">
        <w:tblPrEx>
          <w:tblCellMar>
            <w:top w:w="0" w:type="dxa"/>
            <w:left w:w="108" w:type="dxa"/>
            <w:bottom w:w="0" w:type="dxa"/>
            <w:right w:w="108" w:type="dxa"/>
          </w:tblCellMar>
        </w:tblPrEx>
        <w:trPr>
          <w:trHeight w:val="2620"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2CD4742B">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3</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7D04183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重大故障出现次数</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429B075D">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由于</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故障（非采购人责任）造成的以下重大IT系统事故的：</w:t>
            </w:r>
          </w:p>
          <w:p w14:paraId="25714AA4">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1、核心系统（门诊挂号、缴费、医保等）无法正常运行导致对外业务和服务不能开展，影响营业持续时间超过1小时。</w:t>
            </w:r>
          </w:p>
          <w:p w14:paraId="225913C2">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2、非核心系统无法正常运行导致服务不能开展，影响工作持续时间超过8小时。</w:t>
            </w:r>
          </w:p>
          <w:p w14:paraId="37A3B2F1">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3、核心系统生产类数据丢失、无法恢复造成医院损失。</w:t>
            </w:r>
          </w:p>
        </w:tc>
        <w:tc>
          <w:tcPr>
            <w:tcW w:w="2809" w:type="dxa"/>
            <w:tcBorders>
              <w:top w:val="single" w:color="000000" w:sz="4" w:space="0"/>
              <w:left w:val="single" w:color="000000" w:sz="4" w:space="0"/>
              <w:bottom w:val="single" w:color="000000" w:sz="4" w:space="0"/>
              <w:right w:val="single" w:color="000000" w:sz="4" w:space="0"/>
            </w:tcBorders>
            <w:vAlign w:val="center"/>
          </w:tcPr>
          <w:p w14:paraId="66D5270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每发生一次，扣15分。</w:t>
            </w:r>
          </w:p>
        </w:tc>
        <w:tc>
          <w:tcPr>
            <w:tcW w:w="722" w:type="dxa"/>
            <w:vMerge w:val="restart"/>
            <w:tcBorders>
              <w:top w:val="single" w:color="000000" w:sz="4" w:space="0"/>
              <w:left w:val="single" w:color="000000" w:sz="4" w:space="0"/>
              <w:right w:val="single" w:color="000000" w:sz="4" w:space="0"/>
            </w:tcBorders>
            <w:vAlign w:val="center"/>
          </w:tcPr>
          <w:p w14:paraId="2DD5A110">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right w:val="single" w:color="000000" w:sz="4" w:space="0"/>
            </w:tcBorders>
            <w:vAlign w:val="center"/>
          </w:tcPr>
          <w:p w14:paraId="489213C5">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right w:val="single" w:color="000000" w:sz="4" w:space="0"/>
            </w:tcBorders>
            <w:vAlign w:val="center"/>
          </w:tcPr>
          <w:p w14:paraId="72268E93">
            <w:pPr>
              <w:jc w:val="left"/>
              <w:rPr>
                <w:rFonts w:hint="eastAsia" w:ascii="仿宋" w:hAnsi="仿宋" w:eastAsia="仿宋" w:cs="仿宋"/>
                <w:color w:val="auto"/>
                <w:szCs w:val="21"/>
                <w:highlight w:val="none"/>
              </w:rPr>
            </w:pPr>
          </w:p>
          <w:p w14:paraId="576A3B90">
            <w:pPr>
              <w:jc w:val="left"/>
              <w:rPr>
                <w:rFonts w:hint="eastAsia" w:ascii="仿宋" w:hAnsi="仿宋" w:eastAsia="仿宋" w:cs="仿宋"/>
                <w:color w:val="auto"/>
                <w:szCs w:val="21"/>
                <w:highlight w:val="none"/>
              </w:rPr>
            </w:pPr>
          </w:p>
        </w:tc>
      </w:tr>
      <w:tr w14:paraId="67D41A9F">
        <w:trPr>
          <w:trHeight w:val="345"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1620C5A9">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6EEFD2A6">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618EED20">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由于</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系统问题及运维失误引发安全事故的。</w:t>
            </w:r>
          </w:p>
        </w:tc>
        <w:tc>
          <w:tcPr>
            <w:tcW w:w="2809" w:type="dxa"/>
            <w:tcBorders>
              <w:top w:val="single" w:color="000000" w:sz="4" w:space="0"/>
              <w:left w:val="single" w:color="000000" w:sz="4" w:space="0"/>
              <w:bottom w:val="single" w:color="000000" w:sz="4" w:space="0"/>
              <w:right w:val="single" w:color="000000" w:sz="4" w:space="0"/>
            </w:tcBorders>
            <w:vAlign w:val="center"/>
          </w:tcPr>
          <w:p w14:paraId="2B5FDDF5">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每发生一次，扣10分。</w:t>
            </w:r>
          </w:p>
        </w:tc>
        <w:tc>
          <w:tcPr>
            <w:tcW w:w="722" w:type="dxa"/>
            <w:vMerge w:val="continue"/>
            <w:tcBorders>
              <w:left w:val="single" w:color="000000" w:sz="4" w:space="0"/>
              <w:bottom w:val="single" w:color="000000" w:sz="4" w:space="0"/>
              <w:right w:val="single" w:color="000000" w:sz="4" w:space="0"/>
            </w:tcBorders>
            <w:vAlign w:val="center"/>
          </w:tcPr>
          <w:p w14:paraId="616A58CE">
            <w:pPr>
              <w:jc w:val="left"/>
              <w:rPr>
                <w:rFonts w:hint="eastAsia" w:ascii="仿宋" w:hAnsi="仿宋" w:eastAsia="仿宋" w:cs="仿宋"/>
                <w:color w:val="auto"/>
                <w:szCs w:val="21"/>
                <w:highlight w:val="none"/>
              </w:rPr>
            </w:pPr>
          </w:p>
        </w:tc>
        <w:tc>
          <w:tcPr>
            <w:tcW w:w="791" w:type="dxa"/>
            <w:vMerge w:val="continue"/>
            <w:tcBorders>
              <w:left w:val="single" w:color="000000" w:sz="4" w:space="0"/>
              <w:bottom w:val="single" w:color="000000" w:sz="4" w:space="0"/>
              <w:right w:val="single" w:color="000000" w:sz="4" w:space="0"/>
            </w:tcBorders>
            <w:vAlign w:val="center"/>
          </w:tcPr>
          <w:p w14:paraId="60C25303">
            <w:pPr>
              <w:jc w:val="left"/>
              <w:rPr>
                <w:rFonts w:hint="eastAsia" w:ascii="仿宋" w:hAnsi="仿宋" w:eastAsia="仿宋" w:cs="仿宋"/>
                <w:color w:val="auto"/>
                <w:szCs w:val="21"/>
                <w:highlight w:val="none"/>
              </w:rPr>
            </w:pPr>
          </w:p>
        </w:tc>
        <w:tc>
          <w:tcPr>
            <w:tcW w:w="777" w:type="dxa"/>
            <w:vMerge w:val="continue"/>
            <w:tcBorders>
              <w:left w:val="single" w:color="000000" w:sz="4" w:space="0"/>
              <w:bottom w:val="single" w:color="000000" w:sz="4" w:space="0"/>
              <w:right w:val="single" w:color="000000" w:sz="4" w:space="0"/>
            </w:tcBorders>
            <w:vAlign w:val="center"/>
          </w:tcPr>
          <w:p w14:paraId="43CAE4C0">
            <w:pPr>
              <w:jc w:val="left"/>
              <w:rPr>
                <w:rFonts w:hint="eastAsia" w:ascii="仿宋" w:hAnsi="仿宋" w:eastAsia="仿宋" w:cs="仿宋"/>
                <w:color w:val="auto"/>
                <w:szCs w:val="21"/>
                <w:highlight w:val="none"/>
              </w:rPr>
            </w:pPr>
          </w:p>
        </w:tc>
      </w:tr>
      <w:tr w14:paraId="4EF39901">
        <w:trPr>
          <w:trHeight w:val="270"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6C498378">
            <w:pPr>
              <w:widowControl/>
              <w:jc w:val="center"/>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4</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66E959F9">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重大故障处理情况</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23ED8264">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需与采购人共同定义故障级别、并按以下处理时间要求处理：</w:t>
            </w:r>
          </w:p>
          <w:p w14:paraId="0952E414">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1、重大故障：严重影响正常业务运行，或业务中断，需在1小时内处理完成。</w:t>
            </w:r>
          </w:p>
          <w:p w14:paraId="6786A33B">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2、中等故障：影响正常业务运行，但通过其他方式可折中处理，需在12小时内处理完成。</w:t>
            </w:r>
          </w:p>
          <w:p w14:paraId="3D5432F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3、轻微故障：对正常业务无影响，但妨碍业务运行及操作，需在24小时内处理完成。</w:t>
            </w:r>
          </w:p>
        </w:tc>
        <w:tc>
          <w:tcPr>
            <w:tcW w:w="2809" w:type="dxa"/>
            <w:tcBorders>
              <w:top w:val="single" w:color="000000" w:sz="4" w:space="0"/>
              <w:left w:val="single" w:color="000000" w:sz="4" w:space="0"/>
              <w:bottom w:val="single" w:color="000000" w:sz="4" w:space="0"/>
              <w:right w:val="single" w:color="000000" w:sz="4" w:space="0"/>
            </w:tcBorders>
            <w:vAlign w:val="center"/>
          </w:tcPr>
          <w:p w14:paraId="703D2A08">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针对不同级别故障处理恢复需在约定的时间内，如超出1次，扣5分</w:t>
            </w:r>
          </w:p>
        </w:tc>
        <w:tc>
          <w:tcPr>
            <w:tcW w:w="722" w:type="dxa"/>
            <w:vMerge w:val="restart"/>
            <w:tcBorders>
              <w:top w:val="single" w:color="000000" w:sz="4" w:space="0"/>
              <w:left w:val="single" w:color="000000" w:sz="4" w:space="0"/>
              <w:right w:val="single" w:color="000000" w:sz="4" w:space="0"/>
            </w:tcBorders>
            <w:vAlign w:val="center"/>
          </w:tcPr>
          <w:p w14:paraId="1A526A5C">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right w:val="single" w:color="000000" w:sz="4" w:space="0"/>
            </w:tcBorders>
            <w:vAlign w:val="center"/>
          </w:tcPr>
          <w:p w14:paraId="5065BD75">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right w:val="single" w:color="000000" w:sz="4" w:space="0"/>
            </w:tcBorders>
            <w:vAlign w:val="center"/>
          </w:tcPr>
          <w:p w14:paraId="42B80BF7">
            <w:pPr>
              <w:jc w:val="left"/>
              <w:rPr>
                <w:rFonts w:hint="eastAsia" w:ascii="仿宋" w:hAnsi="仿宋" w:eastAsia="仿宋" w:cs="仿宋"/>
                <w:color w:val="auto"/>
                <w:szCs w:val="21"/>
                <w:highlight w:val="none"/>
              </w:rPr>
            </w:pPr>
          </w:p>
        </w:tc>
      </w:tr>
      <w:tr w14:paraId="2A273C5C">
        <w:trPr>
          <w:trHeight w:val="1035"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3BC4BA81">
            <w:pPr>
              <w:jc w:val="center"/>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201198B8">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44EF330B">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需向采购人提供故障处理知识库，而且在知识库基础上需定期每季度将每次故障发生原因、解决方案、后续规避方案均需记录到文档或上传到知识库。</w:t>
            </w:r>
          </w:p>
        </w:tc>
        <w:tc>
          <w:tcPr>
            <w:tcW w:w="2809" w:type="dxa"/>
            <w:tcBorders>
              <w:top w:val="single" w:color="000000" w:sz="4" w:space="0"/>
              <w:left w:val="single" w:color="000000" w:sz="4" w:space="0"/>
              <w:bottom w:val="single" w:color="000000" w:sz="4" w:space="0"/>
              <w:right w:val="single" w:color="000000" w:sz="4" w:space="0"/>
            </w:tcBorders>
            <w:vAlign w:val="center"/>
          </w:tcPr>
          <w:p w14:paraId="141B1A3D">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不能提供知识库或知识库不按季度更新的，扣3分。</w:t>
            </w:r>
          </w:p>
        </w:tc>
        <w:tc>
          <w:tcPr>
            <w:tcW w:w="722" w:type="dxa"/>
            <w:vMerge w:val="continue"/>
            <w:tcBorders>
              <w:left w:val="single" w:color="000000" w:sz="4" w:space="0"/>
              <w:right w:val="single" w:color="000000" w:sz="4" w:space="0"/>
            </w:tcBorders>
            <w:vAlign w:val="center"/>
          </w:tcPr>
          <w:p w14:paraId="3137EDA2">
            <w:pPr>
              <w:jc w:val="left"/>
              <w:rPr>
                <w:rFonts w:hint="eastAsia" w:ascii="仿宋" w:hAnsi="仿宋" w:eastAsia="仿宋" w:cs="仿宋"/>
                <w:color w:val="auto"/>
                <w:szCs w:val="21"/>
                <w:highlight w:val="none"/>
              </w:rPr>
            </w:pPr>
          </w:p>
        </w:tc>
        <w:tc>
          <w:tcPr>
            <w:tcW w:w="791" w:type="dxa"/>
            <w:vMerge w:val="continue"/>
            <w:tcBorders>
              <w:left w:val="single" w:color="000000" w:sz="4" w:space="0"/>
              <w:right w:val="single" w:color="000000" w:sz="4" w:space="0"/>
            </w:tcBorders>
            <w:vAlign w:val="center"/>
          </w:tcPr>
          <w:p w14:paraId="514A82EF">
            <w:pPr>
              <w:jc w:val="left"/>
              <w:rPr>
                <w:rFonts w:hint="eastAsia" w:ascii="仿宋" w:hAnsi="仿宋" w:eastAsia="仿宋" w:cs="仿宋"/>
                <w:color w:val="auto"/>
                <w:szCs w:val="21"/>
                <w:highlight w:val="none"/>
              </w:rPr>
            </w:pPr>
          </w:p>
        </w:tc>
        <w:tc>
          <w:tcPr>
            <w:tcW w:w="777" w:type="dxa"/>
            <w:vMerge w:val="continue"/>
            <w:tcBorders>
              <w:left w:val="single" w:color="000000" w:sz="4" w:space="0"/>
              <w:right w:val="single" w:color="000000" w:sz="4" w:space="0"/>
            </w:tcBorders>
            <w:vAlign w:val="center"/>
          </w:tcPr>
          <w:p w14:paraId="2A2E152A">
            <w:pPr>
              <w:jc w:val="left"/>
              <w:rPr>
                <w:rFonts w:hint="eastAsia" w:ascii="仿宋" w:hAnsi="仿宋" w:eastAsia="仿宋" w:cs="仿宋"/>
                <w:color w:val="auto"/>
                <w:szCs w:val="21"/>
                <w:highlight w:val="none"/>
              </w:rPr>
            </w:pPr>
          </w:p>
        </w:tc>
      </w:tr>
      <w:tr w14:paraId="199FDE71">
        <w:tblPrEx>
          <w:tblCellMar>
            <w:top w:w="0" w:type="dxa"/>
            <w:left w:w="108" w:type="dxa"/>
            <w:bottom w:w="0" w:type="dxa"/>
            <w:right w:w="108" w:type="dxa"/>
          </w:tblCellMar>
        </w:tblPrEx>
        <w:trPr>
          <w:trHeight w:val="27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35536F2E">
            <w:pPr>
              <w:jc w:val="center"/>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6D81831E">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71EDBC81">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由于采购人原因造成的重点业务及服务故障，</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主动积极提供解决方案并协助故障处理。</w:t>
            </w:r>
          </w:p>
        </w:tc>
        <w:tc>
          <w:tcPr>
            <w:tcW w:w="2809" w:type="dxa"/>
            <w:tcBorders>
              <w:top w:val="single" w:color="000000" w:sz="4" w:space="0"/>
              <w:left w:val="single" w:color="000000" w:sz="4" w:space="0"/>
              <w:bottom w:val="single" w:color="000000" w:sz="4" w:space="0"/>
              <w:right w:val="single" w:color="000000" w:sz="4" w:space="0"/>
            </w:tcBorders>
            <w:vAlign w:val="center"/>
          </w:tcPr>
          <w:p w14:paraId="1750FD1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经采购人确认后，每次加5分。</w:t>
            </w:r>
          </w:p>
        </w:tc>
        <w:tc>
          <w:tcPr>
            <w:tcW w:w="722" w:type="dxa"/>
            <w:vMerge w:val="continue"/>
            <w:tcBorders>
              <w:left w:val="single" w:color="000000" w:sz="4" w:space="0"/>
              <w:right w:val="single" w:color="000000" w:sz="4" w:space="0"/>
            </w:tcBorders>
            <w:vAlign w:val="center"/>
          </w:tcPr>
          <w:p w14:paraId="650BC8AE">
            <w:pPr>
              <w:jc w:val="left"/>
              <w:rPr>
                <w:rFonts w:hint="eastAsia" w:ascii="仿宋" w:hAnsi="仿宋" w:eastAsia="仿宋" w:cs="仿宋"/>
                <w:color w:val="auto"/>
                <w:szCs w:val="21"/>
                <w:highlight w:val="none"/>
              </w:rPr>
            </w:pPr>
          </w:p>
        </w:tc>
        <w:tc>
          <w:tcPr>
            <w:tcW w:w="791" w:type="dxa"/>
            <w:vMerge w:val="continue"/>
            <w:tcBorders>
              <w:left w:val="single" w:color="000000" w:sz="4" w:space="0"/>
              <w:right w:val="single" w:color="000000" w:sz="4" w:space="0"/>
            </w:tcBorders>
            <w:vAlign w:val="center"/>
          </w:tcPr>
          <w:p w14:paraId="24B5EA0C">
            <w:pPr>
              <w:jc w:val="left"/>
              <w:rPr>
                <w:rFonts w:hint="eastAsia" w:ascii="仿宋" w:hAnsi="仿宋" w:eastAsia="仿宋" w:cs="仿宋"/>
                <w:color w:val="auto"/>
                <w:szCs w:val="21"/>
                <w:highlight w:val="none"/>
              </w:rPr>
            </w:pPr>
          </w:p>
        </w:tc>
        <w:tc>
          <w:tcPr>
            <w:tcW w:w="777" w:type="dxa"/>
            <w:vMerge w:val="continue"/>
            <w:tcBorders>
              <w:left w:val="single" w:color="000000" w:sz="4" w:space="0"/>
              <w:right w:val="single" w:color="000000" w:sz="4" w:space="0"/>
            </w:tcBorders>
            <w:vAlign w:val="center"/>
          </w:tcPr>
          <w:p w14:paraId="6254FAB0">
            <w:pPr>
              <w:jc w:val="left"/>
              <w:rPr>
                <w:rFonts w:hint="eastAsia" w:ascii="仿宋" w:hAnsi="仿宋" w:eastAsia="仿宋" w:cs="仿宋"/>
                <w:color w:val="auto"/>
                <w:szCs w:val="21"/>
                <w:highlight w:val="none"/>
              </w:rPr>
            </w:pPr>
          </w:p>
        </w:tc>
      </w:tr>
      <w:tr w14:paraId="3A3CC276">
        <w:tblPrEx>
          <w:tblCellMar>
            <w:top w:w="0" w:type="dxa"/>
            <w:left w:w="108" w:type="dxa"/>
            <w:bottom w:w="0" w:type="dxa"/>
            <w:right w:w="108" w:type="dxa"/>
          </w:tblCellMar>
        </w:tblPrEx>
        <w:trPr>
          <w:trHeight w:val="69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35136F33">
            <w:pPr>
              <w:jc w:val="center"/>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62B6B586">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166CAB07">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主动进行的系统健康措施检查，对于发现影响重要业务及服务的系统风险,提出解决措施并最终落地实施。</w:t>
            </w:r>
          </w:p>
        </w:tc>
        <w:tc>
          <w:tcPr>
            <w:tcW w:w="2809" w:type="dxa"/>
            <w:tcBorders>
              <w:top w:val="single" w:color="000000" w:sz="4" w:space="0"/>
              <w:left w:val="single" w:color="000000" w:sz="4" w:space="0"/>
              <w:bottom w:val="single" w:color="000000" w:sz="4" w:space="0"/>
              <w:right w:val="single" w:color="000000" w:sz="4" w:space="0"/>
            </w:tcBorders>
            <w:vAlign w:val="center"/>
          </w:tcPr>
          <w:p w14:paraId="02930093">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经采购人确认后，每次加5分。</w:t>
            </w:r>
          </w:p>
        </w:tc>
        <w:tc>
          <w:tcPr>
            <w:tcW w:w="722" w:type="dxa"/>
            <w:vMerge w:val="continue"/>
            <w:tcBorders>
              <w:left w:val="single" w:color="000000" w:sz="4" w:space="0"/>
              <w:bottom w:val="single" w:color="000000" w:sz="4" w:space="0"/>
              <w:right w:val="single" w:color="000000" w:sz="4" w:space="0"/>
            </w:tcBorders>
            <w:vAlign w:val="center"/>
          </w:tcPr>
          <w:p w14:paraId="5ACC0115">
            <w:pPr>
              <w:jc w:val="left"/>
              <w:rPr>
                <w:rFonts w:hint="eastAsia" w:ascii="仿宋" w:hAnsi="仿宋" w:eastAsia="仿宋" w:cs="仿宋"/>
                <w:color w:val="auto"/>
                <w:szCs w:val="21"/>
                <w:highlight w:val="none"/>
              </w:rPr>
            </w:pPr>
          </w:p>
        </w:tc>
        <w:tc>
          <w:tcPr>
            <w:tcW w:w="791" w:type="dxa"/>
            <w:vMerge w:val="continue"/>
            <w:tcBorders>
              <w:left w:val="single" w:color="000000" w:sz="4" w:space="0"/>
              <w:bottom w:val="single" w:color="000000" w:sz="4" w:space="0"/>
              <w:right w:val="single" w:color="000000" w:sz="4" w:space="0"/>
            </w:tcBorders>
            <w:vAlign w:val="center"/>
          </w:tcPr>
          <w:p w14:paraId="28557F87">
            <w:pPr>
              <w:jc w:val="left"/>
              <w:rPr>
                <w:rFonts w:hint="eastAsia" w:ascii="仿宋" w:hAnsi="仿宋" w:eastAsia="仿宋" w:cs="仿宋"/>
                <w:color w:val="auto"/>
                <w:szCs w:val="21"/>
                <w:highlight w:val="none"/>
              </w:rPr>
            </w:pPr>
          </w:p>
        </w:tc>
        <w:tc>
          <w:tcPr>
            <w:tcW w:w="777" w:type="dxa"/>
            <w:vMerge w:val="continue"/>
            <w:tcBorders>
              <w:left w:val="single" w:color="000000" w:sz="4" w:space="0"/>
              <w:bottom w:val="single" w:color="000000" w:sz="4" w:space="0"/>
              <w:right w:val="single" w:color="000000" w:sz="4" w:space="0"/>
            </w:tcBorders>
            <w:vAlign w:val="center"/>
          </w:tcPr>
          <w:p w14:paraId="296C8877">
            <w:pPr>
              <w:jc w:val="left"/>
              <w:rPr>
                <w:rFonts w:hint="eastAsia" w:ascii="仿宋" w:hAnsi="仿宋" w:eastAsia="仿宋" w:cs="仿宋"/>
                <w:color w:val="auto"/>
                <w:szCs w:val="21"/>
                <w:highlight w:val="none"/>
              </w:rPr>
            </w:pPr>
          </w:p>
        </w:tc>
      </w:tr>
      <w:tr w14:paraId="2B0F0F44">
        <w:trPr>
          <w:trHeight w:val="690" w:hRule="atLeast"/>
          <w:jc w:val="center"/>
        </w:trPr>
        <w:tc>
          <w:tcPr>
            <w:tcW w:w="636" w:type="dxa"/>
            <w:tcBorders>
              <w:top w:val="single" w:color="000000" w:sz="4" w:space="0"/>
              <w:left w:val="single" w:color="000000" w:sz="4" w:space="0"/>
              <w:bottom w:val="single" w:color="000000" w:sz="4" w:space="0"/>
              <w:right w:val="single" w:color="000000" w:sz="4" w:space="0"/>
            </w:tcBorders>
            <w:vAlign w:val="center"/>
          </w:tcPr>
          <w:p w14:paraId="64722F9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5</w:t>
            </w:r>
          </w:p>
        </w:tc>
        <w:tc>
          <w:tcPr>
            <w:tcW w:w="1140" w:type="dxa"/>
            <w:tcBorders>
              <w:top w:val="single" w:color="000000" w:sz="4" w:space="0"/>
              <w:left w:val="single" w:color="000000" w:sz="4" w:space="0"/>
              <w:bottom w:val="single" w:color="000000" w:sz="4" w:space="0"/>
              <w:right w:val="single" w:color="000000" w:sz="4" w:space="0"/>
            </w:tcBorders>
            <w:vAlign w:val="center"/>
          </w:tcPr>
          <w:p w14:paraId="04F6B6B9">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同样问题或故障是否重复出现</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6D35B788">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故障反复出现</w:t>
            </w:r>
          </w:p>
        </w:tc>
        <w:tc>
          <w:tcPr>
            <w:tcW w:w="2809" w:type="dxa"/>
            <w:tcBorders>
              <w:top w:val="single" w:color="000000" w:sz="4" w:space="0"/>
              <w:left w:val="single" w:color="000000" w:sz="4" w:space="0"/>
              <w:bottom w:val="single" w:color="000000" w:sz="4" w:space="0"/>
              <w:right w:val="single" w:color="000000" w:sz="4" w:space="0"/>
            </w:tcBorders>
            <w:vAlign w:val="center"/>
          </w:tcPr>
          <w:p w14:paraId="79EE25D8">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每个重复出现的故障，扣15分。</w:t>
            </w:r>
          </w:p>
        </w:tc>
        <w:tc>
          <w:tcPr>
            <w:tcW w:w="722" w:type="dxa"/>
            <w:tcBorders>
              <w:top w:val="single" w:color="000000" w:sz="4" w:space="0"/>
              <w:left w:val="single" w:color="000000" w:sz="4" w:space="0"/>
              <w:bottom w:val="single" w:color="000000" w:sz="4" w:space="0"/>
              <w:right w:val="single" w:color="000000" w:sz="4" w:space="0"/>
            </w:tcBorders>
            <w:vAlign w:val="center"/>
          </w:tcPr>
          <w:p w14:paraId="7FFC2523">
            <w:pPr>
              <w:jc w:val="left"/>
              <w:rPr>
                <w:rFonts w:hint="eastAsia" w:ascii="仿宋" w:hAnsi="仿宋" w:eastAsia="仿宋" w:cs="仿宋"/>
                <w:color w:val="auto"/>
                <w:szCs w:val="21"/>
                <w:highlight w:val="none"/>
              </w:rPr>
            </w:pPr>
          </w:p>
        </w:tc>
        <w:tc>
          <w:tcPr>
            <w:tcW w:w="791" w:type="dxa"/>
            <w:tcBorders>
              <w:top w:val="single" w:color="000000" w:sz="4" w:space="0"/>
              <w:left w:val="single" w:color="000000" w:sz="4" w:space="0"/>
              <w:bottom w:val="single" w:color="000000" w:sz="4" w:space="0"/>
              <w:right w:val="single" w:color="000000" w:sz="4" w:space="0"/>
            </w:tcBorders>
            <w:vAlign w:val="center"/>
          </w:tcPr>
          <w:p w14:paraId="700B1BD8">
            <w:pPr>
              <w:jc w:val="left"/>
              <w:rPr>
                <w:rFonts w:hint="eastAsia" w:ascii="仿宋" w:hAnsi="仿宋" w:eastAsia="仿宋" w:cs="仿宋"/>
                <w:color w:val="auto"/>
                <w:szCs w:val="21"/>
                <w:highlight w:val="none"/>
              </w:rPr>
            </w:pPr>
          </w:p>
        </w:tc>
        <w:tc>
          <w:tcPr>
            <w:tcW w:w="777" w:type="dxa"/>
            <w:tcBorders>
              <w:top w:val="single" w:color="000000" w:sz="4" w:space="0"/>
              <w:left w:val="single" w:color="000000" w:sz="4" w:space="0"/>
              <w:bottom w:val="single" w:color="000000" w:sz="4" w:space="0"/>
              <w:right w:val="single" w:color="000000" w:sz="4" w:space="0"/>
            </w:tcBorders>
            <w:vAlign w:val="center"/>
          </w:tcPr>
          <w:p w14:paraId="1C63787B">
            <w:pPr>
              <w:jc w:val="left"/>
              <w:rPr>
                <w:rFonts w:hint="eastAsia" w:ascii="仿宋" w:hAnsi="仿宋" w:eastAsia="仿宋" w:cs="仿宋"/>
                <w:color w:val="auto"/>
                <w:szCs w:val="21"/>
                <w:highlight w:val="none"/>
              </w:rPr>
            </w:pPr>
          </w:p>
        </w:tc>
      </w:tr>
      <w:tr w14:paraId="15A79519">
        <w:tblPrEx>
          <w:tblCellMar>
            <w:top w:w="0" w:type="dxa"/>
            <w:left w:w="108" w:type="dxa"/>
            <w:bottom w:w="0" w:type="dxa"/>
            <w:right w:w="108" w:type="dxa"/>
          </w:tblCellMar>
        </w:tblPrEx>
        <w:trPr>
          <w:trHeight w:val="1380"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5D79145F">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6</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095B264D">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实施运维人员专业技能</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41F3C7BF">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需按照采购人要求提供具备专业技能的运维人员驻场进行运维服务，并按照采购人要求进行现场管理</w:t>
            </w:r>
          </w:p>
        </w:tc>
        <w:tc>
          <w:tcPr>
            <w:tcW w:w="2809" w:type="dxa"/>
            <w:tcBorders>
              <w:top w:val="single" w:color="000000" w:sz="4" w:space="0"/>
              <w:left w:val="single" w:color="000000" w:sz="4" w:space="0"/>
              <w:bottom w:val="single" w:color="000000" w:sz="4" w:space="0"/>
              <w:right w:val="single" w:color="000000" w:sz="4" w:space="0"/>
            </w:tcBorders>
            <w:vAlign w:val="center"/>
          </w:tcPr>
          <w:p w14:paraId="12996C16">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备案驻场人员如违反采购人现场管理规定（例如旷工，不准时到岗、不佩戴工作证上岗、着装不整齐、被采购人用户部门投诉并经核实记录在案等情况），由采购人不定时抽查，每发生一次扣2分。</w:t>
            </w:r>
          </w:p>
        </w:tc>
        <w:tc>
          <w:tcPr>
            <w:tcW w:w="722" w:type="dxa"/>
            <w:vMerge w:val="restart"/>
            <w:tcBorders>
              <w:top w:val="single" w:color="000000" w:sz="4" w:space="0"/>
              <w:left w:val="single" w:color="000000" w:sz="4" w:space="0"/>
              <w:bottom w:val="single" w:color="000000" w:sz="4" w:space="0"/>
              <w:right w:val="single" w:color="000000" w:sz="4" w:space="0"/>
            </w:tcBorders>
            <w:vAlign w:val="center"/>
          </w:tcPr>
          <w:p w14:paraId="5CDE707E">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bottom w:val="single" w:color="000000" w:sz="4" w:space="0"/>
              <w:right w:val="single" w:color="000000" w:sz="4" w:space="0"/>
            </w:tcBorders>
            <w:vAlign w:val="center"/>
          </w:tcPr>
          <w:p w14:paraId="202709AA">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bottom w:val="single" w:color="000000" w:sz="4" w:space="0"/>
              <w:right w:val="single" w:color="000000" w:sz="4" w:space="0"/>
            </w:tcBorders>
            <w:vAlign w:val="center"/>
          </w:tcPr>
          <w:p w14:paraId="4C6817C1">
            <w:pPr>
              <w:jc w:val="left"/>
              <w:rPr>
                <w:rFonts w:hint="eastAsia" w:ascii="仿宋" w:hAnsi="仿宋" w:eastAsia="仿宋" w:cs="仿宋"/>
                <w:color w:val="auto"/>
                <w:szCs w:val="21"/>
                <w:highlight w:val="none"/>
              </w:rPr>
            </w:pPr>
          </w:p>
        </w:tc>
      </w:tr>
      <w:tr w14:paraId="0EE5BF2A">
        <w:tblPrEx>
          <w:tblCellMar>
            <w:top w:w="0" w:type="dxa"/>
            <w:left w:w="108" w:type="dxa"/>
            <w:bottom w:w="0" w:type="dxa"/>
            <w:right w:w="108" w:type="dxa"/>
          </w:tblCellMar>
        </w:tblPrEx>
        <w:trPr>
          <w:trHeight w:val="1035"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07706C31">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60C204A3">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73A513C8">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提供运维服务的团队中需包括管理岗、技术支持岗、操作岗，并且</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需将人员结构名单提供采购人备查，如人员发生变动需至少提早一个月告知采购人。</w:t>
            </w:r>
          </w:p>
        </w:tc>
        <w:tc>
          <w:tcPr>
            <w:tcW w:w="2809" w:type="dxa"/>
            <w:tcBorders>
              <w:top w:val="single" w:color="000000" w:sz="4" w:space="0"/>
              <w:left w:val="single" w:color="000000" w:sz="4" w:space="0"/>
              <w:bottom w:val="single" w:color="000000" w:sz="4" w:space="0"/>
              <w:right w:val="single" w:color="000000" w:sz="4" w:space="0"/>
            </w:tcBorders>
            <w:vAlign w:val="center"/>
          </w:tcPr>
          <w:p w14:paraId="4990D11F">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不按时告知采购人运维团队人员变动的，每次扣5分。</w:t>
            </w:r>
          </w:p>
        </w:tc>
        <w:tc>
          <w:tcPr>
            <w:tcW w:w="722" w:type="dxa"/>
            <w:vMerge w:val="continue"/>
            <w:tcBorders>
              <w:top w:val="single" w:color="000000" w:sz="4" w:space="0"/>
              <w:left w:val="single" w:color="000000" w:sz="4" w:space="0"/>
              <w:bottom w:val="single" w:color="000000" w:sz="4" w:space="0"/>
              <w:right w:val="single" w:color="000000" w:sz="4" w:space="0"/>
            </w:tcBorders>
            <w:vAlign w:val="center"/>
          </w:tcPr>
          <w:p w14:paraId="17D8337B">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000000" w:sz="4" w:space="0"/>
              <w:right w:val="single" w:color="000000" w:sz="4" w:space="0"/>
            </w:tcBorders>
            <w:vAlign w:val="center"/>
          </w:tcPr>
          <w:p w14:paraId="659D3E7E">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000000" w:sz="4" w:space="0"/>
              <w:right w:val="single" w:color="000000" w:sz="4" w:space="0"/>
            </w:tcBorders>
            <w:vAlign w:val="center"/>
          </w:tcPr>
          <w:p w14:paraId="20476B17">
            <w:pPr>
              <w:jc w:val="left"/>
              <w:rPr>
                <w:rFonts w:hint="eastAsia" w:ascii="仿宋" w:hAnsi="仿宋" w:eastAsia="仿宋" w:cs="仿宋"/>
                <w:color w:val="auto"/>
                <w:szCs w:val="21"/>
                <w:highlight w:val="none"/>
              </w:rPr>
            </w:pPr>
          </w:p>
        </w:tc>
      </w:tr>
      <w:tr w14:paraId="29C2B31E">
        <w:trPr>
          <w:trHeight w:val="69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36013A81">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0FB42B11">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56D76252">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提供驻场运维人员需满足采购人工作要求。</w:t>
            </w:r>
          </w:p>
        </w:tc>
        <w:tc>
          <w:tcPr>
            <w:tcW w:w="2809" w:type="dxa"/>
            <w:tcBorders>
              <w:top w:val="single" w:color="000000" w:sz="4" w:space="0"/>
              <w:left w:val="single" w:color="000000" w:sz="4" w:space="0"/>
              <w:bottom w:val="single" w:color="000000" w:sz="4" w:space="0"/>
              <w:right w:val="single" w:color="000000" w:sz="4" w:space="0"/>
            </w:tcBorders>
            <w:vAlign w:val="center"/>
          </w:tcPr>
          <w:p w14:paraId="3262388D">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提供运维人员素质达不到采购人工作要求、且采购人提出更换的情况下不能在1个月内安排更换的，每发生一次扣5分。</w:t>
            </w:r>
          </w:p>
        </w:tc>
        <w:tc>
          <w:tcPr>
            <w:tcW w:w="722" w:type="dxa"/>
            <w:vMerge w:val="continue"/>
            <w:tcBorders>
              <w:top w:val="single" w:color="000000" w:sz="4" w:space="0"/>
              <w:left w:val="single" w:color="000000" w:sz="4" w:space="0"/>
              <w:bottom w:val="single" w:color="000000" w:sz="4" w:space="0"/>
              <w:right w:val="single" w:color="000000" w:sz="4" w:space="0"/>
            </w:tcBorders>
            <w:vAlign w:val="center"/>
          </w:tcPr>
          <w:p w14:paraId="22496CD7">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000000" w:sz="4" w:space="0"/>
              <w:right w:val="single" w:color="000000" w:sz="4" w:space="0"/>
            </w:tcBorders>
            <w:vAlign w:val="center"/>
          </w:tcPr>
          <w:p w14:paraId="372CEE17">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000000" w:sz="4" w:space="0"/>
              <w:right w:val="single" w:color="000000" w:sz="4" w:space="0"/>
            </w:tcBorders>
            <w:vAlign w:val="center"/>
          </w:tcPr>
          <w:p w14:paraId="657C3EF6">
            <w:pPr>
              <w:jc w:val="left"/>
              <w:rPr>
                <w:rFonts w:hint="eastAsia" w:ascii="仿宋" w:hAnsi="仿宋" w:eastAsia="仿宋" w:cs="仿宋"/>
                <w:color w:val="auto"/>
                <w:szCs w:val="21"/>
                <w:highlight w:val="none"/>
              </w:rPr>
            </w:pPr>
          </w:p>
        </w:tc>
      </w:tr>
      <w:tr w14:paraId="5B9024D4">
        <w:tblPrEx>
          <w:tblCellMar>
            <w:top w:w="0" w:type="dxa"/>
            <w:left w:w="108" w:type="dxa"/>
            <w:bottom w:w="0" w:type="dxa"/>
            <w:right w:w="108" w:type="dxa"/>
          </w:tblCellMar>
        </w:tblPrEx>
        <w:trPr>
          <w:trHeight w:val="1725"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59ABEC2C">
            <w:pPr>
              <w:widowControl/>
              <w:jc w:val="center"/>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7</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77D949E0">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维护人员操作规范</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4EEFE1EB">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版本实施计划性：</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应在采购人确定版本实施时间前两个工作日，提交更换系统版本及修改内容；在采购人确定版本实施时间及内容后、</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不得擅自变更版本内容。</w:t>
            </w:r>
          </w:p>
          <w:p w14:paraId="4FF511C6">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版本实施规范性：</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不得擅自对生产环节应用系统的软件和配置进行改动。</w:t>
            </w:r>
          </w:p>
        </w:tc>
        <w:tc>
          <w:tcPr>
            <w:tcW w:w="2809" w:type="dxa"/>
            <w:tcBorders>
              <w:top w:val="single" w:color="000000" w:sz="4" w:space="0"/>
              <w:left w:val="single" w:color="000000" w:sz="4" w:space="0"/>
              <w:bottom w:val="single" w:color="000000" w:sz="4" w:space="0"/>
              <w:right w:val="single" w:color="000000" w:sz="4" w:space="0"/>
            </w:tcBorders>
            <w:vAlign w:val="center"/>
          </w:tcPr>
          <w:p w14:paraId="06E3AF87">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未提前两个工作日提交更换系统版本及修改内容或擅自变更版本内容或擅自对生产环节应用系统的软件和配置进行改动的，每出现一次扣5分。</w:t>
            </w:r>
          </w:p>
        </w:tc>
        <w:tc>
          <w:tcPr>
            <w:tcW w:w="722" w:type="dxa"/>
            <w:vMerge w:val="restart"/>
            <w:tcBorders>
              <w:top w:val="single" w:color="000000" w:sz="4" w:space="0"/>
              <w:left w:val="single" w:color="000000" w:sz="4" w:space="0"/>
              <w:right w:val="single" w:color="000000" w:sz="4" w:space="0"/>
            </w:tcBorders>
            <w:vAlign w:val="center"/>
          </w:tcPr>
          <w:p w14:paraId="559A26CD">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right w:val="single" w:color="000000" w:sz="4" w:space="0"/>
            </w:tcBorders>
            <w:vAlign w:val="center"/>
          </w:tcPr>
          <w:p w14:paraId="638E6381">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right w:val="single" w:color="000000" w:sz="4" w:space="0"/>
            </w:tcBorders>
            <w:vAlign w:val="center"/>
          </w:tcPr>
          <w:p w14:paraId="536F6B39">
            <w:pPr>
              <w:jc w:val="left"/>
              <w:rPr>
                <w:rFonts w:hint="eastAsia" w:ascii="仿宋" w:hAnsi="仿宋" w:eastAsia="仿宋" w:cs="仿宋"/>
                <w:color w:val="auto"/>
                <w:szCs w:val="21"/>
                <w:highlight w:val="none"/>
              </w:rPr>
            </w:pPr>
          </w:p>
        </w:tc>
      </w:tr>
      <w:tr w14:paraId="65D0B42D">
        <w:trPr>
          <w:trHeight w:val="69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37F8A9A5">
            <w:pPr>
              <w:jc w:val="center"/>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31A9BF18">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0C59E335">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每次版本发布后一周内，</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需要更新系统数据字典、系统设计文档、系统操作使用手册、系统维护说明。</w:t>
            </w:r>
          </w:p>
        </w:tc>
        <w:tc>
          <w:tcPr>
            <w:tcW w:w="2809" w:type="dxa"/>
            <w:tcBorders>
              <w:top w:val="single" w:color="000000" w:sz="4" w:space="0"/>
              <w:left w:val="single" w:color="000000" w:sz="4" w:space="0"/>
              <w:bottom w:val="single" w:color="000000" w:sz="4" w:space="0"/>
              <w:right w:val="single" w:color="000000" w:sz="4" w:space="0"/>
            </w:tcBorders>
            <w:vAlign w:val="center"/>
          </w:tcPr>
          <w:p w14:paraId="5F68F723">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不及时更新的，每出现一次扣5分。</w:t>
            </w:r>
          </w:p>
        </w:tc>
        <w:tc>
          <w:tcPr>
            <w:tcW w:w="722" w:type="dxa"/>
            <w:vMerge w:val="continue"/>
            <w:tcBorders>
              <w:left w:val="single" w:color="000000" w:sz="4" w:space="0"/>
              <w:right w:val="single" w:color="000000" w:sz="4" w:space="0"/>
            </w:tcBorders>
            <w:vAlign w:val="center"/>
          </w:tcPr>
          <w:p w14:paraId="6AB029F7">
            <w:pPr>
              <w:jc w:val="left"/>
              <w:rPr>
                <w:rFonts w:hint="eastAsia" w:ascii="仿宋" w:hAnsi="仿宋" w:eastAsia="仿宋" w:cs="仿宋"/>
                <w:color w:val="auto"/>
                <w:szCs w:val="21"/>
                <w:highlight w:val="none"/>
              </w:rPr>
            </w:pPr>
          </w:p>
        </w:tc>
        <w:tc>
          <w:tcPr>
            <w:tcW w:w="791" w:type="dxa"/>
            <w:vMerge w:val="continue"/>
            <w:tcBorders>
              <w:left w:val="single" w:color="000000" w:sz="4" w:space="0"/>
              <w:right w:val="single" w:color="000000" w:sz="4" w:space="0"/>
            </w:tcBorders>
            <w:vAlign w:val="center"/>
          </w:tcPr>
          <w:p w14:paraId="4ECC3B95">
            <w:pPr>
              <w:jc w:val="left"/>
              <w:rPr>
                <w:rFonts w:hint="eastAsia" w:ascii="仿宋" w:hAnsi="仿宋" w:eastAsia="仿宋" w:cs="仿宋"/>
                <w:color w:val="auto"/>
                <w:szCs w:val="21"/>
                <w:highlight w:val="none"/>
              </w:rPr>
            </w:pPr>
          </w:p>
        </w:tc>
        <w:tc>
          <w:tcPr>
            <w:tcW w:w="777" w:type="dxa"/>
            <w:vMerge w:val="continue"/>
            <w:tcBorders>
              <w:left w:val="single" w:color="000000" w:sz="4" w:space="0"/>
              <w:right w:val="single" w:color="000000" w:sz="4" w:space="0"/>
            </w:tcBorders>
            <w:vAlign w:val="center"/>
          </w:tcPr>
          <w:p w14:paraId="77125DA2">
            <w:pPr>
              <w:jc w:val="left"/>
              <w:rPr>
                <w:rFonts w:hint="eastAsia" w:ascii="仿宋" w:hAnsi="仿宋" w:eastAsia="仿宋" w:cs="仿宋"/>
                <w:color w:val="auto"/>
                <w:szCs w:val="21"/>
                <w:highlight w:val="none"/>
              </w:rPr>
            </w:pPr>
          </w:p>
        </w:tc>
      </w:tr>
      <w:tr w14:paraId="4B07A6DB">
        <w:tblPrEx>
          <w:tblCellMar>
            <w:top w:w="0" w:type="dxa"/>
            <w:left w:w="108" w:type="dxa"/>
            <w:bottom w:w="0" w:type="dxa"/>
            <w:right w:w="108" w:type="dxa"/>
          </w:tblCellMar>
        </w:tblPrEx>
        <w:trPr>
          <w:trHeight w:val="138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7B05E3C2">
            <w:pPr>
              <w:jc w:val="center"/>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0D34C876">
            <w:pPr>
              <w:jc w:val="left"/>
              <w:rPr>
                <w:rFonts w:hint="eastAsia" w:ascii="仿宋" w:hAnsi="仿宋" w:eastAsia="仿宋" w:cs="仿宋"/>
                <w:color w:val="auto"/>
                <w:szCs w:val="21"/>
                <w:highlight w:val="none"/>
              </w:rPr>
            </w:pP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613979D5">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由于</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版本实施操作不当导致系统故障的；在规定实施版本时间未提交程序版本或实施人员未到位的。</w:t>
            </w:r>
          </w:p>
        </w:tc>
        <w:tc>
          <w:tcPr>
            <w:tcW w:w="2809" w:type="dxa"/>
            <w:tcBorders>
              <w:top w:val="single" w:color="000000" w:sz="4" w:space="0"/>
              <w:left w:val="single" w:color="000000" w:sz="4" w:space="0"/>
              <w:bottom w:val="single" w:color="000000" w:sz="4" w:space="0"/>
              <w:right w:val="single" w:color="000000" w:sz="4" w:space="0"/>
            </w:tcBorders>
            <w:vAlign w:val="center"/>
          </w:tcPr>
          <w:p w14:paraId="3D856C69">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由于</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版本实施操作不当导致系统故障的，每发生一次扣10分；</w:t>
            </w:r>
          </w:p>
          <w:p w14:paraId="5E75268F">
            <w:pPr>
              <w:widowControl/>
              <w:jc w:val="left"/>
              <w:textAlignment w:val="center"/>
              <w:rPr>
                <w:rFonts w:hint="eastAsia" w:ascii="仿宋" w:hAnsi="仿宋" w:eastAsia="仿宋" w:cs="仿宋"/>
                <w:color w:val="auto"/>
                <w:kern w:val="0"/>
                <w:szCs w:val="21"/>
                <w:highlight w:val="none"/>
              </w:rPr>
            </w:pPr>
            <w:r>
              <w:rPr>
                <w:rFonts w:hint="eastAsia" w:ascii="仿宋" w:hAnsi="仿宋" w:eastAsia="仿宋" w:cs="仿宋"/>
                <w:color w:val="auto"/>
                <w:kern w:val="0"/>
                <w:szCs w:val="21"/>
                <w:highlight w:val="none"/>
              </w:rPr>
              <w:t>在规定实施版本时间未提交程序版本的，每发生一次扣10分；</w:t>
            </w:r>
          </w:p>
          <w:p w14:paraId="5B861EB9">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在规定实施版本时间实施人员未到位的，每发生一次扣5分。</w:t>
            </w:r>
          </w:p>
        </w:tc>
        <w:tc>
          <w:tcPr>
            <w:tcW w:w="722" w:type="dxa"/>
            <w:vMerge w:val="continue"/>
            <w:tcBorders>
              <w:left w:val="single" w:color="000000" w:sz="4" w:space="0"/>
              <w:bottom w:val="single" w:color="000000" w:sz="4" w:space="0"/>
              <w:right w:val="single" w:color="000000" w:sz="4" w:space="0"/>
            </w:tcBorders>
            <w:vAlign w:val="center"/>
          </w:tcPr>
          <w:p w14:paraId="021DFD13">
            <w:pPr>
              <w:jc w:val="left"/>
              <w:rPr>
                <w:rFonts w:hint="eastAsia" w:ascii="仿宋" w:hAnsi="仿宋" w:eastAsia="仿宋" w:cs="仿宋"/>
                <w:color w:val="auto"/>
                <w:szCs w:val="21"/>
                <w:highlight w:val="none"/>
              </w:rPr>
            </w:pPr>
          </w:p>
        </w:tc>
        <w:tc>
          <w:tcPr>
            <w:tcW w:w="791" w:type="dxa"/>
            <w:vMerge w:val="continue"/>
            <w:tcBorders>
              <w:left w:val="single" w:color="000000" w:sz="4" w:space="0"/>
              <w:bottom w:val="single" w:color="000000" w:sz="4" w:space="0"/>
              <w:right w:val="single" w:color="000000" w:sz="4" w:space="0"/>
            </w:tcBorders>
            <w:vAlign w:val="center"/>
          </w:tcPr>
          <w:p w14:paraId="2DDA8206">
            <w:pPr>
              <w:jc w:val="left"/>
              <w:rPr>
                <w:rFonts w:hint="eastAsia" w:ascii="仿宋" w:hAnsi="仿宋" w:eastAsia="仿宋" w:cs="仿宋"/>
                <w:color w:val="auto"/>
                <w:szCs w:val="21"/>
                <w:highlight w:val="none"/>
              </w:rPr>
            </w:pPr>
          </w:p>
        </w:tc>
        <w:tc>
          <w:tcPr>
            <w:tcW w:w="777" w:type="dxa"/>
            <w:vMerge w:val="continue"/>
            <w:tcBorders>
              <w:left w:val="single" w:color="000000" w:sz="4" w:space="0"/>
              <w:bottom w:val="single" w:color="000000" w:sz="4" w:space="0"/>
              <w:right w:val="single" w:color="000000" w:sz="4" w:space="0"/>
            </w:tcBorders>
            <w:vAlign w:val="center"/>
          </w:tcPr>
          <w:p w14:paraId="6942F997">
            <w:pPr>
              <w:jc w:val="left"/>
              <w:rPr>
                <w:rFonts w:hint="eastAsia" w:ascii="仿宋" w:hAnsi="仿宋" w:eastAsia="仿宋" w:cs="仿宋"/>
                <w:color w:val="auto"/>
                <w:szCs w:val="21"/>
                <w:highlight w:val="none"/>
              </w:rPr>
            </w:pPr>
          </w:p>
        </w:tc>
      </w:tr>
      <w:tr w14:paraId="7157828D">
        <w:tblPrEx>
          <w:tblCellMar>
            <w:top w:w="0" w:type="dxa"/>
            <w:left w:w="108" w:type="dxa"/>
            <w:bottom w:w="0" w:type="dxa"/>
            <w:right w:w="108" w:type="dxa"/>
          </w:tblCellMar>
        </w:tblPrEx>
        <w:trPr>
          <w:trHeight w:val="312"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18B375BB">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8</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39A30845">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紧急现场服务响应</w:t>
            </w:r>
          </w:p>
        </w:tc>
        <w:tc>
          <w:tcPr>
            <w:tcW w:w="2648"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B543067">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在版本发布后一周内需监控系统运行情况，并积极响应各类问题处理。（1）因BUG引起故障的，应在4小时内提供修复方案和脚本提交采购人审核后安排实施。（2）</w:t>
            </w: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需在版本发布后一周内向采购人提交版本发布后质量管控报告，内容需报告发现问题、核查进展和解决情况。</w:t>
            </w:r>
          </w:p>
        </w:tc>
        <w:tc>
          <w:tcPr>
            <w:tcW w:w="2809" w:type="dxa"/>
            <w:vMerge w:val="restart"/>
            <w:tcBorders>
              <w:top w:val="single" w:color="000000" w:sz="4" w:space="0"/>
              <w:left w:val="single" w:color="000000" w:sz="4" w:space="0"/>
              <w:bottom w:val="single" w:color="000000" w:sz="4" w:space="0"/>
              <w:right w:val="single" w:color="000000" w:sz="4" w:space="0"/>
            </w:tcBorders>
            <w:vAlign w:val="center"/>
          </w:tcPr>
          <w:p w14:paraId="76614802">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不按时修复BUG引起故障的，每次扣5分；不按时提交版本发布后质量管控报告的，每次扣5分。</w:t>
            </w:r>
          </w:p>
        </w:tc>
        <w:tc>
          <w:tcPr>
            <w:tcW w:w="722" w:type="dxa"/>
            <w:vMerge w:val="restart"/>
            <w:tcBorders>
              <w:top w:val="single" w:color="000000" w:sz="4" w:space="0"/>
              <w:left w:val="single" w:color="000000" w:sz="4" w:space="0"/>
              <w:bottom w:val="single" w:color="000000" w:sz="4" w:space="0"/>
              <w:right w:val="single" w:color="000000" w:sz="4" w:space="0"/>
            </w:tcBorders>
            <w:vAlign w:val="center"/>
          </w:tcPr>
          <w:p w14:paraId="5103A1E2">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bottom w:val="single" w:color="000000" w:sz="4" w:space="0"/>
              <w:right w:val="single" w:color="000000" w:sz="4" w:space="0"/>
            </w:tcBorders>
            <w:vAlign w:val="center"/>
          </w:tcPr>
          <w:p w14:paraId="2730BDCD">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bottom w:val="single" w:color="000000" w:sz="4" w:space="0"/>
              <w:right w:val="single" w:color="000000" w:sz="4" w:space="0"/>
            </w:tcBorders>
            <w:vAlign w:val="center"/>
          </w:tcPr>
          <w:p w14:paraId="756BD847">
            <w:pPr>
              <w:jc w:val="left"/>
              <w:rPr>
                <w:rFonts w:hint="eastAsia" w:ascii="仿宋" w:hAnsi="仿宋" w:eastAsia="仿宋" w:cs="仿宋"/>
                <w:color w:val="auto"/>
                <w:szCs w:val="21"/>
                <w:highlight w:val="none"/>
              </w:rPr>
            </w:pPr>
          </w:p>
        </w:tc>
      </w:tr>
      <w:tr w14:paraId="572FF9CC">
        <w:trPr>
          <w:trHeight w:val="312"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1692769D">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3CAB6ACC">
            <w:pPr>
              <w:jc w:val="left"/>
              <w:rPr>
                <w:rFonts w:hint="eastAsia" w:ascii="仿宋" w:hAnsi="仿宋" w:eastAsia="仿宋" w:cs="仿宋"/>
                <w:color w:val="auto"/>
                <w:szCs w:val="21"/>
                <w:highlight w:val="none"/>
              </w:rPr>
            </w:pPr>
          </w:p>
        </w:tc>
        <w:tc>
          <w:tcPr>
            <w:tcW w:w="2648"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5A09626">
            <w:pPr>
              <w:jc w:val="left"/>
              <w:rPr>
                <w:rFonts w:hint="eastAsia" w:ascii="仿宋" w:hAnsi="仿宋" w:eastAsia="仿宋" w:cs="仿宋"/>
                <w:color w:val="auto"/>
                <w:szCs w:val="21"/>
                <w:highlight w:val="none"/>
              </w:rPr>
            </w:pPr>
          </w:p>
        </w:tc>
        <w:tc>
          <w:tcPr>
            <w:tcW w:w="2809" w:type="dxa"/>
            <w:vMerge w:val="continue"/>
            <w:tcBorders>
              <w:top w:val="single" w:color="000000" w:sz="4" w:space="0"/>
              <w:left w:val="single" w:color="000000" w:sz="4" w:space="0"/>
              <w:bottom w:val="single" w:color="000000" w:sz="4" w:space="0"/>
              <w:right w:val="single" w:color="000000" w:sz="4" w:space="0"/>
            </w:tcBorders>
            <w:vAlign w:val="center"/>
          </w:tcPr>
          <w:p w14:paraId="5A9E41B8">
            <w:pPr>
              <w:jc w:val="left"/>
              <w:rPr>
                <w:rFonts w:hint="eastAsia" w:ascii="仿宋" w:hAnsi="仿宋" w:eastAsia="仿宋" w:cs="仿宋"/>
                <w:color w:val="auto"/>
                <w:szCs w:val="21"/>
                <w:highlight w:val="none"/>
              </w:rPr>
            </w:pPr>
          </w:p>
        </w:tc>
        <w:tc>
          <w:tcPr>
            <w:tcW w:w="722" w:type="dxa"/>
            <w:vMerge w:val="continue"/>
            <w:tcBorders>
              <w:top w:val="single" w:color="000000" w:sz="4" w:space="0"/>
              <w:left w:val="single" w:color="000000" w:sz="4" w:space="0"/>
              <w:bottom w:val="single" w:color="000000" w:sz="4" w:space="0"/>
              <w:right w:val="single" w:color="000000" w:sz="4" w:space="0"/>
            </w:tcBorders>
            <w:vAlign w:val="center"/>
          </w:tcPr>
          <w:p w14:paraId="4AA089F7">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000000" w:sz="4" w:space="0"/>
              <w:right w:val="single" w:color="000000" w:sz="4" w:space="0"/>
            </w:tcBorders>
            <w:vAlign w:val="center"/>
          </w:tcPr>
          <w:p w14:paraId="23F762A2">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000000" w:sz="4" w:space="0"/>
              <w:right w:val="single" w:color="000000" w:sz="4" w:space="0"/>
            </w:tcBorders>
            <w:vAlign w:val="center"/>
          </w:tcPr>
          <w:p w14:paraId="7144C8C3">
            <w:pPr>
              <w:jc w:val="left"/>
              <w:rPr>
                <w:rFonts w:hint="eastAsia" w:ascii="仿宋" w:hAnsi="仿宋" w:eastAsia="仿宋" w:cs="仿宋"/>
                <w:color w:val="auto"/>
                <w:szCs w:val="21"/>
                <w:highlight w:val="none"/>
              </w:rPr>
            </w:pPr>
          </w:p>
        </w:tc>
      </w:tr>
      <w:tr w14:paraId="0081C1FC">
        <w:trPr>
          <w:trHeight w:val="940"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1423A95F">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40A1ED42">
            <w:pPr>
              <w:jc w:val="left"/>
              <w:rPr>
                <w:rFonts w:hint="eastAsia" w:ascii="仿宋" w:hAnsi="仿宋" w:eastAsia="仿宋" w:cs="仿宋"/>
                <w:color w:val="auto"/>
                <w:szCs w:val="21"/>
                <w:highlight w:val="none"/>
              </w:rPr>
            </w:pPr>
          </w:p>
        </w:tc>
        <w:tc>
          <w:tcPr>
            <w:tcW w:w="2648"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76EE949">
            <w:pPr>
              <w:jc w:val="left"/>
              <w:rPr>
                <w:rFonts w:hint="eastAsia" w:ascii="仿宋" w:hAnsi="仿宋" w:eastAsia="仿宋" w:cs="仿宋"/>
                <w:color w:val="auto"/>
                <w:szCs w:val="21"/>
                <w:highlight w:val="none"/>
              </w:rPr>
            </w:pPr>
          </w:p>
        </w:tc>
        <w:tc>
          <w:tcPr>
            <w:tcW w:w="2809" w:type="dxa"/>
            <w:vMerge w:val="continue"/>
            <w:tcBorders>
              <w:top w:val="single" w:color="000000" w:sz="4" w:space="0"/>
              <w:left w:val="single" w:color="000000" w:sz="4" w:space="0"/>
              <w:bottom w:val="single" w:color="000000" w:sz="4" w:space="0"/>
              <w:right w:val="single" w:color="000000" w:sz="4" w:space="0"/>
            </w:tcBorders>
            <w:vAlign w:val="center"/>
          </w:tcPr>
          <w:p w14:paraId="23F2F589">
            <w:pPr>
              <w:jc w:val="left"/>
              <w:rPr>
                <w:rFonts w:hint="eastAsia" w:ascii="仿宋" w:hAnsi="仿宋" w:eastAsia="仿宋" w:cs="仿宋"/>
                <w:color w:val="auto"/>
                <w:szCs w:val="21"/>
                <w:highlight w:val="none"/>
              </w:rPr>
            </w:pPr>
          </w:p>
        </w:tc>
        <w:tc>
          <w:tcPr>
            <w:tcW w:w="722" w:type="dxa"/>
            <w:vMerge w:val="continue"/>
            <w:tcBorders>
              <w:top w:val="single" w:color="000000" w:sz="4" w:space="0"/>
              <w:left w:val="single" w:color="000000" w:sz="4" w:space="0"/>
              <w:bottom w:val="single" w:color="000000" w:sz="4" w:space="0"/>
              <w:right w:val="single" w:color="000000" w:sz="4" w:space="0"/>
            </w:tcBorders>
            <w:vAlign w:val="center"/>
          </w:tcPr>
          <w:p w14:paraId="7FC4A23B">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000000" w:sz="4" w:space="0"/>
              <w:right w:val="single" w:color="000000" w:sz="4" w:space="0"/>
            </w:tcBorders>
            <w:vAlign w:val="center"/>
          </w:tcPr>
          <w:p w14:paraId="3EE06E4E">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000000" w:sz="4" w:space="0"/>
              <w:right w:val="single" w:color="000000" w:sz="4" w:space="0"/>
            </w:tcBorders>
            <w:vAlign w:val="center"/>
          </w:tcPr>
          <w:p w14:paraId="02E0104A">
            <w:pPr>
              <w:jc w:val="left"/>
              <w:rPr>
                <w:rFonts w:hint="eastAsia" w:ascii="仿宋" w:hAnsi="仿宋" w:eastAsia="仿宋" w:cs="仿宋"/>
                <w:color w:val="auto"/>
                <w:szCs w:val="21"/>
                <w:highlight w:val="none"/>
              </w:rPr>
            </w:pPr>
          </w:p>
        </w:tc>
      </w:tr>
      <w:tr w14:paraId="56632630">
        <w:tblPrEx>
          <w:tblCellMar>
            <w:top w:w="0" w:type="dxa"/>
            <w:left w:w="108" w:type="dxa"/>
            <w:bottom w:w="0" w:type="dxa"/>
            <w:right w:w="108" w:type="dxa"/>
          </w:tblCellMar>
        </w:tblPrEx>
        <w:trPr>
          <w:trHeight w:val="690" w:hRule="atLeast"/>
          <w:jc w:val="center"/>
        </w:trPr>
        <w:tc>
          <w:tcPr>
            <w:tcW w:w="636" w:type="dxa"/>
            <w:tcBorders>
              <w:top w:val="single" w:color="000000" w:sz="4" w:space="0"/>
              <w:left w:val="single" w:color="000000" w:sz="4" w:space="0"/>
              <w:bottom w:val="single" w:color="000000" w:sz="4" w:space="0"/>
              <w:right w:val="single" w:color="000000" w:sz="4" w:space="0"/>
            </w:tcBorders>
            <w:vAlign w:val="center"/>
          </w:tcPr>
          <w:p w14:paraId="296855A5">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9</w:t>
            </w:r>
          </w:p>
        </w:tc>
        <w:tc>
          <w:tcPr>
            <w:tcW w:w="1140" w:type="dxa"/>
            <w:tcBorders>
              <w:top w:val="single" w:color="000000" w:sz="4" w:space="0"/>
              <w:left w:val="single" w:color="000000" w:sz="4" w:space="0"/>
              <w:bottom w:val="single" w:color="000000" w:sz="4" w:space="0"/>
              <w:right w:val="single" w:color="000000" w:sz="4" w:space="0"/>
            </w:tcBorders>
            <w:vAlign w:val="center"/>
          </w:tcPr>
          <w:p w14:paraId="1272E0F9">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巡检服务情况</w:t>
            </w:r>
          </w:p>
        </w:tc>
        <w:tc>
          <w:tcPr>
            <w:tcW w:w="2648" w:type="dxa"/>
            <w:gridSpan w:val="2"/>
            <w:tcBorders>
              <w:top w:val="single" w:color="000000" w:sz="4" w:space="0"/>
              <w:left w:val="single" w:color="000000" w:sz="4" w:space="0"/>
              <w:bottom w:val="single" w:color="000000" w:sz="4" w:space="0"/>
              <w:right w:val="single" w:color="000000" w:sz="4" w:space="0"/>
            </w:tcBorders>
            <w:vAlign w:val="center"/>
          </w:tcPr>
          <w:p w14:paraId="470BC970">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需每季度对采购人HIS系统运行情况进行巡检，并在季度后的15天内向采购人提交巡检报告。</w:t>
            </w:r>
          </w:p>
        </w:tc>
        <w:tc>
          <w:tcPr>
            <w:tcW w:w="2809" w:type="dxa"/>
            <w:tcBorders>
              <w:top w:val="single" w:color="000000" w:sz="4" w:space="0"/>
              <w:left w:val="single" w:color="000000" w:sz="4" w:space="0"/>
              <w:bottom w:val="single" w:color="000000" w:sz="4" w:space="0"/>
              <w:right w:val="single" w:color="000000" w:sz="4" w:space="0"/>
            </w:tcBorders>
            <w:vAlign w:val="center"/>
          </w:tcPr>
          <w:p w14:paraId="553F1ECC">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每缺少一项内容，扣10分。</w:t>
            </w:r>
          </w:p>
        </w:tc>
        <w:tc>
          <w:tcPr>
            <w:tcW w:w="722" w:type="dxa"/>
            <w:tcBorders>
              <w:top w:val="single" w:color="000000" w:sz="4" w:space="0"/>
              <w:left w:val="single" w:color="000000" w:sz="4" w:space="0"/>
              <w:bottom w:val="single" w:color="000000" w:sz="4" w:space="0"/>
              <w:right w:val="single" w:color="000000" w:sz="4" w:space="0"/>
            </w:tcBorders>
            <w:vAlign w:val="center"/>
          </w:tcPr>
          <w:p w14:paraId="6C74C0BD">
            <w:pPr>
              <w:jc w:val="left"/>
              <w:rPr>
                <w:rFonts w:hint="eastAsia" w:ascii="仿宋" w:hAnsi="仿宋" w:eastAsia="仿宋" w:cs="仿宋"/>
                <w:color w:val="auto"/>
                <w:szCs w:val="21"/>
                <w:highlight w:val="none"/>
              </w:rPr>
            </w:pPr>
          </w:p>
        </w:tc>
        <w:tc>
          <w:tcPr>
            <w:tcW w:w="791" w:type="dxa"/>
            <w:tcBorders>
              <w:top w:val="single" w:color="000000" w:sz="4" w:space="0"/>
              <w:left w:val="single" w:color="000000" w:sz="4" w:space="0"/>
              <w:bottom w:val="single" w:color="000000" w:sz="4" w:space="0"/>
              <w:right w:val="single" w:color="000000" w:sz="4" w:space="0"/>
            </w:tcBorders>
            <w:vAlign w:val="center"/>
          </w:tcPr>
          <w:p w14:paraId="35D6E5AE">
            <w:pPr>
              <w:jc w:val="left"/>
              <w:rPr>
                <w:rFonts w:hint="eastAsia" w:ascii="仿宋" w:hAnsi="仿宋" w:eastAsia="仿宋" w:cs="仿宋"/>
                <w:color w:val="auto"/>
                <w:szCs w:val="21"/>
                <w:highlight w:val="none"/>
              </w:rPr>
            </w:pPr>
          </w:p>
        </w:tc>
        <w:tc>
          <w:tcPr>
            <w:tcW w:w="777" w:type="dxa"/>
            <w:tcBorders>
              <w:top w:val="single" w:color="000000" w:sz="4" w:space="0"/>
              <w:left w:val="single" w:color="000000" w:sz="4" w:space="0"/>
              <w:bottom w:val="single" w:color="000000" w:sz="4" w:space="0"/>
              <w:right w:val="single" w:color="000000" w:sz="4" w:space="0"/>
            </w:tcBorders>
            <w:vAlign w:val="center"/>
          </w:tcPr>
          <w:p w14:paraId="6DD23F5B">
            <w:pPr>
              <w:jc w:val="left"/>
              <w:rPr>
                <w:rFonts w:hint="eastAsia" w:ascii="仿宋" w:hAnsi="仿宋" w:eastAsia="仿宋" w:cs="仿宋"/>
                <w:color w:val="auto"/>
                <w:szCs w:val="21"/>
                <w:highlight w:val="none"/>
              </w:rPr>
            </w:pPr>
          </w:p>
        </w:tc>
      </w:tr>
      <w:tr w14:paraId="34E797E6">
        <w:tblPrEx>
          <w:tblCellMar>
            <w:top w:w="0" w:type="dxa"/>
            <w:left w:w="108" w:type="dxa"/>
            <w:bottom w:w="0" w:type="dxa"/>
            <w:right w:w="108" w:type="dxa"/>
          </w:tblCellMar>
        </w:tblPrEx>
        <w:trPr>
          <w:trHeight w:val="312" w:hRule="atLeast"/>
          <w:jc w:val="center"/>
        </w:trPr>
        <w:tc>
          <w:tcPr>
            <w:tcW w:w="636" w:type="dxa"/>
            <w:vMerge w:val="restart"/>
            <w:tcBorders>
              <w:top w:val="single" w:color="000000" w:sz="4" w:space="0"/>
              <w:left w:val="single" w:color="000000" w:sz="4" w:space="0"/>
              <w:bottom w:val="single" w:color="000000" w:sz="4" w:space="0"/>
              <w:right w:val="single" w:color="000000" w:sz="4" w:space="0"/>
            </w:tcBorders>
            <w:vAlign w:val="center"/>
          </w:tcPr>
          <w:p w14:paraId="3F7D6EF1">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10</w:t>
            </w:r>
          </w:p>
        </w:tc>
        <w:tc>
          <w:tcPr>
            <w:tcW w:w="1140" w:type="dxa"/>
            <w:vMerge w:val="restart"/>
            <w:tcBorders>
              <w:top w:val="single" w:color="000000" w:sz="4" w:space="0"/>
              <w:left w:val="single" w:color="000000" w:sz="4" w:space="0"/>
              <w:bottom w:val="single" w:color="000000" w:sz="4" w:space="0"/>
              <w:right w:val="single" w:color="000000" w:sz="4" w:space="0"/>
            </w:tcBorders>
            <w:vAlign w:val="center"/>
          </w:tcPr>
          <w:p w14:paraId="12B28A6E">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服务改进措施</w:t>
            </w:r>
          </w:p>
        </w:tc>
        <w:tc>
          <w:tcPr>
            <w:tcW w:w="2648"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33EACB7">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lang w:eastAsia="zh-CN"/>
              </w:rPr>
              <w:t>服务商</w:t>
            </w:r>
            <w:r>
              <w:rPr>
                <w:rFonts w:hint="eastAsia" w:ascii="仿宋" w:hAnsi="仿宋" w:eastAsia="仿宋" w:cs="仿宋"/>
                <w:color w:val="auto"/>
                <w:kern w:val="0"/>
                <w:szCs w:val="21"/>
                <w:highlight w:val="none"/>
              </w:rPr>
              <w:t>需每季度对采购人HIS系统进行更新、改进服务总结，形成服务改进报告。报告内容需包括但不限于：优化内容，优化前、优化后效果。</w:t>
            </w:r>
          </w:p>
        </w:tc>
        <w:tc>
          <w:tcPr>
            <w:tcW w:w="2809" w:type="dxa"/>
            <w:vMerge w:val="restart"/>
            <w:tcBorders>
              <w:top w:val="single" w:color="000000" w:sz="4" w:space="0"/>
              <w:left w:val="single" w:color="000000" w:sz="4" w:space="0"/>
              <w:bottom w:val="single" w:color="000000" w:sz="4" w:space="0"/>
              <w:right w:val="single" w:color="000000" w:sz="4" w:space="0"/>
            </w:tcBorders>
            <w:vAlign w:val="center"/>
          </w:tcPr>
          <w:p w14:paraId="7411C4EC">
            <w:pPr>
              <w:widowControl/>
              <w:jc w:val="left"/>
              <w:textAlignment w:val="center"/>
              <w:rPr>
                <w:rFonts w:hint="eastAsia" w:ascii="仿宋" w:hAnsi="仿宋" w:eastAsia="仿宋" w:cs="仿宋"/>
                <w:color w:val="auto"/>
                <w:szCs w:val="21"/>
                <w:highlight w:val="none"/>
              </w:rPr>
            </w:pPr>
            <w:r>
              <w:rPr>
                <w:rFonts w:hint="eastAsia" w:ascii="仿宋" w:hAnsi="仿宋" w:eastAsia="仿宋" w:cs="仿宋"/>
                <w:color w:val="auto"/>
                <w:kern w:val="0"/>
                <w:szCs w:val="21"/>
                <w:highlight w:val="none"/>
              </w:rPr>
              <w:t>每缺少一项内容，扣5分</w:t>
            </w:r>
          </w:p>
        </w:tc>
        <w:tc>
          <w:tcPr>
            <w:tcW w:w="722" w:type="dxa"/>
            <w:vMerge w:val="restart"/>
            <w:tcBorders>
              <w:top w:val="single" w:color="000000" w:sz="4" w:space="0"/>
              <w:left w:val="single" w:color="000000" w:sz="4" w:space="0"/>
              <w:bottom w:val="single" w:color="000000" w:sz="4" w:space="0"/>
              <w:right w:val="single" w:color="000000" w:sz="4" w:space="0"/>
            </w:tcBorders>
            <w:vAlign w:val="center"/>
          </w:tcPr>
          <w:p w14:paraId="542D866E">
            <w:pPr>
              <w:jc w:val="left"/>
              <w:rPr>
                <w:rFonts w:hint="eastAsia" w:ascii="仿宋" w:hAnsi="仿宋" w:eastAsia="仿宋" w:cs="仿宋"/>
                <w:color w:val="auto"/>
                <w:szCs w:val="21"/>
                <w:highlight w:val="none"/>
              </w:rPr>
            </w:pPr>
          </w:p>
        </w:tc>
        <w:tc>
          <w:tcPr>
            <w:tcW w:w="791" w:type="dxa"/>
            <w:vMerge w:val="restart"/>
            <w:tcBorders>
              <w:top w:val="single" w:color="000000" w:sz="4" w:space="0"/>
              <w:left w:val="single" w:color="000000" w:sz="4" w:space="0"/>
              <w:bottom w:val="single" w:color="000000" w:sz="4" w:space="0"/>
              <w:right w:val="single" w:color="000000" w:sz="4" w:space="0"/>
            </w:tcBorders>
            <w:vAlign w:val="center"/>
          </w:tcPr>
          <w:p w14:paraId="262B06B8">
            <w:pPr>
              <w:jc w:val="left"/>
              <w:rPr>
                <w:rFonts w:hint="eastAsia" w:ascii="仿宋" w:hAnsi="仿宋" w:eastAsia="仿宋" w:cs="仿宋"/>
                <w:color w:val="auto"/>
                <w:szCs w:val="21"/>
                <w:highlight w:val="none"/>
              </w:rPr>
            </w:pPr>
          </w:p>
        </w:tc>
        <w:tc>
          <w:tcPr>
            <w:tcW w:w="777" w:type="dxa"/>
            <w:vMerge w:val="restart"/>
            <w:tcBorders>
              <w:top w:val="single" w:color="000000" w:sz="4" w:space="0"/>
              <w:left w:val="single" w:color="000000" w:sz="4" w:space="0"/>
              <w:bottom w:val="single" w:color="000000" w:sz="4" w:space="0"/>
              <w:right w:val="single" w:color="000000" w:sz="4" w:space="0"/>
            </w:tcBorders>
            <w:vAlign w:val="center"/>
          </w:tcPr>
          <w:p w14:paraId="6D223C67">
            <w:pPr>
              <w:jc w:val="left"/>
              <w:rPr>
                <w:rFonts w:hint="eastAsia" w:ascii="仿宋" w:hAnsi="仿宋" w:eastAsia="仿宋" w:cs="仿宋"/>
                <w:color w:val="auto"/>
                <w:szCs w:val="21"/>
                <w:highlight w:val="none"/>
              </w:rPr>
            </w:pPr>
          </w:p>
        </w:tc>
      </w:tr>
      <w:tr w14:paraId="521CDF71">
        <w:trPr>
          <w:trHeight w:val="312" w:hRule="atLeast"/>
          <w:jc w:val="center"/>
        </w:trPr>
        <w:tc>
          <w:tcPr>
            <w:tcW w:w="636" w:type="dxa"/>
            <w:vMerge w:val="continue"/>
            <w:tcBorders>
              <w:top w:val="single" w:color="000000" w:sz="4" w:space="0"/>
              <w:left w:val="single" w:color="000000" w:sz="4" w:space="0"/>
              <w:bottom w:val="single" w:color="000000" w:sz="4" w:space="0"/>
              <w:right w:val="single" w:color="000000" w:sz="4" w:space="0"/>
            </w:tcBorders>
            <w:vAlign w:val="center"/>
          </w:tcPr>
          <w:p w14:paraId="0C6374C7">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000000" w:sz="4" w:space="0"/>
              <w:right w:val="single" w:color="000000" w:sz="4" w:space="0"/>
            </w:tcBorders>
            <w:vAlign w:val="center"/>
          </w:tcPr>
          <w:p w14:paraId="3A2D95F6">
            <w:pPr>
              <w:jc w:val="left"/>
              <w:rPr>
                <w:rFonts w:hint="eastAsia" w:ascii="仿宋" w:hAnsi="仿宋" w:eastAsia="仿宋" w:cs="仿宋"/>
                <w:color w:val="auto"/>
                <w:szCs w:val="21"/>
                <w:highlight w:val="none"/>
              </w:rPr>
            </w:pPr>
          </w:p>
        </w:tc>
        <w:tc>
          <w:tcPr>
            <w:tcW w:w="2648"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863AED3">
            <w:pPr>
              <w:jc w:val="left"/>
              <w:rPr>
                <w:rFonts w:hint="eastAsia" w:ascii="仿宋" w:hAnsi="仿宋" w:eastAsia="仿宋" w:cs="仿宋"/>
                <w:color w:val="auto"/>
                <w:szCs w:val="21"/>
                <w:highlight w:val="none"/>
              </w:rPr>
            </w:pPr>
          </w:p>
        </w:tc>
        <w:tc>
          <w:tcPr>
            <w:tcW w:w="2809" w:type="dxa"/>
            <w:vMerge w:val="continue"/>
            <w:tcBorders>
              <w:top w:val="single" w:color="000000" w:sz="4" w:space="0"/>
              <w:left w:val="single" w:color="000000" w:sz="4" w:space="0"/>
              <w:bottom w:val="single" w:color="000000" w:sz="4" w:space="0"/>
              <w:right w:val="single" w:color="000000" w:sz="4" w:space="0"/>
            </w:tcBorders>
            <w:vAlign w:val="center"/>
          </w:tcPr>
          <w:p w14:paraId="2084ECE5">
            <w:pPr>
              <w:jc w:val="left"/>
              <w:rPr>
                <w:rFonts w:hint="eastAsia" w:ascii="仿宋" w:hAnsi="仿宋" w:eastAsia="仿宋" w:cs="仿宋"/>
                <w:color w:val="auto"/>
                <w:szCs w:val="21"/>
                <w:highlight w:val="none"/>
              </w:rPr>
            </w:pPr>
          </w:p>
        </w:tc>
        <w:tc>
          <w:tcPr>
            <w:tcW w:w="722" w:type="dxa"/>
            <w:vMerge w:val="continue"/>
            <w:tcBorders>
              <w:top w:val="single" w:color="000000" w:sz="4" w:space="0"/>
              <w:left w:val="single" w:color="000000" w:sz="4" w:space="0"/>
              <w:bottom w:val="single" w:color="000000" w:sz="4" w:space="0"/>
              <w:right w:val="single" w:color="000000" w:sz="4" w:space="0"/>
            </w:tcBorders>
            <w:vAlign w:val="center"/>
          </w:tcPr>
          <w:p w14:paraId="49AD0724">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000000" w:sz="4" w:space="0"/>
              <w:right w:val="single" w:color="000000" w:sz="4" w:space="0"/>
            </w:tcBorders>
            <w:vAlign w:val="center"/>
          </w:tcPr>
          <w:p w14:paraId="25A52BE7">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000000" w:sz="4" w:space="0"/>
              <w:right w:val="single" w:color="000000" w:sz="4" w:space="0"/>
            </w:tcBorders>
            <w:vAlign w:val="center"/>
          </w:tcPr>
          <w:p w14:paraId="07E33A3D">
            <w:pPr>
              <w:jc w:val="left"/>
              <w:rPr>
                <w:rFonts w:hint="eastAsia" w:ascii="仿宋" w:hAnsi="仿宋" w:eastAsia="仿宋" w:cs="仿宋"/>
                <w:color w:val="auto"/>
                <w:szCs w:val="21"/>
                <w:highlight w:val="none"/>
              </w:rPr>
            </w:pPr>
          </w:p>
        </w:tc>
      </w:tr>
      <w:tr w14:paraId="51775488">
        <w:trPr>
          <w:trHeight w:val="500" w:hRule="atLeast"/>
          <w:jc w:val="center"/>
        </w:trPr>
        <w:tc>
          <w:tcPr>
            <w:tcW w:w="636" w:type="dxa"/>
            <w:vMerge w:val="continue"/>
            <w:tcBorders>
              <w:top w:val="single" w:color="000000" w:sz="4" w:space="0"/>
              <w:left w:val="single" w:color="000000" w:sz="4" w:space="0"/>
              <w:bottom w:val="single" w:color="auto" w:sz="4" w:space="0"/>
              <w:right w:val="single" w:color="000000" w:sz="4" w:space="0"/>
            </w:tcBorders>
            <w:vAlign w:val="center"/>
          </w:tcPr>
          <w:p w14:paraId="161ECB2B">
            <w:pPr>
              <w:jc w:val="left"/>
              <w:rPr>
                <w:rFonts w:hint="eastAsia" w:ascii="仿宋" w:hAnsi="仿宋" w:eastAsia="仿宋" w:cs="仿宋"/>
                <w:color w:val="auto"/>
                <w:szCs w:val="21"/>
                <w:highlight w:val="none"/>
              </w:rPr>
            </w:pPr>
          </w:p>
        </w:tc>
        <w:tc>
          <w:tcPr>
            <w:tcW w:w="1140" w:type="dxa"/>
            <w:vMerge w:val="continue"/>
            <w:tcBorders>
              <w:top w:val="single" w:color="000000" w:sz="4" w:space="0"/>
              <w:left w:val="single" w:color="000000" w:sz="4" w:space="0"/>
              <w:bottom w:val="single" w:color="auto" w:sz="4" w:space="0"/>
              <w:right w:val="single" w:color="000000" w:sz="4" w:space="0"/>
            </w:tcBorders>
            <w:vAlign w:val="center"/>
          </w:tcPr>
          <w:p w14:paraId="0E83D87B">
            <w:pPr>
              <w:jc w:val="left"/>
              <w:rPr>
                <w:rFonts w:hint="eastAsia" w:ascii="仿宋" w:hAnsi="仿宋" w:eastAsia="仿宋" w:cs="仿宋"/>
                <w:color w:val="auto"/>
                <w:szCs w:val="21"/>
                <w:highlight w:val="none"/>
              </w:rPr>
            </w:pPr>
          </w:p>
        </w:tc>
        <w:tc>
          <w:tcPr>
            <w:tcW w:w="2648" w:type="dxa"/>
            <w:gridSpan w:val="2"/>
            <w:vMerge w:val="continue"/>
            <w:tcBorders>
              <w:top w:val="single" w:color="000000" w:sz="4" w:space="0"/>
              <w:left w:val="single" w:color="000000" w:sz="4" w:space="0"/>
              <w:bottom w:val="single" w:color="auto" w:sz="4" w:space="0"/>
              <w:right w:val="single" w:color="000000" w:sz="4" w:space="0"/>
            </w:tcBorders>
            <w:vAlign w:val="center"/>
          </w:tcPr>
          <w:p w14:paraId="27896020">
            <w:pPr>
              <w:jc w:val="left"/>
              <w:rPr>
                <w:rFonts w:hint="eastAsia" w:ascii="仿宋" w:hAnsi="仿宋" w:eastAsia="仿宋" w:cs="仿宋"/>
                <w:color w:val="auto"/>
                <w:szCs w:val="21"/>
                <w:highlight w:val="none"/>
              </w:rPr>
            </w:pPr>
          </w:p>
        </w:tc>
        <w:tc>
          <w:tcPr>
            <w:tcW w:w="2809" w:type="dxa"/>
            <w:vMerge w:val="continue"/>
            <w:tcBorders>
              <w:top w:val="single" w:color="000000" w:sz="4" w:space="0"/>
              <w:left w:val="single" w:color="000000" w:sz="4" w:space="0"/>
              <w:bottom w:val="single" w:color="auto" w:sz="4" w:space="0"/>
              <w:right w:val="single" w:color="000000" w:sz="4" w:space="0"/>
            </w:tcBorders>
            <w:vAlign w:val="center"/>
          </w:tcPr>
          <w:p w14:paraId="51586F1E">
            <w:pPr>
              <w:jc w:val="left"/>
              <w:rPr>
                <w:rFonts w:hint="eastAsia" w:ascii="仿宋" w:hAnsi="仿宋" w:eastAsia="仿宋" w:cs="仿宋"/>
                <w:color w:val="auto"/>
                <w:szCs w:val="21"/>
                <w:highlight w:val="none"/>
              </w:rPr>
            </w:pPr>
          </w:p>
        </w:tc>
        <w:tc>
          <w:tcPr>
            <w:tcW w:w="722" w:type="dxa"/>
            <w:vMerge w:val="continue"/>
            <w:tcBorders>
              <w:top w:val="single" w:color="000000" w:sz="4" w:space="0"/>
              <w:left w:val="single" w:color="000000" w:sz="4" w:space="0"/>
              <w:bottom w:val="single" w:color="auto" w:sz="4" w:space="0"/>
              <w:right w:val="single" w:color="000000" w:sz="4" w:space="0"/>
            </w:tcBorders>
            <w:vAlign w:val="center"/>
          </w:tcPr>
          <w:p w14:paraId="11D1107E">
            <w:pPr>
              <w:jc w:val="left"/>
              <w:rPr>
                <w:rFonts w:hint="eastAsia" w:ascii="仿宋" w:hAnsi="仿宋" w:eastAsia="仿宋" w:cs="仿宋"/>
                <w:color w:val="auto"/>
                <w:szCs w:val="21"/>
                <w:highlight w:val="none"/>
              </w:rPr>
            </w:pPr>
          </w:p>
        </w:tc>
        <w:tc>
          <w:tcPr>
            <w:tcW w:w="791" w:type="dxa"/>
            <w:vMerge w:val="continue"/>
            <w:tcBorders>
              <w:top w:val="single" w:color="000000" w:sz="4" w:space="0"/>
              <w:left w:val="single" w:color="000000" w:sz="4" w:space="0"/>
              <w:bottom w:val="single" w:color="auto" w:sz="4" w:space="0"/>
              <w:right w:val="single" w:color="000000" w:sz="4" w:space="0"/>
            </w:tcBorders>
            <w:vAlign w:val="center"/>
          </w:tcPr>
          <w:p w14:paraId="237A9A5F">
            <w:pPr>
              <w:jc w:val="left"/>
              <w:rPr>
                <w:rFonts w:hint="eastAsia" w:ascii="仿宋" w:hAnsi="仿宋" w:eastAsia="仿宋" w:cs="仿宋"/>
                <w:color w:val="auto"/>
                <w:szCs w:val="21"/>
                <w:highlight w:val="none"/>
              </w:rPr>
            </w:pPr>
          </w:p>
        </w:tc>
        <w:tc>
          <w:tcPr>
            <w:tcW w:w="777" w:type="dxa"/>
            <w:vMerge w:val="continue"/>
            <w:tcBorders>
              <w:top w:val="single" w:color="000000" w:sz="4" w:space="0"/>
              <w:left w:val="single" w:color="000000" w:sz="4" w:space="0"/>
              <w:bottom w:val="single" w:color="auto" w:sz="4" w:space="0"/>
              <w:right w:val="single" w:color="000000" w:sz="4" w:space="0"/>
            </w:tcBorders>
            <w:vAlign w:val="center"/>
          </w:tcPr>
          <w:p w14:paraId="75E6AEC9">
            <w:pPr>
              <w:jc w:val="left"/>
              <w:rPr>
                <w:rFonts w:hint="eastAsia" w:ascii="仿宋" w:hAnsi="仿宋" w:eastAsia="仿宋" w:cs="仿宋"/>
                <w:color w:val="auto"/>
                <w:szCs w:val="21"/>
                <w:highlight w:val="none"/>
              </w:rPr>
            </w:pPr>
          </w:p>
        </w:tc>
      </w:tr>
      <w:tr w14:paraId="6B9BC563">
        <w:trPr>
          <w:trHeight w:val="500" w:hRule="atLeast"/>
          <w:jc w:val="center"/>
        </w:trPr>
        <w:tc>
          <w:tcPr>
            <w:tcW w:w="636" w:type="dxa"/>
            <w:tcBorders>
              <w:top w:val="single" w:color="000000" w:sz="4" w:space="0"/>
              <w:left w:val="single" w:color="000000" w:sz="4" w:space="0"/>
              <w:bottom w:val="single" w:color="auto" w:sz="4" w:space="0"/>
              <w:right w:val="single" w:color="000000" w:sz="4" w:space="0"/>
            </w:tcBorders>
            <w:vAlign w:val="center"/>
          </w:tcPr>
          <w:p w14:paraId="5CB783C7">
            <w:pPr>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11</w:t>
            </w:r>
          </w:p>
        </w:tc>
        <w:tc>
          <w:tcPr>
            <w:tcW w:w="3788" w:type="dxa"/>
            <w:gridSpan w:val="3"/>
            <w:tcBorders>
              <w:top w:val="single" w:color="000000" w:sz="4" w:space="0"/>
              <w:left w:val="single" w:color="000000" w:sz="4" w:space="0"/>
              <w:bottom w:val="single" w:color="auto" w:sz="4" w:space="0"/>
              <w:right w:val="single" w:color="000000" w:sz="4" w:space="0"/>
            </w:tcBorders>
            <w:vAlign w:val="center"/>
          </w:tcPr>
          <w:p w14:paraId="69403BD8">
            <w:pPr>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数据质量情况（此项目有数据质量评价小组勾选评价）</w:t>
            </w:r>
          </w:p>
        </w:tc>
        <w:tc>
          <w:tcPr>
            <w:tcW w:w="5099" w:type="dxa"/>
            <w:gridSpan w:val="4"/>
            <w:tcBorders>
              <w:top w:val="single" w:color="000000" w:sz="4" w:space="0"/>
              <w:left w:val="single" w:color="000000" w:sz="4" w:space="0"/>
              <w:bottom w:val="single" w:color="auto" w:sz="4" w:space="0"/>
              <w:right w:val="single" w:color="000000" w:sz="4" w:space="0"/>
            </w:tcBorders>
            <w:vAlign w:val="center"/>
          </w:tcPr>
          <w:p w14:paraId="26325DDF">
            <w:pPr>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此项目是否涉及数据质量管理：</w:t>
            </w:r>
          </w:p>
          <w:p w14:paraId="70DE3CDF">
            <w:pPr>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【】是；    【    】否。</w:t>
            </w:r>
          </w:p>
          <w:p w14:paraId="08A10691">
            <w:pPr>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此项目数据质量情况：</w:t>
            </w:r>
          </w:p>
          <w:p w14:paraId="751CEABD">
            <w:pPr>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【】合格；    【    】不合格。</w:t>
            </w:r>
          </w:p>
        </w:tc>
      </w:tr>
      <w:tr w14:paraId="6EF47AD5">
        <w:trPr>
          <w:trHeight w:val="500" w:hRule="atLeast"/>
          <w:jc w:val="center"/>
        </w:trPr>
        <w:tc>
          <w:tcPr>
            <w:tcW w:w="9523" w:type="dxa"/>
            <w:gridSpan w:val="8"/>
            <w:tcBorders>
              <w:top w:val="single" w:color="000000" w:sz="4" w:space="0"/>
              <w:left w:val="single" w:color="000000" w:sz="4" w:space="0"/>
              <w:bottom w:val="single" w:color="auto" w:sz="4" w:space="0"/>
              <w:right w:val="single" w:color="000000" w:sz="4" w:space="0"/>
            </w:tcBorders>
            <w:vAlign w:val="center"/>
          </w:tcPr>
          <w:p w14:paraId="270F5139">
            <w:pPr>
              <w:jc w:val="left"/>
              <w:rPr>
                <w:rFonts w:hint="eastAsia" w:ascii="仿宋" w:hAnsi="仿宋" w:eastAsia="仿宋" w:cs="仿宋"/>
                <w:b/>
                <w:bCs/>
                <w:color w:val="auto"/>
                <w:szCs w:val="21"/>
                <w:highlight w:val="none"/>
              </w:rPr>
            </w:pPr>
            <w:r>
              <w:rPr>
                <w:rFonts w:hint="eastAsia" w:ascii="仿宋" w:hAnsi="仿宋" w:eastAsia="仿宋" w:cs="仿宋"/>
                <w:b/>
                <w:bCs/>
                <w:color w:val="auto"/>
                <w:szCs w:val="21"/>
                <w:highlight w:val="none"/>
              </w:rPr>
              <w:t>数据质量小组评价意见：</w:t>
            </w:r>
          </w:p>
          <w:p w14:paraId="172132DF">
            <w:pPr>
              <w:jc w:val="left"/>
              <w:rPr>
                <w:rFonts w:hint="eastAsia" w:ascii="仿宋" w:hAnsi="仿宋" w:eastAsia="仿宋" w:cs="仿宋"/>
                <w:b/>
                <w:bCs/>
                <w:color w:val="auto"/>
                <w:szCs w:val="21"/>
                <w:highlight w:val="none"/>
              </w:rPr>
            </w:pPr>
          </w:p>
          <w:p w14:paraId="7704A449">
            <w:pPr>
              <w:jc w:val="left"/>
              <w:rPr>
                <w:rFonts w:hint="eastAsia" w:ascii="仿宋" w:hAnsi="仿宋" w:eastAsia="仿宋" w:cs="仿宋"/>
                <w:b/>
                <w:bCs/>
                <w:color w:val="auto"/>
                <w:szCs w:val="21"/>
                <w:highlight w:val="none"/>
              </w:rPr>
            </w:pPr>
          </w:p>
          <w:p w14:paraId="4C2DB6F5">
            <w:pPr>
              <w:jc w:val="left"/>
              <w:rPr>
                <w:rFonts w:hint="eastAsia" w:ascii="仿宋" w:hAnsi="仿宋" w:eastAsia="仿宋" w:cs="仿宋"/>
                <w:b/>
                <w:bCs/>
                <w:color w:val="auto"/>
                <w:szCs w:val="21"/>
                <w:highlight w:val="none"/>
              </w:rPr>
            </w:pPr>
            <w:r>
              <w:rPr>
                <w:rFonts w:hint="eastAsia" w:ascii="仿宋" w:hAnsi="仿宋" w:eastAsia="仿宋" w:cs="仿宋"/>
                <w:b/>
                <w:bCs/>
                <w:color w:val="auto"/>
                <w:szCs w:val="21"/>
                <w:highlight w:val="none"/>
              </w:rPr>
              <w:t>数据质量评价小组：                                   日期：</w:t>
            </w:r>
          </w:p>
        </w:tc>
      </w:tr>
      <w:tr w14:paraId="39CA9440">
        <w:tblPrEx>
          <w:tblCellMar>
            <w:top w:w="0" w:type="dxa"/>
            <w:left w:w="108" w:type="dxa"/>
            <w:bottom w:w="0" w:type="dxa"/>
            <w:right w:w="108" w:type="dxa"/>
          </w:tblCellMar>
        </w:tblPrEx>
        <w:trPr>
          <w:trHeight w:val="345" w:hRule="atLeast"/>
          <w:jc w:val="center"/>
        </w:trPr>
        <w:tc>
          <w:tcPr>
            <w:tcW w:w="3045" w:type="dxa"/>
            <w:gridSpan w:val="3"/>
            <w:tcBorders>
              <w:top w:val="single" w:color="auto" w:sz="4" w:space="0"/>
              <w:left w:val="single" w:color="auto" w:sz="4" w:space="0"/>
              <w:bottom w:val="single" w:color="000000" w:sz="4" w:space="0"/>
              <w:right w:val="single" w:color="auto" w:sz="4" w:space="0"/>
            </w:tcBorders>
            <w:vAlign w:val="center"/>
          </w:tcPr>
          <w:p w14:paraId="62CC883F">
            <w:pPr>
              <w:jc w:val="left"/>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项目组评分（平均分）</w:t>
            </w:r>
          </w:p>
        </w:tc>
        <w:tc>
          <w:tcPr>
            <w:tcW w:w="6478" w:type="dxa"/>
            <w:gridSpan w:val="5"/>
            <w:tcBorders>
              <w:top w:val="single" w:color="auto" w:sz="4" w:space="0"/>
              <w:left w:val="single" w:color="000000" w:sz="4" w:space="0"/>
              <w:bottom w:val="single" w:color="000000" w:sz="4" w:space="0"/>
              <w:right w:val="single" w:color="auto" w:sz="4" w:space="0"/>
            </w:tcBorders>
            <w:vAlign w:val="center"/>
          </w:tcPr>
          <w:p w14:paraId="2CC0FB1E">
            <w:pPr>
              <w:jc w:val="left"/>
              <w:rPr>
                <w:rFonts w:hint="eastAsia" w:ascii="仿宋" w:hAnsi="仿宋" w:eastAsia="仿宋" w:cs="仿宋"/>
                <w:b/>
                <w:bCs/>
                <w:color w:val="auto"/>
                <w:szCs w:val="21"/>
                <w:highlight w:val="none"/>
              </w:rPr>
            </w:pPr>
          </w:p>
        </w:tc>
      </w:tr>
      <w:tr w14:paraId="3D544765">
        <w:tblPrEx>
          <w:tblCellMar>
            <w:top w:w="0" w:type="dxa"/>
            <w:left w:w="108" w:type="dxa"/>
            <w:bottom w:w="0" w:type="dxa"/>
            <w:right w:w="108" w:type="dxa"/>
          </w:tblCellMar>
        </w:tblPrEx>
        <w:trPr>
          <w:trHeight w:val="2204" w:hRule="atLeast"/>
          <w:jc w:val="center"/>
        </w:trPr>
        <w:tc>
          <w:tcPr>
            <w:tcW w:w="9523" w:type="dxa"/>
            <w:gridSpan w:val="8"/>
            <w:tcBorders>
              <w:top w:val="single" w:color="000000" w:sz="4" w:space="0"/>
              <w:left w:val="single" w:color="auto" w:sz="4" w:space="0"/>
              <w:bottom w:val="single" w:color="auto" w:sz="4" w:space="0"/>
              <w:right w:val="single" w:color="auto" w:sz="4" w:space="0"/>
            </w:tcBorders>
            <w:vAlign w:val="center"/>
          </w:tcPr>
          <w:p w14:paraId="30E524FB">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项目组评价意见：</w:t>
            </w:r>
          </w:p>
          <w:p w14:paraId="2904900D">
            <w:pPr>
              <w:jc w:val="left"/>
              <w:rPr>
                <w:rFonts w:hint="eastAsia" w:ascii="仿宋" w:hAnsi="仿宋" w:eastAsia="仿宋" w:cs="仿宋"/>
                <w:b/>
                <w:bCs/>
                <w:color w:val="auto"/>
                <w:szCs w:val="21"/>
                <w:highlight w:val="none"/>
              </w:rPr>
            </w:pPr>
          </w:p>
          <w:p w14:paraId="4D40A40D">
            <w:pPr>
              <w:jc w:val="left"/>
              <w:rPr>
                <w:rFonts w:hint="eastAsia" w:ascii="仿宋" w:hAnsi="仿宋" w:eastAsia="仿宋" w:cs="仿宋"/>
                <w:b/>
                <w:bCs/>
                <w:color w:val="auto"/>
                <w:szCs w:val="21"/>
                <w:highlight w:val="none"/>
              </w:rPr>
            </w:pPr>
          </w:p>
          <w:p w14:paraId="3DD2B020">
            <w:pPr>
              <w:jc w:val="left"/>
              <w:rPr>
                <w:rFonts w:hint="eastAsia" w:ascii="仿宋" w:hAnsi="仿宋" w:eastAsia="仿宋" w:cs="仿宋"/>
                <w:b/>
                <w:bCs/>
                <w:color w:val="auto"/>
                <w:szCs w:val="21"/>
                <w:highlight w:val="none"/>
              </w:rPr>
            </w:pPr>
          </w:p>
          <w:p w14:paraId="04EADBB7">
            <w:pPr>
              <w:widowControl/>
              <w:jc w:val="left"/>
              <w:textAlignment w:val="center"/>
              <w:rPr>
                <w:rFonts w:hint="eastAsia" w:ascii="仿宋" w:hAnsi="仿宋" w:eastAsia="仿宋" w:cs="仿宋"/>
                <w:b/>
                <w:bCs/>
                <w:color w:val="auto"/>
                <w:szCs w:val="21"/>
                <w:highlight w:val="none"/>
              </w:rPr>
            </w:pPr>
            <w:r>
              <w:rPr>
                <w:rFonts w:hint="eastAsia" w:ascii="仿宋" w:hAnsi="仿宋" w:eastAsia="仿宋" w:cs="仿宋"/>
                <w:b/>
                <w:bCs/>
                <w:color w:val="auto"/>
                <w:kern w:val="0"/>
                <w:szCs w:val="21"/>
                <w:highlight w:val="none"/>
              </w:rPr>
              <w:t>项目主管:               日期：              项目监管：                   日期：</w:t>
            </w:r>
          </w:p>
        </w:tc>
      </w:tr>
    </w:tbl>
    <w:p w14:paraId="455141CD">
      <w:pPr>
        <w:spacing w:line="360" w:lineRule="auto"/>
        <w:rPr>
          <w:rFonts w:hint="eastAsia" w:ascii="宋体" w:hAnsi="宋体" w:cs="宋体"/>
          <w:b/>
          <w:color w:val="auto"/>
          <w:szCs w:val="21"/>
          <w:highlight w:val="none"/>
        </w:rPr>
      </w:pPr>
      <w:r>
        <w:rPr>
          <w:rFonts w:hint="eastAsia" w:ascii="宋体" w:hAnsi="宋体" w:cs="宋体"/>
          <w:b/>
          <w:color w:val="auto"/>
          <w:szCs w:val="21"/>
          <w:highlight w:val="none"/>
        </w:rPr>
        <w:t>填报指引：</w:t>
      </w:r>
    </w:p>
    <w:p w14:paraId="050ADAF4">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重大故障：是指影响医院正常业务一小时（含）以上的故障，例如挂号、急诊、门诊缴费、门诊接诊、用血、各类检查检验等。</w:t>
      </w:r>
    </w:p>
    <w:p w14:paraId="09BBC0D8">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如评价季度需求版本发布导致重大故障，则需求版本质量该季度考核为不满意档次。</w:t>
      </w:r>
    </w:p>
    <w:p w14:paraId="590AE4B4">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如重大故障考核期间大于1次\月，则重大故障出现次数考核为不满意档次。</w:t>
      </w:r>
    </w:p>
    <w:p w14:paraId="37F49188">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如重大故障未在1小时内处理完成恢复，则重大故障处理情况考核为不满意档次。如重大故障无总结报告或者报告无实质性原因分析、详细处理步骤、后续规避方案，惩罚措施等，则重大故障处理情况考核为不满意档次。</w:t>
      </w:r>
    </w:p>
    <w:p w14:paraId="78141F0B">
      <w:pPr>
        <w:numPr>
          <w:ilvl w:val="0"/>
          <w:numId w:val="22"/>
        </w:numPr>
        <w:spacing w:line="360" w:lineRule="auto"/>
        <w:ind w:firstLine="420" w:firstLineChars="200"/>
        <w:rPr>
          <w:rFonts w:hint="eastAsia" w:ascii="宋体" w:hAnsi="宋体" w:cs="宋体"/>
          <w:color w:val="auto"/>
          <w:szCs w:val="21"/>
          <w:highlight w:val="none"/>
        </w:rPr>
      </w:pPr>
      <w:bookmarkStart w:id="4" w:name="OLE_LINK8"/>
      <w:r>
        <w:rPr>
          <w:rFonts w:hint="eastAsia" w:ascii="宋体" w:hAnsi="宋体" w:cs="宋体"/>
          <w:color w:val="auto"/>
          <w:szCs w:val="21"/>
          <w:highlight w:val="none"/>
        </w:rPr>
        <w:t>如实施运维人员专业技能受到业务科室、信息处质疑，供应商无法提供证据证明其维护人员专业技能且未有更换时，维护人员专业技能考核为不满意。</w:t>
      </w:r>
    </w:p>
    <w:p w14:paraId="513CFF4E">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如维护人员未按规定，私自更改生产环境引起任何故障，则维护人员操作规范考核为不满意档次。</w:t>
      </w:r>
    </w:p>
    <w:p w14:paraId="6FE41204">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如同一故障在考核期间大于1次\月，则故障反复出现次数考核为不满意。</w:t>
      </w:r>
    </w:p>
    <w:bookmarkEnd w:id="4"/>
    <w:p w14:paraId="150FAF6C">
      <w:pPr>
        <w:numPr>
          <w:ilvl w:val="0"/>
          <w:numId w:val="22"/>
        </w:num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填写不满意档次评分，由项目组提供佐证材料作为说明。</w:t>
      </w:r>
    </w:p>
    <w:p w14:paraId="3C42E9E2">
      <w:pPr>
        <w:rPr>
          <w:color w:val="auto"/>
          <w:highlight w:val="none"/>
        </w:rPr>
      </w:pPr>
      <w:r>
        <w:rPr>
          <w:color w:val="auto"/>
          <w:highlight w:val="none"/>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819FB">
    <w:pPr>
      <w:pStyle w:val="3"/>
      <w:jc w:val="center"/>
    </w:pPr>
    <w:r>
      <w:rPr>
        <w:bCs/>
        <w:sz w:val="24"/>
      </w:rPr>
      <w:fldChar w:fldCharType="begin"/>
    </w:r>
    <w:r>
      <w:rPr>
        <w:bCs/>
        <w:sz w:val="24"/>
      </w:rPr>
      <w:instrText xml:space="preserve">PAGE</w:instrText>
    </w:r>
    <w:r>
      <w:rPr>
        <w:bCs/>
        <w:sz w:val="24"/>
      </w:rPr>
      <w:fldChar w:fldCharType="separate"/>
    </w:r>
    <w:r>
      <w:rPr>
        <w:bCs/>
        <w:sz w:val="24"/>
      </w:rPr>
      <w:t>18</w:t>
    </w:r>
    <w:r>
      <w:rPr>
        <w:bCs/>
        <w:sz w:val="24"/>
      </w:rPr>
      <w:fldChar w:fldCharType="end"/>
    </w:r>
    <w:r>
      <w:rPr>
        <w:sz w:val="24"/>
        <w:lang w:val="zh-CN"/>
      </w:rPr>
      <w:t xml:space="preserve"> / </w:t>
    </w:r>
    <w:r>
      <w:rPr>
        <w:bCs/>
        <w:sz w:val="24"/>
      </w:rPr>
      <w:fldChar w:fldCharType="begin"/>
    </w:r>
    <w:r>
      <w:rPr>
        <w:bCs/>
        <w:sz w:val="24"/>
      </w:rPr>
      <w:instrText xml:space="preserve">NUMPAGES</w:instrText>
    </w:r>
    <w:r>
      <w:rPr>
        <w:bCs/>
        <w:sz w:val="24"/>
      </w:rPr>
      <w:fldChar w:fldCharType="separate"/>
    </w:r>
    <w:r>
      <w:rPr>
        <w:bCs/>
        <w:sz w:val="24"/>
      </w:rPr>
      <w:t>92</w:t>
    </w:r>
    <w:r>
      <w:rPr>
        <w:bCs/>
        <w:sz w:val="24"/>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97591A"/>
    <w:multiLevelType w:val="multilevel"/>
    <w:tmpl w:val="8397591A"/>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8CFE5FBA"/>
    <w:multiLevelType w:val="multilevel"/>
    <w:tmpl w:val="8CFE5FBA"/>
    <w:lvl w:ilvl="0" w:tentative="0">
      <w:start w:val="1"/>
      <w:numFmt w:val="chineseCountingThousand"/>
      <w:lvlText w:val="%1、"/>
      <w:lvlJc w:val="left"/>
      <w:pPr>
        <w:ind w:left="567" w:hanging="425"/>
      </w:pPr>
      <w:rPr>
        <w:rFonts w:hint="eastAsia"/>
        <w:sz w:val="24"/>
        <w:szCs w:val="24"/>
      </w:rPr>
    </w:lvl>
    <w:lvl w:ilvl="1" w:tentative="0">
      <w:start w:val="1"/>
      <w:numFmt w:val="chineseCountingThousand"/>
      <w:lvlText w:val="（%2）"/>
      <w:lvlJc w:val="left"/>
      <w:pPr>
        <w:ind w:left="709" w:hanging="567"/>
      </w:pPr>
      <w:rPr>
        <w:rFonts w:hint="eastAsia"/>
        <w:sz w:val="24"/>
        <w:szCs w:val="24"/>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9D9CF33B"/>
    <w:multiLevelType w:val="singleLevel"/>
    <w:tmpl w:val="9D9CF33B"/>
    <w:lvl w:ilvl="0" w:tentative="0">
      <w:start w:val="1"/>
      <w:numFmt w:val="decimal"/>
      <w:lvlText w:val="%1."/>
      <w:lvlJc w:val="left"/>
      <w:pPr>
        <w:ind w:left="425" w:hanging="425"/>
      </w:pPr>
      <w:rPr>
        <w:rFonts w:hint="default"/>
      </w:rPr>
    </w:lvl>
  </w:abstractNum>
  <w:abstractNum w:abstractNumId="3">
    <w:nsid w:val="B31BCE4E"/>
    <w:multiLevelType w:val="singleLevel"/>
    <w:tmpl w:val="B31BCE4E"/>
    <w:lvl w:ilvl="0" w:tentative="0">
      <w:start w:val="1"/>
      <w:numFmt w:val="decimal"/>
      <w:lvlText w:val="%1."/>
      <w:lvlJc w:val="left"/>
      <w:pPr>
        <w:ind w:left="425" w:hanging="425"/>
      </w:pPr>
      <w:rPr>
        <w:rFonts w:hint="default"/>
      </w:rPr>
    </w:lvl>
  </w:abstractNum>
  <w:abstractNum w:abstractNumId="4">
    <w:nsid w:val="BB731B62"/>
    <w:multiLevelType w:val="multilevel"/>
    <w:tmpl w:val="BB731B62"/>
    <w:lvl w:ilvl="0" w:tentative="0">
      <w:start w:val="1"/>
      <w:numFmt w:val="chineseCountingThousand"/>
      <w:lvlText w:val="%1、"/>
      <w:lvlJc w:val="left"/>
      <w:pPr>
        <w:ind w:left="567" w:hanging="425"/>
      </w:pPr>
      <w:rPr>
        <w:rFonts w:hint="eastAsia"/>
        <w:sz w:val="24"/>
        <w:szCs w:val="24"/>
      </w:rPr>
    </w:lvl>
    <w:lvl w:ilvl="1" w:tentative="0">
      <w:start w:val="1"/>
      <w:numFmt w:val="chineseCountingThousand"/>
      <w:lvlText w:val="（%2）"/>
      <w:lvlJc w:val="left"/>
      <w:pPr>
        <w:ind w:left="709" w:hanging="567"/>
      </w:pPr>
      <w:rPr>
        <w:rFonts w:hint="eastAsia"/>
        <w:sz w:val="24"/>
        <w:szCs w:val="24"/>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DC216ADA"/>
    <w:multiLevelType w:val="singleLevel"/>
    <w:tmpl w:val="DC216ADA"/>
    <w:lvl w:ilvl="0" w:tentative="0">
      <w:start w:val="1"/>
      <w:numFmt w:val="decimal"/>
      <w:lvlText w:val="%1."/>
      <w:lvlJc w:val="left"/>
      <w:pPr>
        <w:ind w:left="425" w:hanging="425"/>
      </w:pPr>
      <w:rPr>
        <w:rFonts w:hint="default"/>
      </w:rPr>
    </w:lvl>
  </w:abstractNum>
  <w:abstractNum w:abstractNumId="6">
    <w:nsid w:val="E1A68CFF"/>
    <w:multiLevelType w:val="singleLevel"/>
    <w:tmpl w:val="E1A68CFF"/>
    <w:lvl w:ilvl="0" w:tentative="0">
      <w:start w:val="1"/>
      <w:numFmt w:val="decimal"/>
      <w:lvlText w:val="(%1)"/>
      <w:lvlJc w:val="left"/>
      <w:pPr>
        <w:tabs>
          <w:tab w:val="left" w:pos="420"/>
        </w:tabs>
        <w:ind w:left="845" w:hanging="425"/>
      </w:pPr>
      <w:rPr>
        <w:rFonts w:hint="default"/>
      </w:rPr>
    </w:lvl>
  </w:abstractNum>
  <w:abstractNum w:abstractNumId="7">
    <w:nsid w:val="F47761DE"/>
    <w:multiLevelType w:val="multilevel"/>
    <w:tmpl w:val="F47761DE"/>
    <w:lvl w:ilvl="0" w:tentative="0">
      <w:start w:val="1"/>
      <w:numFmt w:val="chineseCountingThousand"/>
      <w:lvlText w:val="%1、"/>
      <w:lvlJc w:val="left"/>
      <w:pPr>
        <w:ind w:left="567" w:hanging="425"/>
      </w:pPr>
      <w:rPr>
        <w:rFonts w:hint="eastAsia"/>
        <w:sz w:val="24"/>
        <w:szCs w:val="24"/>
      </w:rPr>
    </w:lvl>
    <w:lvl w:ilvl="1" w:tentative="0">
      <w:start w:val="1"/>
      <w:numFmt w:val="chineseCountingThousand"/>
      <w:lvlText w:val="（%2）"/>
      <w:lvlJc w:val="left"/>
      <w:pPr>
        <w:ind w:left="709" w:hanging="567"/>
      </w:pPr>
      <w:rPr>
        <w:rFonts w:hint="eastAsia"/>
        <w:sz w:val="24"/>
        <w:szCs w:val="24"/>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8">
    <w:nsid w:val="F522F884"/>
    <w:multiLevelType w:val="singleLevel"/>
    <w:tmpl w:val="F522F884"/>
    <w:lvl w:ilvl="0" w:tentative="0">
      <w:start w:val="1"/>
      <w:numFmt w:val="decimal"/>
      <w:lvlText w:val="(%1)"/>
      <w:lvlJc w:val="left"/>
      <w:pPr>
        <w:tabs>
          <w:tab w:val="left" w:pos="420"/>
        </w:tabs>
        <w:ind w:left="845" w:hanging="425"/>
      </w:pPr>
      <w:rPr>
        <w:rFonts w:hint="default"/>
      </w:rPr>
    </w:lvl>
  </w:abstractNum>
  <w:abstractNum w:abstractNumId="9">
    <w:nsid w:val="FA33F6ED"/>
    <w:multiLevelType w:val="singleLevel"/>
    <w:tmpl w:val="FA33F6ED"/>
    <w:lvl w:ilvl="0" w:tentative="0">
      <w:start w:val="1"/>
      <w:numFmt w:val="decimal"/>
      <w:lvlText w:val="%1."/>
      <w:lvlJc w:val="left"/>
      <w:pPr>
        <w:ind w:left="425" w:hanging="425"/>
      </w:pPr>
      <w:rPr>
        <w:rFonts w:hint="default"/>
      </w:rPr>
    </w:lvl>
  </w:abstractNum>
  <w:abstractNum w:abstractNumId="10">
    <w:nsid w:val="03FA4FE1"/>
    <w:multiLevelType w:val="multilevel"/>
    <w:tmpl w:val="03FA4FE1"/>
    <w:lvl w:ilvl="0" w:tentative="0">
      <w:start w:val="1"/>
      <w:numFmt w:val="decimal"/>
      <w:lvlText w:val="(%1)"/>
      <w:lvlJc w:val="left"/>
      <w:pPr>
        <w:ind w:left="0" w:hanging="420"/>
      </w:pPr>
      <w:rPr>
        <w:rFonts w:hint="eastAsia"/>
      </w:rPr>
    </w:lvl>
    <w:lvl w:ilvl="1" w:tentative="0">
      <w:start w:val="1"/>
      <w:numFmt w:val="lowerLetter"/>
      <w:lvlText w:val="%2)"/>
      <w:lvlJc w:val="left"/>
      <w:pPr>
        <w:ind w:left="420" w:hanging="420"/>
      </w:pPr>
    </w:lvl>
    <w:lvl w:ilvl="2" w:tentative="0">
      <w:start w:val="1"/>
      <w:numFmt w:val="lowerRoman"/>
      <w:lvlText w:val="%3."/>
      <w:lvlJc w:val="right"/>
      <w:pPr>
        <w:ind w:left="840" w:hanging="420"/>
      </w:pPr>
    </w:lvl>
    <w:lvl w:ilvl="3" w:tentative="0">
      <w:start w:val="1"/>
      <w:numFmt w:val="decimal"/>
      <w:lvlText w:val="%4."/>
      <w:lvlJc w:val="left"/>
      <w:pPr>
        <w:ind w:left="1260" w:hanging="420"/>
      </w:pPr>
    </w:lvl>
    <w:lvl w:ilvl="4" w:tentative="0">
      <w:start w:val="1"/>
      <w:numFmt w:val="lowerLetter"/>
      <w:lvlText w:val="%5)"/>
      <w:lvlJc w:val="left"/>
      <w:pPr>
        <w:ind w:left="1680" w:hanging="420"/>
      </w:pPr>
    </w:lvl>
    <w:lvl w:ilvl="5" w:tentative="0">
      <w:start w:val="1"/>
      <w:numFmt w:val="lowerRoman"/>
      <w:lvlText w:val="%6."/>
      <w:lvlJc w:val="right"/>
      <w:pPr>
        <w:ind w:left="2100" w:hanging="420"/>
      </w:pPr>
    </w:lvl>
    <w:lvl w:ilvl="6" w:tentative="0">
      <w:start w:val="1"/>
      <w:numFmt w:val="decimal"/>
      <w:lvlText w:val="%7."/>
      <w:lvlJc w:val="left"/>
      <w:pPr>
        <w:ind w:left="2520" w:hanging="420"/>
      </w:pPr>
    </w:lvl>
    <w:lvl w:ilvl="7" w:tentative="0">
      <w:start w:val="1"/>
      <w:numFmt w:val="lowerLetter"/>
      <w:lvlText w:val="%8)"/>
      <w:lvlJc w:val="left"/>
      <w:pPr>
        <w:ind w:left="2940" w:hanging="420"/>
      </w:pPr>
    </w:lvl>
    <w:lvl w:ilvl="8" w:tentative="0">
      <w:start w:val="1"/>
      <w:numFmt w:val="lowerRoman"/>
      <w:lvlText w:val="%9."/>
      <w:lvlJc w:val="right"/>
      <w:pPr>
        <w:ind w:left="3360" w:hanging="420"/>
      </w:pPr>
    </w:lvl>
  </w:abstractNum>
  <w:abstractNum w:abstractNumId="11">
    <w:nsid w:val="082F5B21"/>
    <w:multiLevelType w:val="multilevel"/>
    <w:tmpl w:val="082F5B21"/>
    <w:lvl w:ilvl="0" w:tentative="0">
      <w:start w:val="1"/>
      <w:numFmt w:val="chineseCountingThousand"/>
      <w:lvlText w:val="%1、"/>
      <w:lvlJc w:val="left"/>
      <w:pPr>
        <w:ind w:left="567" w:hanging="425"/>
      </w:pPr>
      <w:rPr>
        <w:rFonts w:hint="eastAsia"/>
        <w:sz w:val="24"/>
        <w:szCs w:val="24"/>
      </w:rPr>
    </w:lvl>
    <w:lvl w:ilvl="1" w:tentative="0">
      <w:start w:val="1"/>
      <w:numFmt w:val="chineseCountingThousand"/>
      <w:lvlText w:val="（%2）"/>
      <w:lvlJc w:val="left"/>
      <w:pPr>
        <w:ind w:left="709" w:hanging="567"/>
      </w:pPr>
      <w:rPr>
        <w:rFonts w:hint="eastAsia"/>
        <w:sz w:val="24"/>
        <w:szCs w:val="24"/>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2">
    <w:nsid w:val="29015205"/>
    <w:multiLevelType w:val="multilevel"/>
    <w:tmpl w:val="29015205"/>
    <w:lvl w:ilvl="0" w:tentative="0">
      <w:start w:val="1"/>
      <w:numFmt w:val="decimal"/>
      <w:lvlText w:val="%1"/>
      <w:lvlJc w:val="left"/>
      <w:pPr>
        <w:ind w:left="432" w:hanging="432"/>
      </w:pPr>
      <w:rPr>
        <w:rFonts w:hint="eastAsia"/>
      </w:rPr>
    </w:lvl>
    <w:lvl w:ilvl="1" w:tentative="0">
      <w:start w:val="1"/>
      <w:numFmt w:val="decimal"/>
      <w:lvlText w:val="4.%2"/>
      <w:lvlJc w:val="left"/>
      <w:pPr>
        <w:ind w:left="576" w:hanging="576"/>
      </w:pPr>
      <w:rPr>
        <w:rFonts w:hint="eastAsia"/>
      </w:rPr>
    </w:lvl>
    <w:lvl w:ilvl="2" w:tentative="0">
      <w:start w:val="1"/>
      <w:numFmt w:val="decimal"/>
      <w:lvlText w:val="6.2.%3"/>
      <w:lvlJc w:val="left"/>
      <w:pPr>
        <w:ind w:left="720" w:hanging="720"/>
      </w:pPr>
      <w:rPr>
        <w:rFonts w:hint="eastAsia"/>
      </w:rPr>
    </w:lvl>
    <w:lvl w:ilvl="3" w:tentative="0">
      <w:start w:val="1"/>
      <w:numFmt w:val="decimal"/>
      <w:lvlText w:val="5.1.1.%4"/>
      <w:lvlJc w:val="left"/>
      <w:pPr>
        <w:ind w:left="864" w:hanging="864"/>
      </w:pPr>
      <w:rPr>
        <w:rFonts w:hint="eastAsia"/>
      </w:rPr>
    </w:lvl>
    <w:lvl w:ilvl="4" w:tentative="0">
      <w:start w:val="1"/>
      <w:numFmt w:val="decimal"/>
      <w:lvlText w:val="5.1.1.1.%5"/>
      <w:lvlJc w:val="left"/>
      <w:pPr>
        <w:ind w:left="2142" w:hanging="1008"/>
      </w:pPr>
      <w:rPr>
        <w:rFonts w:hint="eastAsia"/>
      </w:rPr>
    </w:lvl>
    <w:lvl w:ilvl="5" w:tentative="0">
      <w:start w:val="1"/>
      <w:numFmt w:val="decimal"/>
      <w:lvlText w:val="%1.%2.%3.%4.%5.%6"/>
      <w:lvlJc w:val="left"/>
      <w:pPr>
        <w:ind w:left="1152" w:hanging="1152"/>
      </w:pPr>
      <w:rPr>
        <w:rFonts w:hint="eastAsia"/>
      </w:rPr>
    </w:lvl>
    <w:lvl w:ilvl="6" w:tentative="0">
      <w:start w:val="1"/>
      <w:numFmt w:val="decimal"/>
      <w:lvlText w:val="%1.%2.%3.%4.%5.%6.%7"/>
      <w:lvlJc w:val="left"/>
      <w:pPr>
        <w:ind w:left="1296" w:hanging="1296"/>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584" w:hanging="1584"/>
      </w:pPr>
      <w:rPr>
        <w:rFonts w:hint="eastAsia"/>
      </w:rPr>
    </w:lvl>
  </w:abstractNum>
  <w:abstractNum w:abstractNumId="13">
    <w:nsid w:val="424A4138"/>
    <w:multiLevelType w:val="multilevel"/>
    <w:tmpl w:val="424A4138"/>
    <w:lvl w:ilvl="0" w:tentative="0">
      <w:start w:val="1"/>
      <w:numFmt w:val="chineseCountingThousand"/>
      <w:lvlText w:val="%1."/>
      <w:lvlJc w:val="left"/>
      <w:pPr>
        <w:ind w:left="432" w:hanging="432"/>
      </w:pPr>
      <w:rPr>
        <w:rFonts w:hint="eastAsia"/>
        <w:color w:val="auto"/>
        <w:sz w:val="32"/>
        <w:szCs w:val="32"/>
      </w:rPr>
    </w:lvl>
    <w:lvl w:ilvl="1" w:tentative="0">
      <w:start w:val="1"/>
      <w:numFmt w:val="decimal"/>
      <w:lvlText w:val="%1.%2"/>
      <w:lvlJc w:val="left"/>
      <w:pPr>
        <w:ind w:left="576" w:hanging="576"/>
      </w:pPr>
      <w:rPr>
        <w:rFonts w:hint="eastAsia"/>
      </w:rPr>
    </w:lvl>
    <w:lvl w:ilvl="2" w:tentative="0">
      <w:start w:val="1"/>
      <w:numFmt w:val="decimal"/>
      <w:lvlText w:val="%1.%2.%3"/>
      <w:lvlJc w:val="left"/>
      <w:pPr>
        <w:ind w:left="720" w:hanging="720"/>
      </w:pPr>
      <w:rPr>
        <w:rFonts w:hint="eastAsia"/>
      </w:rPr>
    </w:lvl>
    <w:lvl w:ilvl="3" w:tentative="0">
      <w:start w:val="1"/>
      <w:numFmt w:val="decimal"/>
      <w:lvlText w:val="%1.%2.%3.%4"/>
      <w:lvlJc w:val="left"/>
      <w:pPr>
        <w:ind w:left="864" w:hanging="864"/>
      </w:pPr>
      <w:rPr>
        <w:rFonts w:hint="eastAsia"/>
      </w:rPr>
    </w:lvl>
    <w:lvl w:ilvl="4" w:tentative="0">
      <w:start w:val="1"/>
      <w:numFmt w:val="decimal"/>
      <w:lvlText w:val="%1.%2.%3.%4.%5"/>
      <w:lvlJc w:val="left"/>
      <w:pPr>
        <w:ind w:left="1008" w:hanging="1008"/>
      </w:pPr>
      <w:rPr>
        <w:rFonts w:hint="eastAsia"/>
      </w:rPr>
    </w:lvl>
    <w:lvl w:ilvl="5" w:tentative="0">
      <w:start w:val="1"/>
      <w:numFmt w:val="decimal"/>
      <w:lvlText w:val="%1.%2.%3.%4.%5.%6"/>
      <w:lvlJc w:val="left"/>
      <w:pPr>
        <w:ind w:left="1152" w:hanging="1152"/>
      </w:pPr>
      <w:rPr>
        <w:rFonts w:hint="eastAsia"/>
      </w:rPr>
    </w:lvl>
    <w:lvl w:ilvl="6" w:tentative="0">
      <w:start w:val="1"/>
      <w:numFmt w:val="decimal"/>
      <w:lvlText w:val="%1.%2.%3.%4.%5.%6.%7"/>
      <w:lvlJc w:val="left"/>
      <w:pPr>
        <w:ind w:left="1296" w:hanging="1296"/>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584" w:hanging="1584"/>
      </w:pPr>
      <w:rPr>
        <w:rFonts w:hint="eastAsia"/>
      </w:rPr>
    </w:lvl>
  </w:abstractNum>
  <w:abstractNum w:abstractNumId="14">
    <w:nsid w:val="4FA740A5"/>
    <w:multiLevelType w:val="singleLevel"/>
    <w:tmpl w:val="4FA740A5"/>
    <w:lvl w:ilvl="0" w:tentative="0">
      <w:start w:val="1"/>
      <w:numFmt w:val="decimalEnclosedCircleChinese"/>
      <w:suff w:val="nothing"/>
      <w:lvlText w:val="%1　"/>
      <w:lvlJc w:val="left"/>
      <w:pPr>
        <w:ind w:left="0" w:firstLine="400"/>
      </w:pPr>
      <w:rPr>
        <w:rFonts w:hint="eastAsia"/>
      </w:rPr>
    </w:lvl>
  </w:abstractNum>
  <w:abstractNum w:abstractNumId="15">
    <w:nsid w:val="4FC9F343"/>
    <w:multiLevelType w:val="singleLevel"/>
    <w:tmpl w:val="4FC9F343"/>
    <w:lvl w:ilvl="0" w:tentative="0">
      <w:start w:val="1"/>
      <w:numFmt w:val="decimal"/>
      <w:lvlText w:val="%1."/>
      <w:lvlJc w:val="left"/>
      <w:pPr>
        <w:ind w:left="425" w:hanging="425"/>
      </w:pPr>
      <w:rPr>
        <w:rFonts w:hint="default"/>
      </w:rPr>
    </w:lvl>
  </w:abstractNum>
  <w:abstractNum w:abstractNumId="16">
    <w:nsid w:val="50DC4B9E"/>
    <w:multiLevelType w:val="multilevel"/>
    <w:tmpl w:val="50DC4B9E"/>
    <w:lvl w:ilvl="0" w:tentative="0">
      <w:start w:val="1"/>
      <w:numFmt w:val="decimal"/>
      <w:lvlText w:val="(%1)"/>
      <w:lvlJc w:val="left"/>
      <w:pPr>
        <w:tabs>
          <w:tab w:val="left" w:pos="420"/>
        </w:tabs>
        <w:ind w:left="840" w:hanging="420"/>
      </w:pPr>
      <w:rPr>
        <w:rFonts w:hint="default"/>
      </w:rPr>
    </w:lvl>
    <w:lvl w:ilvl="1" w:tentative="0">
      <w:start w:val="1"/>
      <w:numFmt w:val="lowerLetter"/>
      <w:lvlText w:val="%2)"/>
      <w:lvlJc w:val="left"/>
      <w:pPr>
        <w:tabs>
          <w:tab w:val="left" w:pos="420"/>
        </w:tabs>
        <w:ind w:left="1260" w:hanging="420"/>
      </w:pPr>
    </w:lvl>
    <w:lvl w:ilvl="2" w:tentative="0">
      <w:start w:val="1"/>
      <w:numFmt w:val="lowerRoman"/>
      <w:lvlText w:val="%3."/>
      <w:lvlJc w:val="right"/>
      <w:pPr>
        <w:tabs>
          <w:tab w:val="left" w:pos="420"/>
        </w:tabs>
        <w:ind w:left="1680" w:hanging="420"/>
      </w:pPr>
    </w:lvl>
    <w:lvl w:ilvl="3" w:tentative="0">
      <w:start w:val="1"/>
      <w:numFmt w:val="decimal"/>
      <w:lvlText w:val="%4."/>
      <w:lvlJc w:val="left"/>
      <w:pPr>
        <w:tabs>
          <w:tab w:val="left" w:pos="420"/>
        </w:tabs>
        <w:ind w:left="2100" w:hanging="420"/>
      </w:pPr>
    </w:lvl>
    <w:lvl w:ilvl="4" w:tentative="0">
      <w:start w:val="1"/>
      <w:numFmt w:val="lowerLetter"/>
      <w:lvlText w:val="%5)"/>
      <w:lvlJc w:val="left"/>
      <w:pPr>
        <w:tabs>
          <w:tab w:val="left" w:pos="420"/>
        </w:tabs>
        <w:ind w:left="2520" w:hanging="420"/>
      </w:pPr>
    </w:lvl>
    <w:lvl w:ilvl="5" w:tentative="0">
      <w:start w:val="1"/>
      <w:numFmt w:val="lowerRoman"/>
      <w:lvlText w:val="%6."/>
      <w:lvlJc w:val="right"/>
      <w:pPr>
        <w:tabs>
          <w:tab w:val="left" w:pos="420"/>
        </w:tabs>
        <w:ind w:left="2940" w:hanging="420"/>
      </w:pPr>
    </w:lvl>
    <w:lvl w:ilvl="6" w:tentative="0">
      <w:start w:val="1"/>
      <w:numFmt w:val="decimal"/>
      <w:lvlText w:val="%7."/>
      <w:lvlJc w:val="left"/>
      <w:pPr>
        <w:tabs>
          <w:tab w:val="left" w:pos="420"/>
        </w:tabs>
        <w:ind w:left="3360" w:hanging="420"/>
      </w:pPr>
    </w:lvl>
    <w:lvl w:ilvl="7" w:tentative="0">
      <w:start w:val="1"/>
      <w:numFmt w:val="lowerLetter"/>
      <w:lvlText w:val="%8)"/>
      <w:lvlJc w:val="left"/>
      <w:pPr>
        <w:tabs>
          <w:tab w:val="left" w:pos="420"/>
        </w:tabs>
        <w:ind w:left="3780" w:hanging="420"/>
      </w:pPr>
    </w:lvl>
    <w:lvl w:ilvl="8" w:tentative="0">
      <w:start w:val="1"/>
      <w:numFmt w:val="lowerRoman"/>
      <w:lvlText w:val="%9."/>
      <w:lvlJc w:val="right"/>
      <w:pPr>
        <w:tabs>
          <w:tab w:val="left" w:pos="420"/>
        </w:tabs>
        <w:ind w:left="4200" w:hanging="420"/>
      </w:pPr>
    </w:lvl>
  </w:abstractNum>
  <w:abstractNum w:abstractNumId="17">
    <w:nsid w:val="52B94DEF"/>
    <w:multiLevelType w:val="singleLevel"/>
    <w:tmpl w:val="52B94DEF"/>
    <w:lvl w:ilvl="0" w:tentative="0">
      <w:start w:val="1"/>
      <w:numFmt w:val="decimal"/>
      <w:lvlText w:val="(%1)"/>
      <w:lvlJc w:val="left"/>
      <w:pPr>
        <w:tabs>
          <w:tab w:val="left" w:pos="420"/>
        </w:tabs>
        <w:ind w:left="845" w:hanging="425"/>
      </w:pPr>
      <w:rPr>
        <w:rFonts w:hint="default"/>
      </w:rPr>
    </w:lvl>
  </w:abstractNum>
  <w:abstractNum w:abstractNumId="18">
    <w:nsid w:val="61962673"/>
    <w:multiLevelType w:val="singleLevel"/>
    <w:tmpl w:val="61962673"/>
    <w:lvl w:ilvl="0" w:tentative="0">
      <w:start w:val="1"/>
      <w:numFmt w:val="decimal"/>
      <w:suff w:val="nothing"/>
      <w:lvlText w:val="%1．"/>
      <w:lvlJc w:val="left"/>
      <w:pPr>
        <w:ind w:left="0" w:firstLine="400"/>
      </w:pPr>
      <w:rPr>
        <w:rFonts w:hint="default"/>
      </w:rPr>
    </w:lvl>
  </w:abstractNum>
  <w:abstractNum w:abstractNumId="19">
    <w:nsid w:val="62A94B31"/>
    <w:multiLevelType w:val="multilevel"/>
    <w:tmpl w:val="62A94B31"/>
    <w:lvl w:ilvl="0" w:tentative="0">
      <w:start w:val="1"/>
      <w:numFmt w:val="chineseCountingThousand"/>
      <w:lvlText w:val="%1、"/>
      <w:lvlJc w:val="left"/>
      <w:pPr>
        <w:ind w:left="567" w:hanging="425"/>
      </w:pPr>
      <w:rPr>
        <w:rFonts w:hint="eastAsia"/>
        <w:sz w:val="24"/>
        <w:szCs w:val="24"/>
      </w:rPr>
    </w:lvl>
    <w:lvl w:ilvl="1" w:tentative="0">
      <w:start w:val="1"/>
      <w:numFmt w:val="chineseCountingThousand"/>
      <w:lvlText w:val="（%2）"/>
      <w:lvlJc w:val="left"/>
      <w:pPr>
        <w:ind w:left="699" w:hanging="567"/>
      </w:pPr>
      <w:rPr>
        <w:rFonts w:hint="eastAsia"/>
        <w:sz w:val="24"/>
        <w:szCs w:val="24"/>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6401BF7A"/>
    <w:multiLevelType w:val="multilevel"/>
    <w:tmpl w:val="6401BF7A"/>
    <w:lvl w:ilvl="0" w:tentative="0">
      <w:start w:val="1"/>
      <w:numFmt w:val="chineseCountingThousand"/>
      <w:lvlText w:val="%1、"/>
      <w:lvlJc w:val="left"/>
      <w:pPr>
        <w:ind w:left="567" w:hanging="425"/>
      </w:pPr>
      <w:rPr>
        <w:rFonts w:hint="eastAsia"/>
        <w:sz w:val="24"/>
        <w:szCs w:val="24"/>
      </w:rPr>
    </w:lvl>
    <w:lvl w:ilvl="1" w:tentative="0">
      <w:start w:val="1"/>
      <w:numFmt w:val="chineseCountingThousand"/>
      <w:lvlText w:val="（%2）"/>
      <w:lvlJc w:val="left"/>
      <w:pPr>
        <w:ind w:left="709" w:hanging="567"/>
      </w:pPr>
      <w:rPr>
        <w:rFonts w:hint="eastAsia"/>
        <w:sz w:val="24"/>
        <w:szCs w:val="24"/>
      </w:rPr>
    </w:lvl>
    <w:lvl w:ilvl="2" w:tentative="0">
      <w:start w:val="1"/>
      <w:numFmt w:val="decimal"/>
      <w:lvlText w:val="%3."/>
      <w:lvlJc w:val="left"/>
      <w:pPr>
        <w:ind w:left="1418" w:hanging="567"/>
      </w:pPr>
      <w:rPr>
        <w:rFonts w:hint="eastAsia"/>
      </w:rPr>
    </w:lvl>
    <w:lvl w:ilvl="3" w:tentative="0">
      <w:start w:val="1"/>
      <w:numFmt w:val="decimal"/>
      <w:lvlText w:val="(%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77B83179"/>
    <w:multiLevelType w:val="singleLevel"/>
    <w:tmpl w:val="77B83179"/>
    <w:lvl w:ilvl="0" w:tentative="0">
      <w:start w:val="1"/>
      <w:numFmt w:val="decimal"/>
      <w:suff w:val="nothing"/>
      <w:lvlText w:val="%1．"/>
      <w:lvlJc w:val="left"/>
      <w:pPr>
        <w:ind w:left="0" w:firstLine="400"/>
      </w:pPr>
      <w:rPr>
        <w:rFonts w:hint="default"/>
      </w:rPr>
    </w:lvl>
  </w:abstractNum>
  <w:num w:numId="1">
    <w:abstractNumId w:val="13"/>
  </w:num>
  <w:num w:numId="2">
    <w:abstractNumId w:val="19"/>
  </w:num>
  <w:num w:numId="3">
    <w:abstractNumId w:val="12"/>
  </w:num>
  <w:num w:numId="4">
    <w:abstractNumId w:val="2"/>
  </w:num>
  <w:num w:numId="5">
    <w:abstractNumId w:val="17"/>
  </w:num>
  <w:num w:numId="6">
    <w:abstractNumId w:val="6"/>
  </w:num>
  <w:num w:numId="7">
    <w:abstractNumId w:val="14"/>
  </w:num>
  <w:num w:numId="8">
    <w:abstractNumId w:val="8"/>
  </w:num>
  <w:num w:numId="9">
    <w:abstractNumId w:val="16"/>
  </w:num>
  <w:num w:numId="10">
    <w:abstractNumId w:val="10"/>
  </w:num>
  <w:num w:numId="11">
    <w:abstractNumId w:val="7"/>
  </w:num>
  <w:num w:numId="12">
    <w:abstractNumId w:val="1"/>
  </w:num>
  <w:num w:numId="13">
    <w:abstractNumId w:val="20"/>
  </w:num>
  <w:num w:numId="14">
    <w:abstractNumId w:val="15"/>
  </w:num>
  <w:num w:numId="15">
    <w:abstractNumId w:val="4"/>
  </w:num>
  <w:num w:numId="16">
    <w:abstractNumId w:val="3"/>
  </w:num>
  <w:num w:numId="17">
    <w:abstractNumId w:val="11"/>
  </w:num>
  <w:num w:numId="18">
    <w:abstractNumId w:val="5"/>
  </w:num>
  <w:num w:numId="19">
    <w:abstractNumId w:val="9"/>
  </w:num>
  <w:num w:numId="20">
    <w:abstractNumId w:val="0"/>
  </w:num>
  <w:num w:numId="21">
    <w:abstractNumId w:val="18"/>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6C0CB7"/>
    <w:rsid w:val="05832D5D"/>
    <w:rsid w:val="12F215E0"/>
    <w:rsid w:val="1AB23A71"/>
    <w:rsid w:val="235756E5"/>
    <w:rsid w:val="243674C1"/>
    <w:rsid w:val="3086532C"/>
    <w:rsid w:val="3F0F0BE2"/>
    <w:rsid w:val="3F7A2500"/>
    <w:rsid w:val="486A50DB"/>
    <w:rsid w:val="596E221D"/>
    <w:rsid w:val="5F333425"/>
    <w:rsid w:val="5F6C0CB7"/>
    <w:rsid w:val="5FD650D9"/>
    <w:rsid w:val="703F7861"/>
    <w:rsid w:val="70A64653"/>
    <w:rsid w:val="715E4F2E"/>
    <w:rsid w:val="771E534B"/>
    <w:rsid w:val="7E623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1"/>
    <w:pPr>
      <w:ind w:left="100"/>
      <w:outlineLvl w:val="1"/>
    </w:pPr>
    <w:rPr>
      <w:rFonts w:hint="eastAsia" w:ascii="宋体" w:hAnsi="宋体"/>
      <w:sz w:val="29"/>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rFonts w:ascii="Arial" w:hAnsi="Arial" w:cs="Verdana"/>
      <w:b/>
      <w:sz w:val="18"/>
      <w:lang w:eastAsia="en-US"/>
    </w:rPr>
  </w:style>
  <w:style w:type="paragraph" w:customStyle="1" w:styleId="6">
    <w:name w:val="null3"/>
    <w:qFormat/>
    <w:uiPriority w:val="0"/>
    <w:rPr>
      <w:rFonts w:hint="eastAsia" w:ascii="Times New Roman" w:hAnsi="Times New Roman" w:eastAsia="宋体" w:cs="Times New Roman"/>
      <w:lang w:val="en-US" w:eastAsia="zh-CN" w:bidi="ar-SA"/>
    </w:rPr>
  </w:style>
  <w:style w:type="paragraph" w:styleId="7">
    <w:name w:val="List Paragraph"/>
    <w:basedOn w:val="1"/>
    <w:qFormat/>
    <w:uiPriority w:val="0"/>
    <w:pPr>
      <w:ind w:firstLine="420" w:firstLineChars="200"/>
    </w:pPr>
    <w:rPr>
      <w:rFonts w:ascii="Calibri" w:hAnsi="Calibri"/>
      <w:kern w:val="0"/>
      <w:sz w:val="20"/>
    </w:rPr>
  </w:style>
  <w:style w:type="paragraph" w:customStyle="1" w:styleId="8">
    <w:name w:val="表格文字"/>
    <w:basedOn w:val="1"/>
    <w:qFormat/>
    <w:uiPriority w:val="0"/>
    <w:pPr>
      <w:spacing w:before="25" w:after="25"/>
    </w:pPr>
    <w:rPr>
      <w:bCs/>
      <w:spacing w:val="1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9346</Words>
  <Characters>9512</Characters>
  <Lines>0</Lines>
  <Paragraphs>0</Paragraphs>
  <TotalTime>11</TotalTime>
  <ScaleCrop>false</ScaleCrop>
  <LinksUpToDate>false</LinksUpToDate>
  <CharactersWithSpaces>9656</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2026-05-11T03:18:00Z</dcterms:created>
  <dc:creator>DMY</dc:creator>
  <cp:lastModifiedBy>DMY</cp:lastModifiedBy>
  <dcterms:modified xsi:type="dcterms:W3CDTF">2026-06-01T03:26:34Z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8D6130AA98674FDC989BE007196F5056_13</vt:lpwstr>
  </property>
  <property fmtid="{D5CDD505-2E9C-101B-9397-08002B2CF9AE}" pid="4" name="KSOTemplateDocerSaveRecord">
    <vt:lpwstr>eyJoZGlkIjoiZTc1OTYyNWY3MDQwNWZmMTQ3ZmQxM2Q3NDkzYjhkNzYiLCJ1c2VySWQiOiI3MjM1OTkyODUifQ==</vt:lpwstr>
  </property>
</Properties>
</file>