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9FD06">
      <w:pPr>
        <w:spacing w:after="209" w:afterLines="67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附件2</w:t>
      </w:r>
    </w:p>
    <w:p w14:paraId="2F559134">
      <w:pPr>
        <w:spacing w:after="209" w:afterLines="67"/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广东南方新媒体股份有限公司</w:t>
      </w:r>
    </w:p>
    <w:p w14:paraId="018D56A1">
      <w:pPr>
        <w:spacing w:after="209" w:afterLines="67"/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  <w:t>2026年IPTV平台WAF系统维保项目</w:t>
      </w:r>
    </w:p>
    <w:p w14:paraId="01EE8317">
      <w:pPr>
        <w:spacing w:after="209" w:afterLines="67"/>
        <w:jc w:val="center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市场调研报价文件格式</w:t>
      </w:r>
    </w:p>
    <w:p w14:paraId="32F95B18">
      <w:pPr>
        <w:pStyle w:val="24"/>
        <w:numPr>
          <w:ilvl w:val="0"/>
          <w:numId w:val="2"/>
        </w:numPr>
        <w:spacing w:after="209" w:afterLines="67"/>
        <w:ind w:firstLineChars="0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供应商信息登记表</w:t>
      </w:r>
    </w:p>
    <w:tbl>
      <w:tblPr>
        <w:tblStyle w:val="14"/>
        <w:tblW w:w="544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39"/>
        <w:gridCol w:w="918"/>
        <w:gridCol w:w="2221"/>
        <w:gridCol w:w="1242"/>
        <w:gridCol w:w="2328"/>
      </w:tblGrid>
      <w:tr w14:paraId="25482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293" w:type="pct"/>
            <w:vAlign w:val="center"/>
          </w:tcPr>
          <w:p w14:paraId="17E6B527">
            <w:pPr>
              <w:pStyle w:val="25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</w:rPr>
            </w:pPr>
            <w:bookmarkStart w:id="0" w:name="_Hlk199424538"/>
            <w:r>
              <w:rPr>
                <w:rFonts w:hint="eastAsia" w:hAnsi="宋体" w:cs="仿宋"/>
              </w:rPr>
              <w:t>单位名称</w:t>
            </w:r>
          </w:p>
        </w:tc>
        <w:tc>
          <w:tcPr>
            <w:tcW w:w="3706" w:type="pct"/>
            <w:gridSpan w:val="4"/>
            <w:vAlign w:val="center"/>
          </w:tcPr>
          <w:p w14:paraId="2BD31150">
            <w:pPr>
              <w:tabs>
                <w:tab w:val="left" w:pos="202"/>
              </w:tabs>
              <w:spacing w:line="400" w:lineRule="exact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</w:p>
        </w:tc>
      </w:tr>
      <w:tr w14:paraId="6B108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293" w:type="pct"/>
            <w:vAlign w:val="center"/>
          </w:tcPr>
          <w:p w14:paraId="1E2EEB31">
            <w:pPr>
              <w:pStyle w:val="25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</w:rPr>
            </w:pPr>
            <w:r>
              <w:rPr>
                <w:rFonts w:hint="eastAsia" w:hAnsi="宋体" w:cs="仿宋"/>
              </w:rPr>
              <w:t>注册资金</w:t>
            </w:r>
          </w:p>
        </w:tc>
        <w:tc>
          <w:tcPr>
            <w:tcW w:w="1734" w:type="pct"/>
            <w:gridSpan w:val="2"/>
            <w:vAlign w:val="center"/>
          </w:tcPr>
          <w:p w14:paraId="6D5506BE">
            <w:pPr>
              <w:spacing w:line="400" w:lineRule="exact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万元</w:t>
            </w:r>
          </w:p>
        </w:tc>
        <w:tc>
          <w:tcPr>
            <w:tcW w:w="686" w:type="pct"/>
            <w:vAlign w:val="center"/>
          </w:tcPr>
          <w:p w14:paraId="03D3F920">
            <w:pPr>
              <w:pStyle w:val="25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</w:rPr>
            </w:pPr>
            <w:r>
              <w:rPr>
                <w:rFonts w:hint="eastAsia" w:hAnsi="宋体" w:cs="仿宋"/>
              </w:rPr>
              <w:t>成立时间</w:t>
            </w:r>
          </w:p>
        </w:tc>
        <w:tc>
          <w:tcPr>
            <w:tcW w:w="1285" w:type="pct"/>
            <w:vAlign w:val="center"/>
          </w:tcPr>
          <w:p w14:paraId="63F3B563">
            <w:pPr>
              <w:spacing w:line="400" w:lineRule="exact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年</w:t>
            </w:r>
            <w:r>
              <w:rPr>
                <w:rFonts w:ascii="宋体" w:hAnsi="宋体" w:eastAsia="宋体" w:cs="仿宋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月</w:t>
            </w:r>
            <w:r>
              <w:rPr>
                <w:rFonts w:ascii="宋体" w:hAnsi="宋体" w:eastAsia="宋体" w:cs="仿宋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日</w:t>
            </w:r>
          </w:p>
        </w:tc>
      </w:tr>
      <w:tr w14:paraId="582FA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293" w:type="pct"/>
            <w:vAlign w:val="center"/>
          </w:tcPr>
          <w:p w14:paraId="0C447252">
            <w:pPr>
              <w:pStyle w:val="25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</w:rPr>
            </w:pPr>
            <w:r>
              <w:rPr>
                <w:rFonts w:hint="eastAsia" w:hAnsi="宋体" w:cs="仿宋"/>
              </w:rPr>
              <w:t>注册地址</w:t>
            </w:r>
          </w:p>
        </w:tc>
        <w:tc>
          <w:tcPr>
            <w:tcW w:w="3706" w:type="pct"/>
            <w:gridSpan w:val="4"/>
            <w:vAlign w:val="center"/>
          </w:tcPr>
          <w:p w14:paraId="5068DF5D">
            <w:pPr>
              <w:spacing w:line="400" w:lineRule="exact"/>
              <w:rPr>
                <w:rFonts w:ascii="宋体" w:hAnsi="宋体" w:eastAsia="宋体" w:cs="仿宋"/>
                <w:sz w:val="24"/>
                <w:szCs w:val="24"/>
              </w:rPr>
            </w:pPr>
          </w:p>
        </w:tc>
      </w:tr>
      <w:tr w14:paraId="5D91F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jc w:val="center"/>
        </w:trPr>
        <w:tc>
          <w:tcPr>
            <w:tcW w:w="1293" w:type="pct"/>
            <w:vAlign w:val="center"/>
          </w:tcPr>
          <w:p w14:paraId="7BF79289">
            <w:pPr>
              <w:pStyle w:val="25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</w:rPr>
            </w:pPr>
            <w:r>
              <w:rPr>
                <w:rFonts w:hint="eastAsia" w:hAnsi="宋体" w:cs="仿宋"/>
              </w:rPr>
              <w:t>邮政编码</w:t>
            </w:r>
          </w:p>
        </w:tc>
        <w:tc>
          <w:tcPr>
            <w:tcW w:w="1734" w:type="pct"/>
            <w:gridSpan w:val="2"/>
            <w:vAlign w:val="center"/>
          </w:tcPr>
          <w:p w14:paraId="7F496F9B">
            <w:pPr>
              <w:spacing w:line="400" w:lineRule="exact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4A930767">
            <w:pPr>
              <w:pStyle w:val="25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</w:rPr>
            </w:pPr>
            <w:r>
              <w:rPr>
                <w:rFonts w:hint="eastAsia" w:hAnsi="宋体" w:cs="仿宋"/>
              </w:rPr>
              <w:t>员工总数</w:t>
            </w:r>
          </w:p>
        </w:tc>
        <w:tc>
          <w:tcPr>
            <w:tcW w:w="1285" w:type="pct"/>
            <w:vAlign w:val="center"/>
          </w:tcPr>
          <w:p w14:paraId="7FFF9D48">
            <w:pPr>
              <w:spacing w:line="400" w:lineRule="exact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</w:p>
        </w:tc>
      </w:tr>
      <w:tr w14:paraId="43F93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1293" w:type="pct"/>
            <w:vMerge w:val="restart"/>
            <w:vAlign w:val="center"/>
          </w:tcPr>
          <w:p w14:paraId="2C0C4717">
            <w:pPr>
              <w:pStyle w:val="25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</w:rPr>
            </w:pPr>
            <w:r>
              <w:rPr>
                <w:rFonts w:hint="eastAsia" w:hAnsi="宋体" w:cs="仿宋"/>
              </w:rPr>
              <w:t>联系方式</w:t>
            </w:r>
          </w:p>
        </w:tc>
        <w:tc>
          <w:tcPr>
            <w:tcW w:w="507" w:type="pct"/>
            <w:vAlign w:val="center"/>
          </w:tcPr>
          <w:p w14:paraId="6FBD2BA7">
            <w:pPr>
              <w:pStyle w:val="25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</w:rPr>
            </w:pPr>
            <w:r>
              <w:rPr>
                <w:rFonts w:hint="eastAsia" w:hAnsi="宋体" w:cs="仿宋"/>
              </w:rPr>
              <w:t>联系人</w:t>
            </w:r>
          </w:p>
        </w:tc>
        <w:tc>
          <w:tcPr>
            <w:tcW w:w="1227" w:type="pct"/>
            <w:vAlign w:val="center"/>
          </w:tcPr>
          <w:p w14:paraId="679EB01B">
            <w:pPr>
              <w:spacing w:line="400" w:lineRule="exact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7D3E93BE">
            <w:pPr>
              <w:pStyle w:val="25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</w:rPr>
            </w:pPr>
            <w:r>
              <w:rPr>
                <w:rFonts w:hint="eastAsia" w:hAnsi="宋体" w:cs="仿宋"/>
              </w:rPr>
              <w:t>电话</w:t>
            </w:r>
          </w:p>
        </w:tc>
        <w:tc>
          <w:tcPr>
            <w:tcW w:w="1285" w:type="pct"/>
            <w:vAlign w:val="center"/>
          </w:tcPr>
          <w:p w14:paraId="3F81B197">
            <w:pPr>
              <w:spacing w:line="400" w:lineRule="exact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</w:p>
        </w:tc>
      </w:tr>
      <w:tr w14:paraId="69344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1293" w:type="pct"/>
            <w:vMerge w:val="continue"/>
            <w:vAlign w:val="center"/>
          </w:tcPr>
          <w:p w14:paraId="4CAC2963">
            <w:pPr>
              <w:spacing w:line="400" w:lineRule="exact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14:paraId="04B4BED2">
            <w:pPr>
              <w:pStyle w:val="25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</w:rPr>
            </w:pPr>
            <w:r>
              <w:rPr>
                <w:rFonts w:hint="eastAsia" w:hAnsi="宋体" w:cs="仿宋"/>
              </w:rPr>
              <w:t>网址</w:t>
            </w:r>
          </w:p>
        </w:tc>
        <w:tc>
          <w:tcPr>
            <w:tcW w:w="1227" w:type="pct"/>
            <w:vAlign w:val="center"/>
          </w:tcPr>
          <w:p w14:paraId="505D7D5C">
            <w:pPr>
              <w:spacing w:line="400" w:lineRule="exact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33BCCE35">
            <w:pPr>
              <w:pStyle w:val="25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</w:rPr>
            </w:pPr>
            <w:r>
              <w:rPr>
                <w:rFonts w:hint="eastAsia" w:hAnsi="宋体" w:cs="仿宋"/>
              </w:rPr>
              <w:t>传真/邮箱</w:t>
            </w:r>
          </w:p>
        </w:tc>
        <w:tc>
          <w:tcPr>
            <w:tcW w:w="1285" w:type="pct"/>
            <w:vAlign w:val="center"/>
          </w:tcPr>
          <w:p w14:paraId="7F18E182">
            <w:pPr>
              <w:spacing w:line="400" w:lineRule="exact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</w:p>
        </w:tc>
      </w:tr>
      <w:tr w14:paraId="1FF0B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jc w:val="center"/>
        </w:trPr>
        <w:tc>
          <w:tcPr>
            <w:tcW w:w="1293" w:type="pct"/>
            <w:vAlign w:val="center"/>
          </w:tcPr>
          <w:p w14:paraId="1E42E300">
            <w:pPr>
              <w:pStyle w:val="25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</w:rPr>
            </w:pPr>
            <w:r>
              <w:rPr>
                <w:rFonts w:hint="eastAsia" w:hAnsi="宋体" w:cs="仿宋"/>
              </w:rPr>
              <w:t>法定代表人</w:t>
            </w:r>
          </w:p>
          <w:p w14:paraId="118104B6">
            <w:pPr>
              <w:pStyle w:val="25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</w:rPr>
            </w:pPr>
            <w:r>
              <w:rPr>
                <w:rFonts w:hint="eastAsia" w:hAnsi="宋体" w:cs="仿宋"/>
              </w:rPr>
              <w:t>（单位负责人）</w:t>
            </w:r>
          </w:p>
        </w:tc>
        <w:tc>
          <w:tcPr>
            <w:tcW w:w="507" w:type="pct"/>
            <w:vAlign w:val="center"/>
          </w:tcPr>
          <w:p w14:paraId="50D83676">
            <w:pPr>
              <w:pStyle w:val="25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</w:rPr>
            </w:pPr>
            <w:r>
              <w:rPr>
                <w:rFonts w:hint="eastAsia" w:hAnsi="宋体" w:cs="仿宋"/>
              </w:rPr>
              <w:t>姓名</w:t>
            </w:r>
          </w:p>
        </w:tc>
        <w:tc>
          <w:tcPr>
            <w:tcW w:w="1227" w:type="pct"/>
            <w:vAlign w:val="center"/>
          </w:tcPr>
          <w:p w14:paraId="7283A6C6">
            <w:pPr>
              <w:spacing w:line="400" w:lineRule="exact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7C9F82B5">
            <w:pPr>
              <w:pStyle w:val="25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</w:rPr>
            </w:pPr>
            <w:r>
              <w:rPr>
                <w:rFonts w:hint="eastAsia" w:hAnsi="宋体" w:cs="仿宋"/>
              </w:rPr>
              <w:t>电话</w:t>
            </w:r>
          </w:p>
        </w:tc>
        <w:tc>
          <w:tcPr>
            <w:tcW w:w="1285" w:type="pct"/>
            <w:vAlign w:val="center"/>
          </w:tcPr>
          <w:p w14:paraId="36609747">
            <w:pPr>
              <w:tabs>
                <w:tab w:val="left" w:pos="1426"/>
              </w:tabs>
              <w:spacing w:line="400" w:lineRule="exact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</w:p>
        </w:tc>
      </w:tr>
      <w:tr w14:paraId="53B23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  <w:jc w:val="center"/>
        </w:trPr>
        <w:tc>
          <w:tcPr>
            <w:tcW w:w="1293" w:type="pct"/>
            <w:vAlign w:val="center"/>
          </w:tcPr>
          <w:p w14:paraId="669F6ED7">
            <w:pPr>
              <w:pStyle w:val="25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</w:rPr>
            </w:pPr>
            <w:r>
              <w:rPr>
                <w:rFonts w:hint="eastAsia" w:hAnsi="宋体" w:cs="仿宋"/>
              </w:rPr>
              <w:t>与本项目采购需求相关的资质或者认证证书</w:t>
            </w:r>
          </w:p>
        </w:tc>
        <w:tc>
          <w:tcPr>
            <w:tcW w:w="3706" w:type="pct"/>
            <w:gridSpan w:val="4"/>
            <w:vAlign w:val="center"/>
          </w:tcPr>
          <w:p w14:paraId="093AE526">
            <w:pPr>
              <w:pStyle w:val="25"/>
              <w:kinsoku w:val="0"/>
              <w:overflowPunct w:val="0"/>
              <w:spacing w:line="400" w:lineRule="exact"/>
              <w:ind w:firstLine="0" w:firstLineChars="0"/>
              <w:rPr>
                <w:rFonts w:hAnsi="宋体" w:cs="仿宋"/>
              </w:rPr>
            </w:pPr>
            <w:r>
              <w:rPr>
                <w:rFonts w:hint="eastAsia" w:hAnsi="宋体" w:cs="仿宋"/>
              </w:rPr>
              <w:t>如有请罗列证书名称：</w:t>
            </w:r>
          </w:p>
        </w:tc>
      </w:tr>
      <w:tr w14:paraId="26F85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  <w:jc w:val="center"/>
        </w:trPr>
        <w:tc>
          <w:tcPr>
            <w:tcW w:w="1293" w:type="pct"/>
            <w:vAlign w:val="center"/>
          </w:tcPr>
          <w:p w14:paraId="215E4AF1">
            <w:pPr>
              <w:pStyle w:val="25"/>
              <w:kinsoku w:val="0"/>
              <w:overflowPunct w:val="0"/>
              <w:spacing w:line="400" w:lineRule="exact"/>
              <w:ind w:firstLine="0" w:firstLineChars="0"/>
              <w:jc w:val="center"/>
              <w:rPr>
                <w:rFonts w:hAnsi="宋体" w:cs="仿宋"/>
              </w:rPr>
            </w:pPr>
            <w:r>
              <w:rPr>
                <w:rFonts w:hint="eastAsia" w:hAnsi="宋体" w:cs="仿宋"/>
              </w:rPr>
              <w:t>人员情况</w:t>
            </w:r>
          </w:p>
        </w:tc>
        <w:tc>
          <w:tcPr>
            <w:tcW w:w="3706" w:type="pct"/>
            <w:gridSpan w:val="4"/>
            <w:vAlign w:val="center"/>
          </w:tcPr>
          <w:p w14:paraId="4D8F52A8">
            <w:pPr>
              <w:pStyle w:val="25"/>
              <w:kinsoku w:val="0"/>
              <w:overflowPunct w:val="0"/>
              <w:spacing w:line="400" w:lineRule="exact"/>
              <w:ind w:firstLine="0" w:firstLineChars="0"/>
              <w:rPr>
                <w:rFonts w:hAnsi="宋体" w:cs="仿宋"/>
              </w:rPr>
            </w:pPr>
            <w:r>
              <w:rPr>
                <w:rFonts w:hint="eastAsia" w:hAnsi="宋体" w:cs="仿宋"/>
              </w:rPr>
              <w:t>公司实有人员情况：</w:t>
            </w:r>
          </w:p>
          <w:p w14:paraId="46ECE9A8">
            <w:pPr>
              <w:pStyle w:val="25"/>
              <w:kinsoku w:val="0"/>
              <w:overflowPunct w:val="0"/>
              <w:spacing w:line="400" w:lineRule="exact"/>
              <w:ind w:firstLine="0" w:firstLineChars="0"/>
              <w:rPr>
                <w:rFonts w:hAnsi="宋体" w:cs="仿宋"/>
              </w:rPr>
            </w:pPr>
            <w:r>
              <w:rPr>
                <w:rFonts w:hint="eastAsia" w:hAnsi="宋体" w:cs="仿宋"/>
              </w:rPr>
              <w:t>广州地区人员情况：</w:t>
            </w:r>
          </w:p>
        </w:tc>
      </w:tr>
      <w:tr w14:paraId="0E9D7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  <w:jc w:val="center"/>
        </w:trPr>
        <w:tc>
          <w:tcPr>
            <w:tcW w:w="1293" w:type="pct"/>
            <w:vAlign w:val="center"/>
          </w:tcPr>
          <w:p w14:paraId="4B923A08">
            <w:pPr>
              <w:pStyle w:val="25"/>
              <w:kinsoku w:val="0"/>
              <w:overflowPunct w:val="0"/>
              <w:spacing w:line="440" w:lineRule="exact"/>
              <w:ind w:firstLine="0" w:firstLineChars="0"/>
              <w:jc w:val="center"/>
              <w:rPr>
                <w:rFonts w:hAnsi="宋体" w:cs="仿宋"/>
              </w:rPr>
            </w:pPr>
            <w:r>
              <w:rPr>
                <w:rFonts w:hint="eastAsia" w:hAnsi="宋体" w:cs="仿宋"/>
              </w:rPr>
              <w:t>备注</w:t>
            </w:r>
          </w:p>
        </w:tc>
        <w:tc>
          <w:tcPr>
            <w:tcW w:w="3706" w:type="pct"/>
            <w:gridSpan w:val="4"/>
            <w:vAlign w:val="center"/>
          </w:tcPr>
          <w:p w14:paraId="41343DBC">
            <w:pPr>
              <w:spacing w:line="440" w:lineRule="exact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</w:p>
        </w:tc>
      </w:tr>
      <w:bookmarkEnd w:id="0"/>
    </w:tbl>
    <w:p w14:paraId="35BB54BD">
      <w:pPr>
        <w:pStyle w:val="13"/>
        <w:ind w:firstLine="0" w:firstLineChars="0"/>
      </w:pPr>
    </w:p>
    <w:p w14:paraId="7DD39093">
      <w:pPr>
        <w:spacing w:after="209" w:afterLines="67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二、企业证明材料列表</w:t>
      </w:r>
    </w:p>
    <w:p w14:paraId="3DDD0C5A">
      <w:pPr>
        <w:spacing w:after="209" w:afterLines="67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1、营业执照（加盖公章）</w:t>
      </w:r>
    </w:p>
    <w:p w14:paraId="4AC6F279">
      <w:pPr>
        <w:spacing w:after="209" w:afterLines="67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2、法定代表人证明书和法定代表人授权委托书（加盖公章）</w:t>
      </w:r>
    </w:p>
    <w:p w14:paraId="75ECC987">
      <w:pPr>
        <w:spacing w:after="209" w:afterLines="67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3、其他（公司简介、近5年类似项目业绩、企业荣誉、团队人员等）</w:t>
      </w:r>
    </w:p>
    <w:p w14:paraId="15394885">
      <w:pPr>
        <w:spacing w:after="209" w:afterLines="67" w:line="360" w:lineRule="auto"/>
        <w:rPr>
          <w:rFonts w:asciiTheme="minorEastAsia" w:hAnsiTheme="minorEastAsia" w:cstheme="minorEastAsia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Theme="minorEastAsia" w:hAnsiTheme="minorEastAsia" w:cstheme="minorEastAsia"/>
          <w:sz w:val="24"/>
          <w:szCs w:val="24"/>
        </w:rPr>
        <w:t>4、对项目采购需求的建议。</w:t>
      </w:r>
    </w:p>
    <w:p w14:paraId="4D684F63">
      <w:pPr>
        <w:spacing w:after="209" w:afterLines="67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三、需求响应情况（加盖公章）</w:t>
      </w:r>
    </w:p>
    <w:tbl>
      <w:tblPr>
        <w:tblStyle w:val="14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796"/>
        <w:gridCol w:w="10849"/>
        <w:gridCol w:w="1201"/>
        <w:gridCol w:w="802"/>
      </w:tblGrid>
      <w:tr w14:paraId="69783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1" w:type="pct"/>
            <w:vAlign w:val="center"/>
          </w:tcPr>
          <w:p w14:paraId="29410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4111" w:type="pct"/>
            <w:gridSpan w:val="2"/>
            <w:vAlign w:val="center"/>
          </w:tcPr>
          <w:p w14:paraId="0382A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需求条款</w:t>
            </w:r>
          </w:p>
        </w:tc>
        <w:tc>
          <w:tcPr>
            <w:tcW w:w="423" w:type="pct"/>
            <w:vAlign w:val="center"/>
          </w:tcPr>
          <w:p w14:paraId="3B8A6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响应情况（完全满足/部分满足/不满足）</w:t>
            </w:r>
          </w:p>
        </w:tc>
        <w:tc>
          <w:tcPr>
            <w:tcW w:w="283" w:type="pct"/>
            <w:vAlign w:val="center"/>
          </w:tcPr>
          <w:p w14:paraId="0977A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备注（描述偏离情况）</w:t>
            </w:r>
          </w:p>
        </w:tc>
      </w:tr>
      <w:tr w14:paraId="28EE5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1" w:type="pct"/>
            <w:shd w:val="clear" w:color="auto" w:fill="auto"/>
            <w:vAlign w:val="center"/>
          </w:tcPr>
          <w:p w14:paraId="0D17C4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1" w:type="pct"/>
            <w:vAlign w:val="center"/>
          </w:tcPr>
          <w:p w14:paraId="56204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1" w:name="_Toc227921671"/>
            <w:r>
              <w:rPr>
                <w:rFonts w:hint="eastAsia" w:ascii="宋体" w:hAnsi="宋体" w:eastAsia="宋体" w:cs="宋体"/>
                <w:sz w:val="24"/>
                <w:szCs w:val="24"/>
              </w:rPr>
              <w:t>一、项目背景</w:t>
            </w:r>
            <w:bookmarkEnd w:id="1"/>
          </w:p>
          <w:p w14:paraId="4A469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830" w:type="pct"/>
            <w:vAlign w:val="center"/>
          </w:tcPr>
          <w:p w14:paraId="4D160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招标人于2022年采购了一套WAF系统，为保障WAF系统的正常运行和持续提供IPTV业务的安全防护，计划采购1年7*24小时维保服务。 </w:t>
            </w:r>
          </w:p>
        </w:tc>
        <w:tc>
          <w:tcPr>
            <w:tcW w:w="423" w:type="pct"/>
            <w:vAlign w:val="center"/>
          </w:tcPr>
          <w:p w14:paraId="4B7CD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14:paraId="72D53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364C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1" w:type="pct"/>
            <w:vAlign w:val="center"/>
          </w:tcPr>
          <w:p w14:paraId="3D506C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71C05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2" w:name="_Toc231285895"/>
            <w:bookmarkStart w:id="3" w:name="_Toc92295849"/>
            <w:r>
              <w:rPr>
                <w:rFonts w:hint="eastAsia" w:ascii="宋体" w:hAnsi="宋体" w:eastAsia="宋体" w:cs="宋体"/>
                <w:sz w:val="24"/>
                <w:szCs w:val="24"/>
              </w:rPr>
              <w:t>二、</w:t>
            </w:r>
            <w:bookmarkEnd w:id="2"/>
            <w:bookmarkEnd w:id="3"/>
            <w:r>
              <w:rPr>
                <w:rFonts w:hint="eastAsia" w:ascii="宋体" w:hAnsi="宋体" w:eastAsia="宋体" w:cs="宋体"/>
                <w:sz w:val="24"/>
                <w:szCs w:val="24"/>
              </w:rPr>
              <w:t>维保服务内容</w:t>
            </w:r>
          </w:p>
        </w:tc>
        <w:tc>
          <w:tcPr>
            <w:tcW w:w="3830" w:type="pct"/>
            <w:vAlign w:val="center"/>
          </w:tcPr>
          <w:p w14:paraId="00B8F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（一）维护和技术支持服务内容</w:t>
            </w:r>
          </w:p>
          <w:p w14:paraId="1FD81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1、维护和技术支持服务内容</w:t>
            </w:r>
          </w:p>
          <w:p w14:paraId="119F5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维护和技术支持服务包括维保覆盖相关网络故障处理服务、软件更新服务、健康检查服务、网络巡检服务、技术支持服务和应急保障服务等内容。</w:t>
            </w:r>
          </w:p>
          <w:p w14:paraId="6FE56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2、服务范围</w:t>
            </w:r>
          </w:p>
          <w:p w14:paraId="5A446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对维保覆盖软件故障处理服务、软件更新服务、巡检服务、网络健康检查服务、技术支持服务和应急保障服务等，协助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开展设备系统优化、业务迁移及割接等工作。</w:t>
            </w:r>
          </w:p>
          <w:p w14:paraId="0AC2BA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提供巡检服务不少于4次/年。</w:t>
            </w:r>
          </w:p>
          <w:p w14:paraId="5BDAD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4、客户跟踪服务</w:t>
            </w:r>
          </w:p>
          <w:p w14:paraId="26D73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由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专人定期对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进行相应调查，了解系统运营状况，及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需要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提供服务的方面，并对调查结果进行统计分析，由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专人根据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业务进展的发展变化提出新的解决方案，扩大业务范围，提供新的市场机会。</w:t>
            </w:r>
          </w:p>
          <w:p w14:paraId="1A558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5、重要节日保障支撑服务</w:t>
            </w:r>
          </w:p>
          <w:p w14:paraId="77BDE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提供特殊时段（如：两会期间、春节、劳动节、国庆节、年终、系统停机维护及用户认为必须的重要时段）的远程技术保障。</w:t>
            </w:r>
          </w:p>
        </w:tc>
        <w:tc>
          <w:tcPr>
            <w:tcW w:w="423" w:type="pct"/>
            <w:vAlign w:val="center"/>
          </w:tcPr>
          <w:p w14:paraId="79C57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14:paraId="258B7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F1E0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1" w:type="pct"/>
            <w:vAlign w:val="center"/>
          </w:tcPr>
          <w:p w14:paraId="56A708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1" w:type="pct"/>
            <w:vMerge w:val="continue"/>
            <w:vAlign w:val="center"/>
          </w:tcPr>
          <w:p w14:paraId="08E05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830" w:type="pct"/>
            <w:vAlign w:val="center"/>
          </w:tcPr>
          <w:p w14:paraId="4C6FD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（二）服务等级要求</w:t>
            </w:r>
          </w:p>
          <w:p w14:paraId="1CFA6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1、故障级别定义</w:t>
            </w:r>
          </w:p>
          <w:p w14:paraId="1A44B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故障级别由出现问题对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最终用户的影响的大小来决定。所有申请的级别都将由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支持机构共同决定，并以最终用户业务为重。</w:t>
            </w:r>
          </w:p>
          <w:p w14:paraId="3F97B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a)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 xml:space="preserve">一级故障 </w:t>
            </w:r>
          </w:p>
          <w:p w14:paraId="543CA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-在商业、经济、技术、安全等方面给最终用户造成重大损失的故障。</w:t>
            </w:r>
          </w:p>
          <w:p w14:paraId="79B00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-严重影响整个或局部系统运行，系统功能，或系统可靠性的故障。</w:t>
            </w:r>
          </w:p>
          <w:p w14:paraId="33530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-严重影响最终用户服务质量的故障。</w:t>
            </w:r>
          </w:p>
          <w:p w14:paraId="7CFA4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例如：</w:t>
            </w:r>
          </w:p>
          <w:p w14:paraId="4D964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－设备系统瘫痪，致使无法向用户提供业务服务。</w:t>
            </w:r>
          </w:p>
          <w:p w14:paraId="1C3B2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－分节点故障，致使部分用户无法使用业务服务，不能提供正常网络服务。</w:t>
            </w:r>
          </w:p>
          <w:p w14:paraId="7E939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－受到大面积的安全攻击，致使大量重要业务无法使用。</w:t>
            </w:r>
          </w:p>
          <w:p w14:paraId="15E91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b)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 xml:space="preserve">二级故障 </w:t>
            </w:r>
          </w:p>
          <w:p w14:paraId="175F5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－在商业、经济、技术、安全等方面给最终用户造成较严重损失的故障。</w:t>
            </w:r>
          </w:p>
          <w:p w14:paraId="53690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－影响局部系统运行，系统功能，或系统可靠性的故障。</w:t>
            </w:r>
          </w:p>
          <w:p w14:paraId="7A617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－影响最终用户服务质量的故障。</w:t>
            </w:r>
          </w:p>
          <w:p w14:paraId="7C749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例如：</w:t>
            </w:r>
          </w:p>
          <w:p w14:paraId="00E88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－单台设备故障，致使失去冗余备份，系统整体的的可靠性降低。</w:t>
            </w:r>
          </w:p>
          <w:p w14:paraId="38239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－设备性能超负荷，致使最终用户感受到业务性能下降。</w:t>
            </w:r>
          </w:p>
          <w:p w14:paraId="71122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c)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三级故障</w:t>
            </w:r>
          </w:p>
          <w:p w14:paraId="77C56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－对最终用户造成较轻微影响的故障。</w:t>
            </w:r>
          </w:p>
          <w:p w14:paraId="028B1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－对产品功能造成轻微影响的故障。</w:t>
            </w:r>
          </w:p>
          <w:p w14:paraId="2FE94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－在商业、经济方面给最终用户造成轻微损失的故障。</w:t>
            </w:r>
          </w:p>
          <w:p w14:paraId="103B2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－除紧急故障和严重故障外的其他问题。</w:t>
            </w:r>
          </w:p>
          <w:p w14:paraId="7E8F0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例如：</w:t>
            </w:r>
          </w:p>
          <w:p w14:paraId="61CAA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－一般节点故障，导致为部分用户提供的服务质量较差。</w:t>
            </w:r>
          </w:p>
          <w:p w14:paraId="768BC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－显示错误。</w:t>
            </w:r>
          </w:p>
          <w:p w14:paraId="3B033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－文件出错。</w:t>
            </w:r>
          </w:p>
          <w:p w14:paraId="10C63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2、故障处理服务规范</w:t>
            </w:r>
          </w:p>
          <w:p w14:paraId="78E30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维护人员发现故障后，向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申告故障，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在收到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申告后为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进行故障处理服务，并根据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申告的故障级别提供相应的服务。</w:t>
            </w:r>
          </w:p>
          <w:p w14:paraId="6DDEC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a)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一级故障</w:t>
            </w:r>
          </w:p>
          <w:p w14:paraId="19B0E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在收到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故障申告后，应立即联系相关工程师，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工程师在5分钟内给予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电话响应，15分钟内远程登陆网络。</w:t>
            </w:r>
          </w:p>
          <w:p w14:paraId="234EF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如果需要到现场，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需在保证远程处理的同时增派驻点工程师到达现场，广州120分钟内到达现场。</w:t>
            </w:r>
          </w:p>
          <w:p w14:paraId="09CD5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工程师需制定可行的临时应急方案，并在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许可后实施，在30分钟内恢复业务基本运行，使网络恢复到不影响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重要业务的运行或最终用户仅感受业务质量有轻微下降。</w:t>
            </w:r>
          </w:p>
          <w:p w14:paraId="024F4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工程师在12小时内解决全部故障，其中包括硬件提供和更换的时间。</w:t>
            </w:r>
          </w:p>
          <w:p w14:paraId="7AC82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工程师在故障最终解决后1个工作日内提供故障报告。</w:t>
            </w:r>
          </w:p>
          <w:p w14:paraId="219E5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b)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二级故障</w:t>
            </w:r>
          </w:p>
          <w:p w14:paraId="2DFFB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在收到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故障申告后，应立即联系相关工程师，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工程师在10分钟内给予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电话响应，20分钟内远程登陆网络。</w:t>
            </w:r>
          </w:p>
          <w:p w14:paraId="75EAA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如果需要到现场，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需在保证远程处理的同时增派驻点工程师到达现场，广州节点2小时内到达现场，深圳、佛山等节点4小时内到达现场。</w:t>
            </w:r>
          </w:p>
          <w:p w14:paraId="3C610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工程师需制定可行的临时应急方案，并在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许可后实施，在30分钟内恢复业务基本运行，使设备或系统恢复到不影响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重要业务的运行或最终用户仅感受业务质量有轻微下降。</w:t>
            </w:r>
          </w:p>
          <w:p w14:paraId="04A7D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工程师在24小时内解决全部故障，其中包括硬件更换的时间。</w:t>
            </w:r>
          </w:p>
          <w:p w14:paraId="04D7D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工程师在故障最终解决后1个工作日内提供故障报告。</w:t>
            </w:r>
          </w:p>
          <w:p w14:paraId="314CC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jc w:val="left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c)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三级故障</w:t>
            </w:r>
          </w:p>
          <w:p w14:paraId="27632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在收到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故障申告后，应立即联系相关工程师，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工程师在30分钟内给予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电话响应，2小时内远程登陆网络。</w:t>
            </w:r>
          </w:p>
          <w:p w14:paraId="552D3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如果需要到现场，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派工程师在1个工作日内到达现场。</w:t>
            </w:r>
          </w:p>
          <w:p w14:paraId="4B569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工程师需制定可行的临时应急方案，并在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许可后实施，在1个工作日内恢复业务基本运行，使网络恢复到不影响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重要业务的运行或最终用户仅感受业务质量有轻微下降。</w:t>
            </w:r>
          </w:p>
          <w:p w14:paraId="46A9D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工程师在3个工作日内解决全部故障，其中包括硬件提供和更换的时间。</w:t>
            </w:r>
          </w:p>
          <w:p w14:paraId="10910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工程师在故障最终解决后2个工作日内提供故障报告。</w:t>
            </w:r>
          </w:p>
          <w:p w14:paraId="6932C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要求通过先进、标准、可控的技术、工具和方法，安装系统，评估系统趋势，定位系统运行瓶颈，实现系统稳定运行、各项性能指标正常高效、故障响应和处理及时、提升系统运行质量。</w:t>
            </w:r>
          </w:p>
        </w:tc>
        <w:tc>
          <w:tcPr>
            <w:tcW w:w="423" w:type="pct"/>
            <w:vAlign w:val="center"/>
          </w:tcPr>
          <w:p w14:paraId="0E3DD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14:paraId="0BE6A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6569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1" w:type="pct"/>
            <w:vAlign w:val="center"/>
          </w:tcPr>
          <w:p w14:paraId="0C3326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1" w:type="pct"/>
            <w:vAlign w:val="center"/>
          </w:tcPr>
          <w:p w14:paraId="2DE49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三、服务时间</w:t>
            </w:r>
          </w:p>
        </w:tc>
        <w:tc>
          <w:tcPr>
            <w:tcW w:w="3830" w:type="pct"/>
            <w:vAlign w:val="center"/>
          </w:tcPr>
          <w:p w14:paraId="1F70A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line="25" w:lineRule="atLeast"/>
              <w:ind w:firstLine="42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期：项目维保周期从签订合同起算1年，具体生效时间以WAF系统原维保实际到期日(实际到期日以“维保覆盖说明”表格中“原维保到期日期”为准)次日开始生效，如合同签订日期晚于WAF系统原维保实际到期日期，则以合同签订日期的次日作为WAF系统维保服务的起始日期。</w:t>
            </w:r>
          </w:p>
        </w:tc>
        <w:tc>
          <w:tcPr>
            <w:tcW w:w="423" w:type="pct"/>
            <w:vAlign w:val="center"/>
          </w:tcPr>
          <w:p w14:paraId="74662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14:paraId="2AB47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32A4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1" w:type="pct"/>
            <w:vAlign w:val="center"/>
          </w:tcPr>
          <w:p w14:paraId="799BB6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1" w:type="pct"/>
            <w:vAlign w:val="center"/>
          </w:tcPr>
          <w:p w14:paraId="785D2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4" w:name="_Toc227921681"/>
            <w:r>
              <w:rPr>
                <w:rFonts w:hint="eastAsia" w:ascii="宋体" w:hAnsi="宋体" w:eastAsia="宋体" w:cs="宋体"/>
                <w:sz w:val="24"/>
                <w:szCs w:val="24"/>
              </w:rPr>
              <w:t>四、</w:t>
            </w:r>
            <w:bookmarkEnd w:id="4"/>
            <w:r>
              <w:rPr>
                <w:rFonts w:hint="eastAsia" w:ascii="宋体" w:hAnsi="宋体" w:eastAsia="宋体" w:cs="宋体"/>
                <w:sz w:val="24"/>
                <w:szCs w:val="24"/>
              </w:rPr>
              <w:t>维保覆盖说明</w:t>
            </w:r>
          </w:p>
          <w:p w14:paraId="158C6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830" w:type="pct"/>
            <w:vAlign w:val="center"/>
          </w:tcPr>
          <w:p w14:paraId="489C0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25" w:lineRule="atLeast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本次维保采购覆盖的清单如下：</w:t>
            </w:r>
          </w:p>
          <w:tbl>
            <w:tblPr>
              <w:tblStyle w:val="1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80"/>
              <w:gridCol w:w="1182"/>
              <w:gridCol w:w="567"/>
              <w:gridCol w:w="567"/>
              <w:gridCol w:w="2825"/>
              <w:gridCol w:w="2575"/>
            </w:tblGrid>
            <w:tr w14:paraId="285FFFC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7" w:hRule="atLeast"/>
              </w:trPr>
              <w:tc>
                <w:tcPr>
                  <w:tcW w:w="580" w:type="dxa"/>
                  <w:vAlign w:val="center"/>
                </w:tcPr>
                <w:p w14:paraId="6C6EF90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156" w:afterLines="50" w:line="25" w:lineRule="atLeast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1182" w:type="dxa"/>
                  <w:vAlign w:val="center"/>
                </w:tcPr>
                <w:p w14:paraId="685F88B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156" w:afterLines="50" w:line="25" w:lineRule="atLeast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</w:rPr>
                    <w:t>名称</w:t>
                  </w:r>
                </w:p>
              </w:tc>
              <w:tc>
                <w:tcPr>
                  <w:tcW w:w="567" w:type="dxa"/>
                  <w:vAlign w:val="center"/>
                </w:tcPr>
                <w:p w14:paraId="1EF1F94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156" w:afterLines="50" w:line="25" w:lineRule="atLeast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</w:rPr>
                    <w:t>数量</w:t>
                  </w:r>
                </w:p>
              </w:tc>
              <w:tc>
                <w:tcPr>
                  <w:tcW w:w="567" w:type="dxa"/>
                  <w:vAlign w:val="center"/>
                </w:tcPr>
                <w:p w14:paraId="31C5E64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156" w:afterLines="50" w:line="25" w:lineRule="atLeast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</w:rPr>
                    <w:t>单位</w:t>
                  </w:r>
                </w:p>
              </w:tc>
              <w:tc>
                <w:tcPr>
                  <w:tcW w:w="2825" w:type="dxa"/>
                  <w:vAlign w:val="center"/>
                </w:tcPr>
                <w:p w14:paraId="5A7E16F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156" w:afterLines="50" w:line="25" w:lineRule="atLeast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</w:rPr>
                    <w:t>备注</w:t>
                  </w:r>
                </w:p>
              </w:tc>
              <w:tc>
                <w:tcPr>
                  <w:tcW w:w="2575" w:type="dxa"/>
                  <w:vAlign w:val="center"/>
                </w:tcPr>
                <w:p w14:paraId="501E910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156" w:afterLines="50" w:line="25" w:lineRule="atLeast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</w:rPr>
                    <w:t>原维保到期日期</w:t>
                  </w:r>
                </w:p>
              </w:tc>
            </w:tr>
            <w:tr w14:paraId="5B88A06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80" w:type="dxa"/>
                  <w:vAlign w:val="center"/>
                </w:tcPr>
                <w:p w14:paraId="46F2473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156" w:afterLines="50" w:line="25" w:lineRule="atLeast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82" w:type="dxa"/>
                  <w:vAlign w:val="center"/>
                </w:tcPr>
                <w:p w14:paraId="03EE5AC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156" w:afterLines="50" w:line="25" w:lineRule="atLeast"/>
                    <w:textAlignment w:val="auto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长亭雷驰WAF系统维保服务</w:t>
                  </w:r>
                </w:p>
              </w:tc>
              <w:tc>
                <w:tcPr>
                  <w:tcW w:w="567" w:type="dxa"/>
                  <w:vAlign w:val="center"/>
                </w:tcPr>
                <w:p w14:paraId="3CB6A6C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156" w:afterLines="50" w:line="25" w:lineRule="atLeast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14:paraId="0E37CB6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156" w:afterLines="50" w:line="25" w:lineRule="atLeast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年</w:t>
                  </w:r>
                </w:p>
              </w:tc>
              <w:tc>
                <w:tcPr>
                  <w:tcW w:w="2825" w:type="dxa"/>
                  <w:vAlign w:val="center"/>
                </w:tcPr>
                <w:p w14:paraId="1CD61EF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5" w:lineRule="atLeast"/>
                    <w:textAlignment w:val="auto"/>
                    <w:rPr>
                      <w:rFonts w:hint="eastAsia" w:ascii="宋体" w:hAnsi="宋体" w:eastAsia="宋体" w:cs="宋体"/>
                      <w:bCs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napToGrid w:val="0"/>
                      <w:kern w:val="0"/>
                      <w:sz w:val="24"/>
                      <w:szCs w:val="24"/>
                    </w:rPr>
                    <w:t>系统(包括管理节点、检测节点、各项服务模块)正常使用的维护、修改、升级、替换及其应当提供的支持服务:</w:t>
                  </w:r>
                </w:p>
                <w:p w14:paraId="5BE9F67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5" w:lineRule="atLeast"/>
                    <w:textAlignment w:val="auto"/>
                    <w:rPr>
                      <w:rFonts w:hint="eastAsia" w:ascii="宋体" w:hAnsi="宋体" w:eastAsia="宋体" w:cs="宋体"/>
                      <w:bCs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napToGrid w:val="0"/>
                      <w:kern w:val="0"/>
                      <w:sz w:val="24"/>
                      <w:szCs w:val="24"/>
                    </w:rPr>
                    <w:t>1、7*24小时服务，服务内容含远程支持响应服务和系统免费升级服务；重大故障上门服务。</w:t>
                  </w:r>
                </w:p>
                <w:p w14:paraId="0D7B56E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5" w:lineRule="atLeast"/>
                    <w:textAlignment w:val="auto"/>
                    <w:rPr>
                      <w:rFonts w:hint="eastAsia" w:ascii="宋体" w:hAnsi="宋体" w:eastAsia="宋体" w:cs="宋体"/>
                      <w:bCs/>
                      <w:snapToGrid w:val="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napToGrid w:val="0"/>
                      <w:kern w:val="0"/>
                      <w:sz w:val="24"/>
                      <w:szCs w:val="24"/>
                    </w:rPr>
                    <w:t>2、提供专门的客户热线电话、网站、邮件等在线方式，及专业的客服人员受理服务请求（咨询、建议、投诉和故障等）。</w:t>
                  </w:r>
                </w:p>
              </w:tc>
              <w:tc>
                <w:tcPr>
                  <w:tcW w:w="2575" w:type="dxa"/>
                  <w:vAlign w:val="center"/>
                </w:tcPr>
                <w:p w14:paraId="05EC999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156" w:afterLines="50" w:line="25" w:lineRule="atLeast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2027年1月18日</w:t>
                  </w:r>
                </w:p>
              </w:tc>
            </w:tr>
          </w:tbl>
          <w:p w14:paraId="29CD1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line="25" w:lineRule="atLeas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26D2C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14:paraId="42BA8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2122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1" w:type="pct"/>
            <w:vAlign w:val="center"/>
          </w:tcPr>
          <w:p w14:paraId="3F0F51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1" w:type="pct"/>
            <w:vAlign w:val="center"/>
          </w:tcPr>
          <w:p w14:paraId="7C2F2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五、付款方式</w:t>
            </w:r>
          </w:p>
        </w:tc>
        <w:tc>
          <w:tcPr>
            <w:tcW w:w="3830" w:type="pct"/>
            <w:vAlign w:val="center"/>
          </w:tcPr>
          <w:p w14:paraId="0CE8B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line="25" w:lineRule="atLeas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按月/季度/年/指定周期，通过项目阶段验收或提供证明材料并根据考核评分结果，在完成该周期服务后，分期平均支付。</w:t>
            </w:r>
          </w:p>
        </w:tc>
        <w:tc>
          <w:tcPr>
            <w:tcW w:w="423" w:type="pct"/>
            <w:vAlign w:val="center"/>
          </w:tcPr>
          <w:p w14:paraId="2C5BB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14:paraId="7BA61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0034E0AC">
      <w:pPr>
        <w:spacing w:after="213" w:afterLines="67"/>
        <w:jc w:val="both"/>
        <w:rPr>
          <w:rFonts w:asciiTheme="minorEastAsia" w:hAnsiTheme="minorEastAsia" w:cstheme="minorEastAsia"/>
          <w:b/>
          <w:bCs/>
          <w:sz w:val="24"/>
          <w:szCs w:val="24"/>
        </w:rPr>
      </w:pPr>
      <w:bookmarkStart w:id="5" w:name="_GoBack"/>
      <w:bookmarkEnd w:id="5"/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09354303"/>
    </w:sdtPr>
    <w:sdtEndPr>
      <w:rPr>
        <w:rFonts w:asciiTheme="minorEastAsia" w:hAnsiTheme="minorEastAsia"/>
        <w:sz w:val="24"/>
        <w:szCs w:val="24"/>
      </w:rPr>
    </w:sdtEndPr>
    <w:sdtContent>
      <w:p w14:paraId="74DC1B63">
        <w:pPr>
          <w:pStyle w:val="10"/>
          <w:jc w:val="center"/>
          <w:rPr>
            <w:rFonts w:asciiTheme="minorEastAsia" w:hAnsiTheme="minorEastAsia"/>
            <w:sz w:val="24"/>
            <w:szCs w:val="24"/>
          </w:rPr>
        </w:pPr>
        <w:r>
          <w:rPr>
            <w:rFonts w:asciiTheme="minorEastAsia" w:hAnsiTheme="minorEastAsia"/>
            <w:sz w:val="24"/>
            <w:szCs w:val="24"/>
          </w:rPr>
          <w:fldChar w:fldCharType="begin"/>
        </w:r>
        <w:r>
          <w:rPr>
            <w:rFonts w:asciiTheme="minorEastAsia" w:hAnsiTheme="minorEastAsia"/>
            <w:sz w:val="24"/>
            <w:szCs w:val="24"/>
          </w:rPr>
          <w:instrText xml:space="preserve">PAGE   \* MERGEFORMAT</w:instrText>
        </w:r>
        <w:r>
          <w:rPr>
            <w:rFonts w:asciiTheme="minorEastAsia" w:hAnsiTheme="minorEastAsia"/>
            <w:sz w:val="24"/>
            <w:szCs w:val="24"/>
          </w:rPr>
          <w:fldChar w:fldCharType="separate"/>
        </w:r>
        <w:r>
          <w:rPr>
            <w:rFonts w:asciiTheme="minorEastAsia" w:hAnsiTheme="minorEastAsia"/>
            <w:sz w:val="24"/>
            <w:szCs w:val="24"/>
            <w:lang w:val="zh-CN"/>
          </w:rPr>
          <w:t>16</w:t>
        </w:r>
        <w:r>
          <w:rPr>
            <w:rFonts w:asciiTheme="minorEastAsia" w:hAnsiTheme="minorEastAsia"/>
            <w:sz w:val="24"/>
            <w:szCs w:val="24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7E4C18"/>
    <w:multiLevelType w:val="singleLevel"/>
    <w:tmpl w:val="9A7E4C1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26007FCA"/>
    <w:multiLevelType w:val="multilevel"/>
    <w:tmpl w:val="26007FCA"/>
    <w:lvl w:ilvl="0" w:tentative="0">
      <w:start w:val="1"/>
      <w:numFmt w:val="chineseCountingThousand"/>
      <w:pStyle w:val="2"/>
      <w:lvlText w:val="%1、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lvlText w:val="3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3.5.%3 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lvlText w:val="3.5.1.%4 "/>
      <w:lvlJc w:val="left"/>
      <w:pPr>
        <w:tabs>
          <w:tab w:val="left" w:pos="1440"/>
        </w:tabs>
        <w:ind w:left="1000" w:hanging="100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2">
    <w:nsid w:val="2BEE12A5"/>
    <w:multiLevelType w:val="multilevel"/>
    <w:tmpl w:val="2BEE12A5"/>
    <w:lvl w:ilvl="0" w:tentative="0">
      <w:start w:val="1"/>
      <w:numFmt w:val="japaneseCounting"/>
      <w:lvlText w:val="%1、"/>
      <w:lvlJc w:val="left"/>
      <w:pPr>
        <w:ind w:left="495" w:hanging="49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A360F5C"/>
    <w:multiLevelType w:val="singleLevel"/>
    <w:tmpl w:val="4A360F5C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dkNmU4ZTA0YjI0Zjg3NjA5OWQ4ZDUyMWVkYjZkNzIifQ=="/>
  </w:docVars>
  <w:rsids>
    <w:rsidRoot w:val="509C3417"/>
    <w:rsid w:val="001841B4"/>
    <w:rsid w:val="001C59E0"/>
    <w:rsid w:val="00231D84"/>
    <w:rsid w:val="005E15D2"/>
    <w:rsid w:val="00687B51"/>
    <w:rsid w:val="006E3F95"/>
    <w:rsid w:val="00706D87"/>
    <w:rsid w:val="007D69C4"/>
    <w:rsid w:val="00943FEC"/>
    <w:rsid w:val="009A44E3"/>
    <w:rsid w:val="00B419DF"/>
    <w:rsid w:val="00B73413"/>
    <w:rsid w:val="00D60DFD"/>
    <w:rsid w:val="00DF1D82"/>
    <w:rsid w:val="00EC18DF"/>
    <w:rsid w:val="01544C76"/>
    <w:rsid w:val="02AE1145"/>
    <w:rsid w:val="036C34DA"/>
    <w:rsid w:val="03A4265D"/>
    <w:rsid w:val="04B35139"/>
    <w:rsid w:val="050A1AB6"/>
    <w:rsid w:val="069521F9"/>
    <w:rsid w:val="0730481F"/>
    <w:rsid w:val="078D3A1F"/>
    <w:rsid w:val="08601134"/>
    <w:rsid w:val="0AC97464"/>
    <w:rsid w:val="0BBA6DAD"/>
    <w:rsid w:val="101A3C7B"/>
    <w:rsid w:val="10CE4387"/>
    <w:rsid w:val="11A150AB"/>
    <w:rsid w:val="11EA0E33"/>
    <w:rsid w:val="13C857F6"/>
    <w:rsid w:val="18491716"/>
    <w:rsid w:val="186B5062"/>
    <w:rsid w:val="1AD47E27"/>
    <w:rsid w:val="1EF65EF6"/>
    <w:rsid w:val="21FD7606"/>
    <w:rsid w:val="220420C6"/>
    <w:rsid w:val="258B383C"/>
    <w:rsid w:val="25B33FCA"/>
    <w:rsid w:val="25EE55BB"/>
    <w:rsid w:val="27C63FD7"/>
    <w:rsid w:val="2A050591"/>
    <w:rsid w:val="2E2B5035"/>
    <w:rsid w:val="2E9322F5"/>
    <w:rsid w:val="30E12562"/>
    <w:rsid w:val="324A4137"/>
    <w:rsid w:val="33F705B7"/>
    <w:rsid w:val="35750372"/>
    <w:rsid w:val="35F745D6"/>
    <w:rsid w:val="360712B0"/>
    <w:rsid w:val="38B40117"/>
    <w:rsid w:val="3CAB670C"/>
    <w:rsid w:val="3CE32368"/>
    <w:rsid w:val="3FD057F7"/>
    <w:rsid w:val="402B55A8"/>
    <w:rsid w:val="426A1DB3"/>
    <w:rsid w:val="450F36EA"/>
    <w:rsid w:val="45F750AA"/>
    <w:rsid w:val="46384F0C"/>
    <w:rsid w:val="47602763"/>
    <w:rsid w:val="476C2E05"/>
    <w:rsid w:val="4B246E03"/>
    <w:rsid w:val="4CAC5CC3"/>
    <w:rsid w:val="4EAB089F"/>
    <w:rsid w:val="4EE243ED"/>
    <w:rsid w:val="4F1934A7"/>
    <w:rsid w:val="50792C6A"/>
    <w:rsid w:val="509C3417"/>
    <w:rsid w:val="51E87E4E"/>
    <w:rsid w:val="52EE0219"/>
    <w:rsid w:val="5A4B1C58"/>
    <w:rsid w:val="5C975811"/>
    <w:rsid w:val="5EC75FCE"/>
    <w:rsid w:val="5F660EF9"/>
    <w:rsid w:val="61FEF1DB"/>
    <w:rsid w:val="62E745B8"/>
    <w:rsid w:val="62F010AB"/>
    <w:rsid w:val="630B0E65"/>
    <w:rsid w:val="63C27722"/>
    <w:rsid w:val="640B3432"/>
    <w:rsid w:val="671609C5"/>
    <w:rsid w:val="68E83A44"/>
    <w:rsid w:val="69943E5B"/>
    <w:rsid w:val="6AD46028"/>
    <w:rsid w:val="6B590552"/>
    <w:rsid w:val="6CA53D7D"/>
    <w:rsid w:val="6FB46293"/>
    <w:rsid w:val="715156A2"/>
    <w:rsid w:val="76343069"/>
    <w:rsid w:val="77515232"/>
    <w:rsid w:val="779605E4"/>
    <w:rsid w:val="77BB3365"/>
    <w:rsid w:val="7AAF67FA"/>
    <w:rsid w:val="7B117AF2"/>
    <w:rsid w:val="7CB00608"/>
    <w:rsid w:val="F7FFB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iPriority="99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pageBreakBefore/>
      <w:numPr>
        <w:ilvl w:val="0"/>
        <w:numId w:val="1"/>
      </w:numPr>
      <w:spacing w:before="340" w:afterLines="50" w:line="578" w:lineRule="auto"/>
      <w:outlineLvl w:val="0"/>
    </w:pPr>
    <w:rPr>
      <w:rFonts w:eastAsia="黑体" w:cs="Times New Roman"/>
      <w:b/>
      <w:bCs/>
      <w:spacing w:val="20"/>
      <w:kern w:val="44"/>
      <w:sz w:val="36"/>
      <w:szCs w:val="44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3"/>
    <w:qFormat/>
    <w:uiPriority w:val="9"/>
    <w:pPr>
      <w:keepNext/>
      <w:keepLines/>
      <w:tabs>
        <w:tab w:val="left" w:pos="1079"/>
        <w:tab w:val="left" w:pos="1440"/>
      </w:tabs>
      <w:spacing w:before="280" w:line="377" w:lineRule="auto"/>
      <w:outlineLvl w:val="3"/>
    </w:pPr>
    <w:rPr>
      <w:rFonts w:ascii="Arial" w:hAnsi="Arial" w:eastAsia="黑体"/>
      <w:b/>
      <w:bCs/>
      <w:spacing w:val="10"/>
      <w:sz w:val="28"/>
      <w:szCs w:val="28"/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spacing w:afterLines="50" w:line="360" w:lineRule="auto"/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7">
    <w:name w:val="annotation text"/>
    <w:basedOn w:val="1"/>
    <w:semiHidden/>
    <w:qFormat/>
    <w:uiPriority w:val="0"/>
    <w:pPr>
      <w:jc w:val="left"/>
    </w:pPr>
  </w:style>
  <w:style w:type="paragraph" w:styleId="8">
    <w:name w:val="Body Text"/>
    <w:basedOn w:val="1"/>
    <w:qFormat/>
    <w:uiPriority w:val="99"/>
    <w:pPr>
      <w:spacing w:after="120"/>
    </w:pPr>
  </w:style>
  <w:style w:type="paragraph" w:styleId="9">
    <w:name w:val="Balloon Text"/>
    <w:basedOn w:val="1"/>
    <w:link w:val="19"/>
    <w:qFormat/>
    <w:uiPriority w:val="0"/>
    <w:rPr>
      <w:sz w:val="18"/>
      <w:szCs w:val="18"/>
    </w:rPr>
  </w:style>
  <w:style w:type="paragraph" w:styleId="10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index 1"/>
    <w:basedOn w:val="1"/>
    <w:next w:val="1"/>
    <w:unhideWhenUsed/>
    <w:qFormat/>
    <w:uiPriority w:val="99"/>
    <w:pPr>
      <w:spacing w:line="200" w:lineRule="atLeast"/>
      <w:jc w:val="center"/>
    </w:pPr>
    <w:rPr>
      <w:rFonts w:ascii="宋体" w:hAnsi="宋体"/>
    </w:rPr>
  </w:style>
  <w:style w:type="paragraph" w:styleId="13">
    <w:name w:val="Body Text First Indent"/>
    <w:basedOn w:val="8"/>
    <w:qFormat/>
    <w:uiPriority w:val="0"/>
    <w:pPr>
      <w:ind w:firstLine="420" w:firstLineChars="100"/>
    </w:pPr>
    <w:rPr>
      <w:szCs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页眉 Char"/>
    <w:basedOn w:val="16"/>
    <w:link w:val="11"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6"/>
    <w:link w:val="10"/>
    <w:qFormat/>
    <w:uiPriority w:val="99"/>
    <w:rPr>
      <w:kern w:val="2"/>
      <w:sz w:val="18"/>
      <w:szCs w:val="18"/>
    </w:rPr>
  </w:style>
  <w:style w:type="character" w:customStyle="1" w:styleId="19">
    <w:name w:val="批注框文本 Char"/>
    <w:basedOn w:val="16"/>
    <w:link w:val="9"/>
    <w:qFormat/>
    <w:uiPriority w:val="0"/>
    <w:rPr>
      <w:kern w:val="2"/>
      <w:sz w:val="18"/>
      <w:szCs w:val="18"/>
    </w:rPr>
  </w:style>
  <w:style w:type="character" w:customStyle="1" w:styleId="20">
    <w:name w:val="font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font01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paragraph" w:customStyle="1" w:styleId="22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eastAsia="en-US"/>
    </w:rPr>
  </w:style>
  <w:style w:type="table" w:customStyle="1" w:styleId="2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4">
    <w:name w:val="List Paragraph"/>
    <w:basedOn w:val="1"/>
    <w:qFormat/>
    <w:uiPriority w:val="99"/>
    <w:pPr>
      <w:ind w:firstLine="420" w:firstLineChars="200"/>
    </w:pPr>
  </w:style>
  <w:style w:type="paragraph" w:customStyle="1" w:styleId="25">
    <w:name w:val="Table Paragraph"/>
    <w:basedOn w:val="1"/>
    <w:qFormat/>
    <w:uiPriority w:val="1"/>
    <w:pPr>
      <w:autoSpaceDE w:val="0"/>
      <w:autoSpaceDN w:val="0"/>
      <w:adjustRightInd w:val="0"/>
      <w:spacing w:line="360" w:lineRule="auto"/>
      <w:ind w:firstLine="200" w:firstLineChars="200"/>
    </w:pPr>
    <w:rPr>
      <w:rFonts w:ascii="宋体" w:hAnsi="Times New Roman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2731</Words>
  <Characters>2796</Characters>
  <Lines>45</Lines>
  <Paragraphs>12</Paragraphs>
  <TotalTime>34</TotalTime>
  <ScaleCrop>false</ScaleCrop>
  <LinksUpToDate>false</LinksUpToDate>
  <CharactersWithSpaces>2868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2025-05-29T07:26:00Z</dcterms:created>
  <dc:creator>ZFCG</dc:creator>
  <cp:lastModifiedBy>gc</cp:lastModifiedBy>
  <dcterms:modified xsi:type="dcterms:W3CDTF">2026-08-04T09:57:59Z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06A602B205A548D5A6FC3390B4B08F0E_13</vt:lpwstr>
  </property>
  <property fmtid="{D5CDD505-2E9C-101B-9397-08002B2CF9AE}" pid="4" name="KSOTemplateDocerSaveRecord">
    <vt:lpwstr>eyJoZGlkIjoiOWI4OTFhYjYwMGQ4YzZhNjgxNmU0NDAzNjc3MzdhODkiLCJ1c2VySWQiOiI2MjU5ODg1NTIifQ==</vt:lpwstr>
  </property>
</Properties>
</file>