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695EA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709C000E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2026年IPTV专网BOSS系统优化建设项目</w:t>
      </w:r>
    </w:p>
    <w:p w14:paraId="0147AAD5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  <w:bookmarkStart w:id="1" w:name="_GoBack"/>
      <w:bookmarkEnd w:id="1"/>
    </w:p>
    <w:p w14:paraId="76268D06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72E0A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2079C3A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340FB6AE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3064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0F3F2E7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30757AA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D13952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67BFBF77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39F9F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623F03E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31E0A9D8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6157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7157BDD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4FCADD05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7EB99EA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6CCD2EB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859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4C3F393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4FEA841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0DBD112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1A9FB2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7D6EB6BB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37E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48EE054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03D0348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3D203D52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344DA3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10DCEAA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A5BD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223151B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E46A89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43A0BB7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4D346AE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1A678C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67092CA6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20DB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AE8536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6819004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41DF9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3977BE6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383816E2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31FC4B2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5E966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1B2E8BF6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22930F2B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1AD5A43A">
      <w:pPr>
        <w:pStyle w:val="13"/>
        <w:ind w:firstLine="0" w:firstLineChars="0"/>
      </w:pPr>
    </w:p>
    <w:p w14:paraId="7686FF84">
      <w:pP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br w:type="page"/>
      </w:r>
    </w:p>
    <w:p w14:paraId="3FF87687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二</w:t>
      </w: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、需求响应情况（加盖公章）</w:t>
      </w:r>
    </w:p>
    <w:tbl>
      <w:tblPr>
        <w:tblStyle w:val="14"/>
        <w:tblW w:w="524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3"/>
        <w:gridCol w:w="1144"/>
        <w:gridCol w:w="4793"/>
        <w:gridCol w:w="1568"/>
        <w:gridCol w:w="985"/>
      </w:tblGrid>
      <w:tr w14:paraId="34FC9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0D690DEC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640" w:type="pct"/>
            <w:vAlign w:val="center"/>
          </w:tcPr>
          <w:p w14:paraId="390819F1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  <w:lang w:val="en-US" w:eastAsia="zh-CN"/>
              </w:rPr>
              <w:t>需求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名称</w:t>
            </w:r>
          </w:p>
        </w:tc>
        <w:tc>
          <w:tcPr>
            <w:tcW w:w="2681" w:type="pct"/>
            <w:vAlign w:val="center"/>
          </w:tcPr>
          <w:p w14:paraId="3AF29F7B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功能描述</w:t>
            </w:r>
          </w:p>
        </w:tc>
        <w:tc>
          <w:tcPr>
            <w:tcW w:w="877" w:type="pct"/>
            <w:vAlign w:val="center"/>
          </w:tcPr>
          <w:p w14:paraId="48175FD0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551" w:type="pct"/>
            <w:vAlign w:val="center"/>
          </w:tcPr>
          <w:p w14:paraId="3D9D2618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502AE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2988F78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07E2DA9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用户认证与调度策略升级</w:t>
            </w:r>
          </w:p>
        </w:tc>
        <w:tc>
          <w:tcPr>
            <w:tcW w:w="2681" w:type="pct"/>
            <w:vAlign w:val="center"/>
          </w:tcPr>
          <w:p w14:paraId="671E3A4B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对现有 AAA 开机认证及调度策略体系进行优化升级，增强策略匹配灵活性与配置治理能力，完善异常场景下的兜底处理机制，实现多运营商、多用户群体环境下的稳定调度与一致访问路径控制。通过策略精细化管理与配置能力建设，降低配置风险与运维复杂度，提升认证链路稳定性与业务连续性。</w:t>
            </w:r>
          </w:p>
        </w:tc>
        <w:tc>
          <w:tcPr>
            <w:tcW w:w="877" w:type="pct"/>
            <w:vAlign w:val="center"/>
          </w:tcPr>
          <w:p w14:paraId="2714253F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4A3AAA2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64AE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2879237F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79579FAE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订购页面与支付体验优化</w:t>
            </w:r>
          </w:p>
        </w:tc>
        <w:tc>
          <w:tcPr>
            <w:tcW w:w="2681" w:type="pct"/>
            <w:vAlign w:val="center"/>
          </w:tcPr>
          <w:p w14:paraId="36087BFE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围绕订购与支付关键链路，对页面展示规则、支付验证方式及运营配置能力进行优化，通过引入快捷支付验证码、优化页面信息展示、完善探针上报等措施，确保消费过程的合规、透明与便捷，减少用户误操作与支付风险，促进订购转化效率与业务规范化运营。</w:t>
            </w:r>
          </w:p>
        </w:tc>
        <w:tc>
          <w:tcPr>
            <w:tcW w:w="877" w:type="pct"/>
            <w:vAlign w:val="center"/>
          </w:tcPr>
          <w:p w14:paraId="4CAD99C4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0C24B0E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392C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513F149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1C8CA473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商品与订单权益管理优化</w:t>
            </w:r>
          </w:p>
        </w:tc>
        <w:tc>
          <w:tcPr>
            <w:tcW w:w="2681" w:type="pct"/>
            <w:vAlign w:val="center"/>
          </w:tcPr>
          <w:p w14:paraId="46555337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对商品管理、订单处理、权益生效等核心流程进行优化。通过建立未生效订单的定时生效机制、引入消息乱序补偿处理、完善第三方充值交付能力，降低跨系统协同风险，有效应对时序问题，提高运营排查效率与业务链路可回溯能力。</w:t>
            </w:r>
          </w:p>
        </w:tc>
        <w:tc>
          <w:tcPr>
            <w:tcW w:w="877" w:type="pct"/>
            <w:vAlign w:val="center"/>
          </w:tcPr>
          <w:p w14:paraId="1A149DF0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494F71E7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10AC5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2E08423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2B50A01D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业务管理优化与终端能力适配</w:t>
            </w:r>
          </w:p>
        </w:tc>
        <w:tc>
          <w:tcPr>
            <w:tcW w:w="2681" w:type="pct"/>
            <w:vAlign w:val="center"/>
          </w:tcPr>
          <w:p w14:paraId="68D0AD2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优化用户管理与后台交互体验，提升客服与运营人员在高频操作场景下的处理效率，通过统一交互规则与提升系统响应效率，改善日常运维体验并降低操作成本。同时，针对jsview 6.0版页面进行全生命周期管理适配，并增强终端管理模块在大规模数据处理与分发方面的稳定性与性能。</w:t>
            </w:r>
          </w:p>
        </w:tc>
        <w:tc>
          <w:tcPr>
            <w:tcW w:w="877" w:type="pct"/>
            <w:vAlign w:val="center"/>
          </w:tcPr>
          <w:p w14:paraId="10BD85C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5B54ABB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6C42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7868D24F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4C975B5E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数据协同与系统安全改造</w:t>
            </w:r>
          </w:p>
        </w:tc>
        <w:tc>
          <w:tcPr>
            <w:tcW w:w="2681" w:type="pct"/>
            <w:vAlign w:val="center"/>
          </w:tcPr>
          <w:p w14:paraId="4F634ED8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围绕跨系统数据协同与用户信息安全治理开展优化建设，完善数据兼容机制与对外接口规范，加强敏感信息保护与日志安全控制。通过统一数据协同与安全治理策略，提高系统数据一致性与合规水平，降低数据风险。</w:t>
            </w:r>
          </w:p>
        </w:tc>
        <w:tc>
          <w:tcPr>
            <w:tcW w:w="877" w:type="pct"/>
            <w:vAlign w:val="center"/>
          </w:tcPr>
          <w:p w14:paraId="419AF2B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48D3543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C683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8" w:type="pct"/>
            <w:vAlign w:val="center"/>
          </w:tcPr>
          <w:p w14:paraId="4B3F8CB5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640" w:type="pct"/>
            <w:vAlign w:val="center"/>
          </w:tcPr>
          <w:p w14:paraId="5EEEC051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系统建设实施与运行保障优化</w:t>
            </w:r>
          </w:p>
        </w:tc>
        <w:tc>
          <w:tcPr>
            <w:tcW w:w="2681" w:type="pct"/>
            <w:vAlign w:val="center"/>
          </w:tcPr>
          <w:p w14:paraId="5607DAD3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通过部署架构优化、系统迁移实施及运行环境完善，提升系统在多运营商、多业务规模下的稳定运行能力。通过集群化改造与运行保障机制建设，提高系统高可用性与扩展能力，为后续业务持续发展提供基础支撑。</w:t>
            </w:r>
          </w:p>
        </w:tc>
        <w:tc>
          <w:tcPr>
            <w:tcW w:w="877" w:type="pct"/>
            <w:vAlign w:val="center"/>
          </w:tcPr>
          <w:p w14:paraId="354D4B8C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51" w:type="pct"/>
            <w:vAlign w:val="center"/>
          </w:tcPr>
          <w:p w14:paraId="552E7E7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</w:tbl>
    <w:p w14:paraId="5831A805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06A2B8FC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912E9"/>
    <w:rsid w:val="001B31A9"/>
    <w:rsid w:val="005E15D2"/>
    <w:rsid w:val="00687B51"/>
    <w:rsid w:val="006E3F95"/>
    <w:rsid w:val="00706D87"/>
    <w:rsid w:val="007F4EBD"/>
    <w:rsid w:val="00943FEC"/>
    <w:rsid w:val="00B419DF"/>
    <w:rsid w:val="00B71228"/>
    <w:rsid w:val="00B73413"/>
    <w:rsid w:val="00C106C7"/>
    <w:rsid w:val="00CB7498"/>
    <w:rsid w:val="00DF1D82"/>
    <w:rsid w:val="00EC18DF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0BF20AD4"/>
    <w:rsid w:val="0CEA556C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62730A1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B52171B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5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5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5">
    <w:name w:val="Body Text"/>
    <w:basedOn w:val="1"/>
    <w:qFormat/>
    <w:uiPriority w:val="99"/>
    <w:pPr>
      <w:spacing w:after="120"/>
    </w:p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5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5"/>
    <w:next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576</Words>
  <Characters>757</Characters>
  <Lines>12</Lines>
  <Paragraphs>3</Paragraphs>
  <TotalTime>1</TotalTime>
  <ScaleCrop>false</ScaleCrop>
  <LinksUpToDate>false</LinksUpToDate>
  <CharactersWithSpaces>767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2026-03-11T06:59:52Z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eyJoZGlkIjoiMzJjZWZkNmZmNGY0MGQ2MjExODA1MmQ4ZjQ2MTIyOWEiLCJ1c2VySWQiOiI2MjU5ODg1NTIifQ==</vt:lpwstr>
  </property>
</Properties>
</file>