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695EA">
      <w:pPr>
        <w:spacing w:after="209" w:afterLines="67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附件2</w:t>
      </w:r>
    </w:p>
    <w:p w14:paraId="709C000E">
      <w:pPr>
        <w:spacing w:after="209" w:afterLines="67"/>
        <w:jc w:val="center"/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2026年IPTV专网BOSS系统优化建设项目</w:t>
      </w:r>
    </w:p>
    <w:p w14:paraId="0147AAD5">
      <w:pPr>
        <w:spacing w:after="209" w:afterLines="67"/>
        <w:jc w:val="center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市场调研报价文件格式</w:t>
      </w:r>
      <w:bookmarkStart w:id="1" w:name="_GoBack"/>
      <w:bookmarkEnd w:id="1"/>
    </w:p>
    <w:p w14:paraId="76268D06">
      <w:pPr>
        <w:pStyle w:val="24"/>
        <w:numPr>
          <w:ilvl w:val="0"/>
          <w:numId w:val="2"/>
        </w:numPr>
        <w:spacing w:after="209" w:afterLines="67"/>
        <w:ind w:firstLineChars="0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供应商信息登记表</w:t>
      </w:r>
    </w:p>
    <w:tbl>
      <w:tblPr>
        <w:tblStyle w:val="14"/>
        <w:tblW w:w="544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9"/>
        <w:gridCol w:w="918"/>
        <w:gridCol w:w="2221"/>
        <w:gridCol w:w="1242"/>
        <w:gridCol w:w="2328"/>
      </w:tblGrid>
      <w:tr w14:paraId="72E0A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293" w:type="pct"/>
            <w:vAlign w:val="center"/>
          </w:tcPr>
          <w:p w14:paraId="2079C3A4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bookmarkStart w:id="0" w:name="_Hlk199424538"/>
            <w:r>
              <w:rPr>
                <w:rFonts w:hint="eastAsia" w:hAnsi="宋体" w:cs="仿宋"/>
              </w:rPr>
              <w:t>单位名称</w:t>
            </w:r>
          </w:p>
        </w:tc>
        <w:tc>
          <w:tcPr>
            <w:tcW w:w="3706" w:type="pct"/>
            <w:gridSpan w:val="4"/>
            <w:vAlign w:val="center"/>
          </w:tcPr>
          <w:p w14:paraId="340FB6AE">
            <w:pPr>
              <w:tabs>
                <w:tab w:val="left" w:pos="202"/>
              </w:tabs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33064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293" w:type="pct"/>
            <w:vAlign w:val="center"/>
          </w:tcPr>
          <w:p w14:paraId="0F3F2E76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注册资金</w:t>
            </w:r>
          </w:p>
        </w:tc>
        <w:tc>
          <w:tcPr>
            <w:tcW w:w="1734" w:type="pct"/>
            <w:gridSpan w:val="2"/>
            <w:vAlign w:val="center"/>
          </w:tcPr>
          <w:p w14:paraId="30757AA0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万元</w:t>
            </w:r>
          </w:p>
        </w:tc>
        <w:tc>
          <w:tcPr>
            <w:tcW w:w="686" w:type="pct"/>
            <w:vAlign w:val="center"/>
          </w:tcPr>
          <w:p w14:paraId="7D139526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成立时间</w:t>
            </w:r>
          </w:p>
        </w:tc>
        <w:tc>
          <w:tcPr>
            <w:tcW w:w="1285" w:type="pct"/>
            <w:vAlign w:val="center"/>
          </w:tcPr>
          <w:p w14:paraId="67BFBF77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年</w:t>
            </w:r>
            <w:r>
              <w:rPr>
                <w:rFonts w:ascii="宋体" w:hAnsi="宋体" w:eastAsia="宋体" w:cs="仿宋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月</w:t>
            </w:r>
            <w:r>
              <w:rPr>
                <w:rFonts w:ascii="宋体" w:hAnsi="宋体" w:eastAsia="宋体" w:cs="仿宋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日</w:t>
            </w:r>
          </w:p>
        </w:tc>
      </w:tr>
      <w:tr w14:paraId="39F9F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  <w:jc w:val="center"/>
        </w:trPr>
        <w:tc>
          <w:tcPr>
            <w:tcW w:w="1293" w:type="pct"/>
            <w:vAlign w:val="center"/>
          </w:tcPr>
          <w:p w14:paraId="623F03E0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注册地址</w:t>
            </w:r>
          </w:p>
        </w:tc>
        <w:tc>
          <w:tcPr>
            <w:tcW w:w="3706" w:type="pct"/>
            <w:gridSpan w:val="4"/>
            <w:vAlign w:val="center"/>
          </w:tcPr>
          <w:p w14:paraId="31E0A9D8">
            <w:pPr>
              <w:spacing w:line="400" w:lineRule="exact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26157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293" w:type="pct"/>
            <w:vAlign w:val="center"/>
          </w:tcPr>
          <w:p w14:paraId="7157BDD5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邮政编码</w:t>
            </w:r>
          </w:p>
        </w:tc>
        <w:tc>
          <w:tcPr>
            <w:tcW w:w="1734" w:type="pct"/>
            <w:gridSpan w:val="2"/>
            <w:vAlign w:val="center"/>
          </w:tcPr>
          <w:p w14:paraId="4FCADD05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7EB99EAE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员工总数</w:t>
            </w:r>
          </w:p>
        </w:tc>
        <w:tc>
          <w:tcPr>
            <w:tcW w:w="1285" w:type="pct"/>
            <w:vAlign w:val="center"/>
          </w:tcPr>
          <w:p w14:paraId="6CCD2EBA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58594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93" w:type="pct"/>
            <w:vMerge w:val="restart"/>
            <w:vAlign w:val="center"/>
          </w:tcPr>
          <w:p w14:paraId="4C3F393A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联系方式</w:t>
            </w:r>
          </w:p>
        </w:tc>
        <w:tc>
          <w:tcPr>
            <w:tcW w:w="507" w:type="pct"/>
            <w:vAlign w:val="center"/>
          </w:tcPr>
          <w:p w14:paraId="4FEA8412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联系人</w:t>
            </w:r>
          </w:p>
        </w:tc>
        <w:tc>
          <w:tcPr>
            <w:tcW w:w="1227" w:type="pct"/>
            <w:vAlign w:val="center"/>
          </w:tcPr>
          <w:p w14:paraId="0DBD112E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01A9FB22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电话</w:t>
            </w:r>
          </w:p>
        </w:tc>
        <w:tc>
          <w:tcPr>
            <w:tcW w:w="1285" w:type="pct"/>
            <w:vAlign w:val="center"/>
          </w:tcPr>
          <w:p w14:paraId="7D6EB6BB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437E2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93" w:type="pct"/>
            <w:vMerge w:val="continue"/>
            <w:vAlign w:val="center"/>
          </w:tcPr>
          <w:p w14:paraId="48EE0541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03D03489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网址</w:t>
            </w:r>
          </w:p>
        </w:tc>
        <w:tc>
          <w:tcPr>
            <w:tcW w:w="1227" w:type="pct"/>
            <w:vAlign w:val="center"/>
          </w:tcPr>
          <w:p w14:paraId="3D203D52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0344DA35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传真/邮箱</w:t>
            </w:r>
          </w:p>
        </w:tc>
        <w:tc>
          <w:tcPr>
            <w:tcW w:w="1285" w:type="pct"/>
            <w:vAlign w:val="center"/>
          </w:tcPr>
          <w:p w14:paraId="10DCEAAC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3A5BD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293" w:type="pct"/>
            <w:vAlign w:val="center"/>
          </w:tcPr>
          <w:p w14:paraId="223151BF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法定代表人</w:t>
            </w:r>
          </w:p>
          <w:p w14:paraId="2E46A890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（单位负责人）</w:t>
            </w:r>
          </w:p>
        </w:tc>
        <w:tc>
          <w:tcPr>
            <w:tcW w:w="507" w:type="pct"/>
            <w:vAlign w:val="center"/>
          </w:tcPr>
          <w:p w14:paraId="43A0BB7D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姓名</w:t>
            </w:r>
          </w:p>
        </w:tc>
        <w:tc>
          <w:tcPr>
            <w:tcW w:w="1227" w:type="pct"/>
            <w:vAlign w:val="center"/>
          </w:tcPr>
          <w:p w14:paraId="4D346AE1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51A678CE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电话</w:t>
            </w:r>
          </w:p>
        </w:tc>
        <w:tc>
          <w:tcPr>
            <w:tcW w:w="1285" w:type="pct"/>
            <w:vAlign w:val="center"/>
          </w:tcPr>
          <w:p w14:paraId="67092CA6">
            <w:pPr>
              <w:tabs>
                <w:tab w:val="left" w:pos="1426"/>
              </w:tabs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420DB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  <w:jc w:val="center"/>
        </w:trPr>
        <w:tc>
          <w:tcPr>
            <w:tcW w:w="1293" w:type="pct"/>
            <w:vAlign w:val="center"/>
          </w:tcPr>
          <w:p w14:paraId="5AE85363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与本项目采购需求相关的资质或者认证证书</w:t>
            </w:r>
          </w:p>
        </w:tc>
        <w:tc>
          <w:tcPr>
            <w:tcW w:w="3706" w:type="pct"/>
            <w:gridSpan w:val="4"/>
            <w:vAlign w:val="center"/>
          </w:tcPr>
          <w:p w14:paraId="6819004E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如有请罗列证书名称：</w:t>
            </w:r>
          </w:p>
        </w:tc>
      </w:tr>
      <w:tr w14:paraId="41DF9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  <w:jc w:val="center"/>
        </w:trPr>
        <w:tc>
          <w:tcPr>
            <w:tcW w:w="1293" w:type="pct"/>
            <w:vAlign w:val="center"/>
          </w:tcPr>
          <w:p w14:paraId="3977BE65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人员情况</w:t>
            </w:r>
          </w:p>
        </w:tc>
        <w:tc>
          <w:tcPr>
            <w:tcW w:w="3706" w:type="pct"/>
            <w:gridSpan w:val="4"/>
            <w:vAlign w:val="center"/>
          </w:tcPr>
          <w:p w14:paraId="383816E2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公司实有人员情况：</w:t>
            </w:r>
          </w:p>
          <w:p w14:paraId="31FC4B2E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广州地区人员情况：</w:t>
            </w:r>
          </w:p>
        </w:tc>
      </w:tr>
      <w:tr w14:paraId="5E966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1293" w:type="pct"/>
            <w:vAlign w:val="center"/>
          </w:tcPr>
          <w:p w14:paraId="1B2E8BF6">
            <w:pPr>
              <w:pStyle w:val="25"/>
              <w:kinsoku w:val="0"/>
              <w:overflowPunct w:val="0"/>
              <w:spacing w:line="44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备注</w:t>
            </w:r>
          </w:p>
        </w:tc>
        <w:tc>
          <w:tcPr>
            <w:tcW w:w="3706" w:type="pct"/>
            <w:gridSpan w:val="4"/>
            <w:vAlign w:val="center"/>
          </w:tcPr>
          <w:p w14:paraId="22930F2B">
            <w:pPr>
              <w:spacing w:line="44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bookmarkEnd w:id="0"/>
    </w:tbl>
    <w:p w14:paraId="1AD5A43A">
      <w:pPr>
        <w:pStyle w:val="13"/>
        <w:ind w:firstLine="0" w:firstLineChars="0"/>
      </w:pPr>
    </w:p>
    <w:p w14:paraId="7686FF84">
      <w:pP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br w:type="page"/>
      </w:r>
    </w:p>
    <w:p w14:paraId="3FF87687">
      <w:pPr>
        <w:spacing w:after="209" w:afterLines="67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二</w:t>
      </w: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、需求响应情况（加盖公章）</w:t>
      </w:r>
    </w:p>
    <w:tbl>
      <w:tblPr>
        <w:tblStyle w:val="14"/>
        <w:tblW w:w="524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"/>
        <w:gridCol w:w="1144"/>
        <w:gridCol w:w="4793"/>
        <w:gridCol w:w="1568"/>
        <w:gridCol w:w="985"/>
      </w:tblGrid>
      <w:tr w14:paraId="34FC9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48" w:type="pct"/>
            <w:vAlign w:val="center"/>
          </w:tcPr>
          <w:p w14:paraId="0D690DEC">
            <w:pPr>
              <w:spacing w:line="200" w:lineRule="atLeas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序号</w:t>
            </w:r>
          </w:p>
        </w:tc>
        <w:tc>
          <w:tcPr>
            <w:tcW w:w="640" w:type="pct"/>
            <w:vAlign w:val="center"/>
          </w:tcPr>
          <w:p w14:paraId="390819F1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需求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名称</w:t>
            </w:r>
          </w:p>
        </w:tc>
        <w:tc>
          <w:tcPr>
            <w:tcW w:w="2681" w:type="pct"/>
            <w:vAlign w:val="center"/>
          </w:tcPr>
          <w:p w14:paraId="3AF29F7B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功能描述</w:t>
            </w:r>
          </w:p>
        </w:tc>
        <w:tc>
          <w:tcPr>
            <w:tcW w:w="877" w:type="pct"/>
            <w:vAlign w:val="center"/>
          </w:tcPr>
          <w:p w14:paraId="48175FD0">
            <w:pPr>
              <w:spacing w:line="200" w:lineRule="atLeas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响应情况（完全满足/部分满足/不满足）</w:t>
            </w:r>
          </w:p>
        </w:tc>
        <w:tc>
          <w:tcPr>
            <w:tcW w:w="551" w:type="pct"/>
            <w:vAlign w:val="center"/>
          </w:tcPr>
          <w:p w14:paraId="3D9D2618">
            <w:pPr>
              <w:spacing w:line="200" w:lineRule="atLeas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备注（描述偏离情况）</w:t>
            </w:r>
          </w:p>
        </w:tc>
      </w:tr>
      <w:tr w14:paraId="502AE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48" w:type="pct"/>
            <w:vAlign w:val="center"/>
          </w:tcPr>
          <w:p w14:paraId="2988F788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640" w:type="pct"/>
            <w:vAlign w:val="center"/>
          </w:tcPr>
          <w:p w14:paraId="07E2DA96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用户认证与调度策略升级</w:t>
            </w:r>
          </w:p>
        </w:tc>
        <w:tc>
          <w:tcPr>
            <w:tcW w:w="2681" w:type="pct"/>
            <w:vAlign w:val="center"/>
          </w:tcPr>
          <w:p w14:paraId="671E3A4B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对现有 AAA 开机认证及调度策略体系进行优化升级，增强策略匹配灵活性与配置治理能力，完善异常场景下的兜底处理机制，实现多运营商、多用户群体环境下的稳定调度与一致访问路径控制。通过策略精细化管理与配置能力建设，降低配置风险与运维复杂度，提升认证链路稳定性与业务连续性。</w:t>
            </w:r>
          </w:p>
        </w:tc>
        <w:tc>
          <w:tcPr>
            <w:tcW w:w="877" w:type="pct"/>
            <w:vAlign w:val="center"/>
          </w:tcPr>
          <w:p w14:paraId="2714253F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51" w:type="pct"/>
            <w:vAlign w:val="center"/>
          </w:tcPr>
          <w:p w14:paraId="4A3AAA26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264AE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48" w:type="pct"/>
            <w:vAlign w:val="center"/>
          </w:tcPr>
          <w:p w14:paraId="2879237F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640" w:type="pct"/>
            <w:vAlign w:val="center"/>
          </w:tcPr>
          <w:p w14:paraId="79579FAE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订购页面与支付体验优化</w:t>
            </w:r>
          </w:p>
        </w:tc>
        <w:tc>
          <w:tcPr>
            <w:tcW w:w="2681" w:type="pct"/>
            <w:vAlign w:val="center"/>
          </w:tcPr>
          <w:p w14:paraId="36087BFE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围绕订购与支付关键链路，对页面展示规则、支付验证方式及运营配置能力进行优化，通过引入快捷支付验证码、优化页面信息展示、完善探针上报等措施，确保消费过程的合规、透明与便捷，减少用户误操作与支付风险，促进订购转化效率与业务规范化运营。</w:t>
            </w:r>
          </w:p>
        </w:tc>
        <w:tc>
          <w:tcPr>
            <w:tcW w:w="877" w:type="pct"/>
            <w:vAlign w:val="center"/>
          </w:tcPr>
          <w:p w14:paraId="4CAD99C4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51" w:type="pct"/>
            <w:vAlign w:val="center"/>
          </w:tcPr>
          <w:p w14:paraId="0C24B0EA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5392C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48" w:type="pct"/>
            <w:vAlign w:val="center"/>
          </w:tcPr>
          <w:p w14:paraId="513F1493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640" w:type="pct"/>
            <w:vAlign w:val="center"/>
          </w:tcPr>
          <w:p w14:paraId="1C8CA473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商品与订单权益管理优化</w:t>
            </w:r>
          </w:p>
        </w:tc>
        <w:tc>
          <w:tcPr>
            <w:tcW w:w="2681" w:type="pct"/>
            <w:vAlign w:val="center"/>
          </w:tcPr>
          <w:p w14:paraId="46555337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对商品管理、订单处理、权益生效等核心流程进行优化。通过建立未生效订单的定时生效机制、引入消息乱序补偿处理、完善第三方充值交付能力，降低跨系统协同风险，有效应对时序问题，提高运营排查效率与业务链路可回溯能力。</w:t>
            </w:r>
          </w:p>
        </w:tc>
        <w:tc>
          <w:tcPr>
            <w:tcW w:w="877" w:type="pct"/>
            <w:vAlign w:val="center"/>
          </w:tcPr>
          <w:p w14:paraId="1A149DF0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51" w:type="pct"/>
            <w:vAlign w:val="center"/>
          </w:tcPr>
          <w:p w14:paraId="494F71E7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10AC5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48" w:type="pct"/>
            <w:vAlign w:val="center"/>
          </w:tcPr>
          <w:p w14:paraId="2E084238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640" w:type="pct"/>
            <w:vAlign w:val="center"/>
          </w:tcPr>
          <w:p w14:paraId="2B50A01D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业务管理优化与终端能力适配</w:t>
            </w:r>
          </w:p>
        </w:tc>
        <w:tc>
          <w:tcPr>
            <w:tcW w:w="2681" w:type="pct"/>
            <w:vAlign w:val="center"/>
          </w:tcPr>
          <w:p w14:paraId="68D0AD2C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优化用户管理与后台交互体验，提升客服与运营人员在高频操作场景下的处理效率，通过统一交互规则与提升系统响应效率，改善日常运维体验并降低操作成本。同时，针对jsview 6.0版页面进行全生命周期管理适配，并增强终端管理模块在大规模数据处理与分发方面的稳定性与性能。</w:t>
            </w:r>
          </w:p>
        </w:tc>
        <w:tc>
          <w:tcPr>
            <w:tcW w:w="877" w:type="pct"/>
            <w:vAlign w:val="center"/>
          </w:tcPr>
          <w:p w14:paraId="10BD85C2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51" w:type="pct"/>
            <w:vAlign w:val="center"/>
          </w:tcPr>
          <w:p w14:paraId="5B54ABBA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46C42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48" w:type="pct"/>
            <w:vAlign w:val="center"/>
          </w:tcPr>
          <w:p w14:paraId="7868D24F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640" w:type="pct"/>
            <w:vAlign w:val="center"/>
          </w:tcPr>
          <w:p w14:paraId="4C975B5E">
            <w:pPr>
              <w:spacing w:line="200" w:lineRule="atLeas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数据协同与系统安全改造</w:t>
            </w:r>
          </w:p>
        </w:tc>
        <w:tc>
          <w:tcPr>
            <w:tcW w:w="2681" w:type="pct"/>
            <w:vAlign w:val="center"/>
          </w:tcPr>
          <w:p w14:paraId="4F634ED8">
            <w:pPr>
              <w:spacing w:line="200" w:lineRule="atLeas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围绕跨系统数据协同与用户信息安全治理开展优化建设，完善数据兼容机制与对外接口规范，加强敏感信息保护与日志安全控制。通过统一数据协同与安全治理策略，提高系统数据一致性与合规水平，降低数据风险。</w:t>
            </w:r>
          </w:p>
        </w:tc>
        <w:tc>
          <w:tcPr>
            <w:tcW w:w="877" w:type="pct"/>
            <w:vAlign w:val="center"/>
          </w:tcPr>
          <w:p w14:paraId="419AF2B2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51" w:type="pct"/>
            <w:vAlign w:val="center"/>
          </w:tcPr>
          <w:p w14:paraId="48D35436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2C683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48" w:type="pct"/>
            <w:vAlign w:val="center"/>
          </w:tcPr>
          <w:p w14:paraId="4B3F8CB5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640" w:type="pct"/>
            <w:vAlign w:val="center"/>
          </w:tcPr>
          <w:p w14:paraId="5EEEC051">
            <w:pPr>
              <w:spacing w:line="200" w:lineRule="atLeas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系统建设实施与运行保障优化</w:t>
            </w:r>
          </w:p>
        </w:tc>
        <w:tc>
          <w:tcPr>
            <w:tcW w:w="2681" w:type="pct"/>
            <w:vAlign w:val="center"/>
          </w:tcPr>
          <w:p w14:paraId="5607DAD3">
            <w:pPr>
              <w:spacing w:line="200" w:lineRule="atLeas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通过部署架构优化、系统迁移实施及运行环境完善，提升系统在多运营商、多业务规模下的稳定运行能力。通过集群化改造与运行保障机制建设，提高系统高可用性与扩展能力，为后续业务持续发展提供基础支撑。</w:t>
            </w:r>
          </w:p>
        </w:tc>
        <w:tc>
          <w:tcPr>
            <w:tcW w:w="877" w:type="pct"/>
            <w:vAlign w:val="center"/>
          </w:tcPr>
          <w:p w14:paraId="354D4B8C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51" w:type="pct"/>
            <w:vAlign w:val="center"/>
          </w:tcPr>
          <w:p w14:paraId="552E7E78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</w:tbl>
    <w:p w14:paraId="5831A805">
      <w:pPr>
        <w:spacing w:after="209" w:afterLines="67"/>
        <w:rPr>
          <w:rFonts w:asciiTheme="minorEastAsia" w:hAnsiTheme="minorEastAsia" w:cstheme="minorEastAsia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09354303"/>
    </w:sdtPr>
    <w:sdtEndPr>
      <w:rPr>
        <w:rFonts w:asciiTheme="minorEastAsia" w:hAnsiTheme="minorEastAsia"/>
        <w:sz w:val="24"/>
        <w:szCs w:val="24"/>
      </w:rPr>
    </w:sdtEndPr>
    <w:sdtContent>
      <w:p w14:paraId="06A2B8FC">
        <w:pPr>
          <w:pStyle w:val="9"/>
          <w:jc w:val="center"/>
          <w:rPr>
            <w:rFonts w:asciiTheme="minorEastAsia" w:hAnsiTheme="minorEastAsia"/>
            <w:sz w:val="24"/>
            <w:szCs w:val="24"/>
          </w:rPr>
        </w:pPr>
        <w:r>
          <w:rPr>
            <w:rFonts w:asciiTheme="minorEastAsia" w:hAnsiTheme="minorEastAsia"/>
            <w:sz w:val="24"/>
            <w:szCs w:val="24"/>
          </w:rPr>
          <w:fldChar w:fldCharType="begin"/>
        </w:r>
        <w:r>
          <w:rPr>
            <w:rFonts w:asciiTheme="minorEastAsia" w:hAnsiTheme="minorEastAsia"/>
            <w:sz w:val="24"/>
            <w:szCs w:val="24"/>
          </w:rPr>
          <w:instrText xml:space="preserve">PAGE   \* MERGEFORMAT</w:instrText>
        </w:r>
        <w:r>
          <w:rPr>
            <w:rFonts w:asciiTheme="minorEastAsia" w:hAnsiTheme="minorEastAsia"/>
            <w:sz w:val="24"/>
            <w:szCs w:val="24"/>
          </w:rPr>
          <w:fldChar w:fldCharType="separate"/>
        </w:r>
        <w:r>
          <w:rPr>
            <w:rFonts w:asciiTheme="minorEastAsia" w:hAnsiTheme="minorEastAsia"/>
            <w:sz w:val="24"/>
            <w:szCs w:val="24"/>
            <w:lang w:val="zh-CN"/>
          </w:rPr>
          <w:t>2</w:t>
        </w:r>
        <w:r>
          <w:rPr>
            <w:rFonts w:asciiTheme="minorEastAsia" w:hAnsiTheme="minorEastAsia"/>
            <w:sz w:val="24"/>
            <w:szCs w:val="24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7E4C18"/>
    <w:multiLevelType w:val="singleLevel"/>
    <w:tmpl w:val="9A7E4C1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26007FCA"/>
    <w:multiLevelType w:val="multilevel"/>
    <w:tmpl w:val="26007FCA"/>
    <w:lvl w:ilvl="0" w:tentative="0">
      <w:start w:val="1"/>
      <w:numFmt w:val="chineseCountingThousand"/>
      <w:pStyle w:val="2"/>
      <w:lvlText w:val="%1、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3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3.5.%3 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3.5.1.%4 "/>
      <w:lvlJc w:val="left"/>
      <w:pPr>
        <w:tabs>
          <w:tab w:val="left" w:pos="1440"/>
        </w:tabs>
        <w:ind w:left="1000" w:hanging="100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2">
    <w:nsid w:val="2BEE12A5"/>
    <w:multiLevelType w:val="multilevel"/>
    <w:tmpl w:val="2BEE12A5"/>
    <w:lvl w:ilvl="0" w:tentative="0">
      <w:start w:val="1"/>
      <w:numFmt w:val="japaneseCounting"/>
      <w:lvlText w:val="%1、"/>
      <w:lvlJc w:val="left"/>
      <w:pPr>
        <w:ind w:left="495" w:hanging="49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dkNmU4ZTA0YjI0Zjg3NjA5OWQ4ZDUyMWVkYjZkNzIifQ=="/>
  </w:docVars>
  <w:rsids>
    <w:rsidRoot w:val="509C3417"/>
    <w:rsid w:val="000912E9"/>
    <w:rsid w:val="001B31A9"/>
    <w:rsid w:val="005E15D2"/>
    <w:rsid w:val="00687B51"/>
    <w:rsid w:val="006E3F95"/>
    <w:rsid w:val="00706D87"/>
    <w:rsid w:val="007F4EBD"/>
    <w:rsid w:val="00943FEC"/>
    <w:rsid w:val="00B419DF"/>
    <w:rsid w:val="00B71228"/>
    <w:rsid w:val="00B73413"/>
    <w:rsid w:val="00C106C7"/>
    <w:rsid w:val="00CB7498"/>
    <w:rsid w:val="00DF1D82"/>
    <w:rsid w:val="00EC18DF"/>
    <w:rsid w:val="01544C76"/>
    <w:rsid w:val="019B1834"/>
    <w:rsid w:val="02AE1145"/>
    <w:rsid w:val="036C34DA"/>
    <w:rsid w:val="03A4265D"/>
    <w:rsid w:val="04B35139"/>
    <w:rsid w:val="050A1AB6"/>
    <w:rsid w:val="069521F9"/>
    <w:rsid w:val="0730481F"/>
    <w:rsid w:val="078D3A1F"/>
    <w:rsid w:val="08601134"/>
    <w:rsid w:val="0AC97464"/>
    <w:rsid w:val="0BBA6DAD"/>
    <w:rsid w:val="0BF20AD4"/>
    <w:rsid w:val="0CEA556C"/>
    <w:rsid w:val="10CE4387"/>
    <w:rsid w:val="11A150AB"/>
    <w:rsid w:val="11EA0E33"/>
    <w:rsid w:val="123956DC"/>
    <w:rsid w:val="13C857F6"/>
    <w:rsid w:val="14B35F82"/>
    <w:rsid w:val="18491716"/>
    <w:rsid w:val="1A03020C"/>
    <w:rsid w:val="1AD47E27"/>
    <w:rsid w:val="1CCE3EDB"/>
    <w:rsid w:val="1EF65EF6"/>
    <w:rsid w:val="21FD7606"/>
    <w:rsid w:val="220420C6"/>
    <w:rsid w:val="258B383C"/>
    <w:rsid w:val="25B33FCA"/>
    <w:rsid w:val="25EE55BB"/>
    <w:rsid w:val="262730A1"/>
    <w:rsid w:val="27C63FD7"/>
    <w:rsid w:val="280A3BE6"/>
    <w:rsid w:val="2A050591"/>
    <w:rsid w:val="2BA43D81"/>
    <w:rsid w:val="2E2B5035"/>
    <w:rsid w:val="2E9322F5"/>
    <w:rsid w:val="30E12562"/>
    <w:rsid w:val="31EA74FC"/>
    <w:rsid w:val="324A4137"/>
    <w:rsid w:val="343706EB"/>
    <w:rsid w:val="35750372"/>
    <w:rsid w:val="35F745D6"/>
    <w:rsid w:val="360712B0"/>
    <w:rsid w:val="38B40117"/>
    <w:rsid w:val="3B52171B"/>
    <w:rsid w:val="3CAB670C"/>
    <w:rsid w:val="3FD057F7"/>
    <w:rsid w:val="402B55A8"/>
    <w:rsid w:val="426A1DB3"/>
    <w:rsid w:val="450F36EA"/>
    <w:rsid w:val="45F750AA"/>
    <w:rsid w:val="46384F0C"/>
    <w:rsid w:val="476C2E05"/>
    <w:rsid w:val="4CAC5CC3"/>
    <w:rsid w:val="4EAB089F"/>
    <w:rsid w:val="4EE243ED"/>
    <w:rsid w:val="50792C6A"/>
    <w:rsid w:val="509C3417"/>
    <w:rsid w:val="51E87E4E"/>
    <w:rsid w:val="52EE0219"/>
    <w:rsid w:val="5A4B1C58"/>
    <w:rsid w:val="5EC75FCE"/>
    <w:rsid w:val="5F660EF9"/>
    <w:rsid w:val="61FEF1DB"/>
    <w:rsid w:val="62F010AB"/>
    <w:rsid w:val="630B0E65"/>
    <w:rsid w:val="63C27722"/>
    <w:rsid w:val="640B3432"/>
    <w:rsid w:val="671609C5"/>
    <w:rsid w:val="68E83A44"/>
    <w:rsid w:val="6B590552"/>
    <w:rsid w:val="6C115677"/>
    <w:rsid w:val="6CA53D7D"/>
    <w:rsid w:val="6D185599"/>
    <w:rsid w:val="715156A2"/>
    <w:rsid w:val="76343069"/>
    <w:rsid w:val="76D94382"/>
    <w:rsid w:val="779605E4"/>
    <w:rsid w:val="77BB3365"/>
    <w:rsid w:val="7AAF67FA"/>
    <w:rsid w:val="7CB00608"/>
    <w:rsid w:val="7E6064F7"/>
    <w:rsid w:val="F7FFB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99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/>
      <w:pageBreakBefore/>
      <w:numPr>
        <w:ilvl w:val="0"/>
        <w:numId w:val="1"/>
      </w:numPr>
      <w:spacing w:before="340" w:afterLines="50" w:line="578" w:lineRule="auto"/>
      <w:outlineLvl w:val="0"/>
    </w:pPr>
    <w:rPr>
      <w:rFonts w:eastAsia="黑体" w:cs="Times New Roman"/>
      <w:b/>
      <w:bCs/>
      <w:spacing w:val="20"/>
      <w:kern w:val="44"/>
      <w:sz w:val="36"/>
      <w:szCs w:val="44"/>
    </w:rPr>
  </w:style>
  <w:style w:type="paragraph" w:styleId="4">
    <w:name w:val="heading 2"/>
    <w:basedOn w:val="1"/>
    <w:next w:val="5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6">
    <w:name w:val="heading 3"/>
    <w:basedOn w:val="1"/>
    <w:next w:val="5"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E75B6" w:themeColor="accent1" w:themeShade="BF"/>
      <w:sz w:val="28"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pacing w:afterLines="50"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5">
    <w:name w:val="Body Text"/>
    <w:basedOn w:val="1"/>
    <w:qFormat/>
    <w:uiPriority w:val="99"/>
    <w:pPr>
      <w:spacing w:after="120"/>
    </w:pPr>
  </w:style>
  <w:style w:type="paragraph" w:styleId="7">
    <w:name w:val="annotation text"/>
    <w:basedOn w:val="1"/>
    <w:semiHidden/>
    <w:qFormat/>
    <w:uiPriority w:val="0"/>
    <w:pPr>
      <w:jc w:val="left"/>
    </w:pPr>
  </w:style>
  <w:style w:type="paragraph" w:styleId="8">
    <w:name w:val="Balloon Text"/>
    <w:basedOn w:val="1"/>
    <w:link w:val="19"/>
    <w:qFormat/>
    <w:uiPriority w:val="0"/>
    <w:rPr>
      <w:sz w:val="18"/>
      <w:szCs w:val="18"/>
    </w:rPr>
  </w:style>
  <w:style w:type="paragraph" w:styleId="9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2">
    <w:name w:val="index 1"/>
    <w:basedOn w:val="1"/>
    <w:next w:val="1"/>
    <w:unhideWhenUsed/>
    <w:qFormat/>
    <w:uiPriority w:val="99"/>
    <w:pPr>
      <w:spacing w:line="200" w:lineRule="atLeast"/>
      <w:jc w:val="center"/>
    </w:pPr>
    <w:rPr>
      <w:rFonts w:ascii="宋体" w:hAnsi="宋体"/>
    </w:rPr>
  </w:style>
  <w:style w:type="paragraph" w:styleId="13">
    <w:name w:val="Body Text First Indent"/>
    <w:basedOn w:val="5"/>
    <w:qFormat/>
    <w:uiPriority w:val="0"/>
    <w:pPr>
      <w:ind w:firstLine="420" w:firstLineChars="100"/>
    </w:pPr>
    <w:rPr>
      <w:szCs w:val="24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页眉 Char"/>
    <w:basedOn w:val="16"/>
    <w:link w:val="10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6"/>
    <w:link w:val="9"/>
    <w:qFormat/>
    <w:uiPriority w:val="99"/>
    <w:rPr>
      <w:kern w:val="2"/>
      <w:sz w:val="18"/>
      <w:szCs w:val="18"/>
    </w:rPr>
  </w:style>
  <w:style w:type="character" w:customStyle="1" w:styleId="19">
    <w:name w:val="批注框文本 Char"/>
    <w:basedOn w:val="16"/>
    <w:link w:val="8"/>
    <w:qFormat/>
    <w:uiPriority w:val="0"/>
    <w:rPr>
      <w:kern w:val="2"/>
      <w:sz w:val="18"/>
      <w:szCs w:val="18"/>
    </w:rPr>
  </w:style>
  <w:style w:type="character" w:customStyle="1" w:styleId="20">
    <w:name w:val="font3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01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paragraph" w:customStyle="1" w:styleId="22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eastAsia="en-US"/>
    </w:rPr>
  </w:style>
  <w:style w:type="table" w:customStyle="1" w:styleId="2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4">
    <w:name w:val="List Paragraph"/>
    <w:basedOn w:val="1"/>
    <w:qFormat/>
    <w:uiPriority w:val="99"/>
    <w:pPr>
      <w:ind w:firstLine="420" w:firstLineChars="200"/>
    </w:pPr>
  </w:style>
  <w:style w:type="paragraph" w:customStyle="1" w:styleId="25">
    <w:name w:val="Table Paragraph"/>
    <w:basedOn w:val="1"/>
    <w:qFormat/>
    <w:uiPriority w:val="1"/>
    <w:pPr>
      <w:autoSpaceDE w:val="0"/>
      <w:autoSpaceDN w:val="0"/>
      <w:adjustRightInd w:val="0"/>
      <w:spacing w:line="360" w:lineRule="auto"/>
      <w:ind w:firstLine="200" w:firstLineChars="200"/>
    </w:pPr>
    <w:rPr>
      <w:rFonts w:ascii="宋体" w:hAnsi="Times New Roman" w:eastAsia="宋体" w:cs="宋体"/>
      <w:kern w:val="0"/>
      <w:sz w:val="24"/>
      <w:szCs w:val="24"/>
    </w:rPr>
  </w:style>
  <w:style w:type="paragraph" w:customStyle="1" w:styleId="26">
    <w:name w:val="First Paragraph"/>
    <w:basedOn w:val="5"/>
    <w:next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576</Words>
  <Characters>757</Characters>
  <Lines>12</Lines>
  <Paragraphs>3</Paragraphs>
  <TotalTime>1</TotalTime>
  <ScaleCrop>false</ScaleCrop>
  <LinksUpToDate>false</LinksUpToDate>
  <CharactersWithSpaces>767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2025-05-29T07:26:00Z</dcterms:created>
  <dc:creator>ZFCG</dc:creator>
  <cp:lastModifiedBy>gc</cp:lastModifiedBy>
  <dcterms:modified xsi:type="dcterms:W3CDTF">2026-03-11T06:59:52Z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ICV">
    <vt:lpwstr>6AC327FFED434BA592769BFDA256A8DE</vt:lpwstr>
  </property>
  <property fmtid="{D5CDD505-2E9C-101B-9397-08002B2CF9AE}" pid="4" name="KSOTemplateDocerSaveRecord">
    <vt:lpwstr>eyJoZGlkIjoiMzJjZWZkNmZmNGY0MGQ2MjExODA1MmQ4ZjQ2MTIyOWEiLCJ1c2VySWQiOiI2MjU5ODg1NTIifQ==</vt:lpwstr>
  </property>
</Properties>
</file>