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7AFA65">
      <w:pPr>
        <w:spacing w:line="360" w:lineRule="auto"/>
        <w:jc w:val="center"/>
        <w:rPr>
          <w:rFonts w:hint="eastAsia" w:asciiTheme="minorEastAsia" w:hAnsiTheme="minorEastAsia" w:eastAsiaTheme="minorEastAsia" w:cstheme="minorEastAsia"/>
          <w:b/>
          <w:sz w:val="28"/>
          <w:szCs w:val="28"/>
          <w:lang w:eastAsia="zh-CN"/>
        </w:rPr>
      </w:pPr>
      <w:r>
        <w:rPr>
          <w:rFonts w:hint="eastAsia" w:asciiTheme="minorEastAsia" w:hAnsiTheme="minorEastAsia" w:cstheme="minorEastAsia"/>
          <w:b/>
          <w:sz w:val="28"/>
          <w:szCs w:val="28"/>
          <w:lang w:eastAsia="zh-CN"/>
        </w:rPr>
        <w:t>2026年IPTV专网BOSS系统优化建设项目</w:t>
      </w:r>
    </w:p>
    <w:p w14:paraId="6D1C46CC">
      <w:pPr>
        <w:spacing w:line="360" w:lineRule="auto"/>
        <w:jc w:val="center"/>
        <w:rPr>
          <w:rFonts w:asciiTheme="minorEastAsia" w:hAnsiTheme="minorEastAsia" w:cstheme="minorEastAsia"/>
          <w:b/>
          <w:sz w:val="28"/>
          <w:szCs w:val="28"/>
        </w:rPr>
      </w:pPr>
      <w:r>
        <w:rPr>
          <w:rFonts w:hint="eastAsia" w:asciiTheme="minorEastAsia" w:hAnsiTheme="minorEastAsia" w:cstheme="minorEastAsia"/>
          <w:b/>
          <w:sz w:val="28"/>
          <w:szCs w:val="28"/>
        </w:rPr>
        <w:t>采购需求</w:t>
      </w:r>
      <w:bookmarkStart w:id="0" w:name="_Toc162018832"/>
      <w:bookmarkStart w:id="1" w:name="_Toc92295849"/>
    </w:p>
    <w:bookmarkEnd w:id="0"/>
    <w:bookmarkEnd w:id="1"/>
    <w:p w14:paraId="0A82BDDA">
      <w:pPr>
        <w:pStyle w:val="2"/>
        <w:keepNext w:val="0"/>
        <w:keepLines w:val="0"/>
        <w:pageBreakBefore w:val="0"/>
        <w:spacing w:before="0" w:after="156"/>
        <w:ind w:left="431" w:hanging="431"/>
        <w:rPr>
          <w:rFonts w:hint="eastAsia" w:ascii="仿宋" w:hAnsi="仿宋" w:eastAsia="仿宋"/>
          <w:sz w:val="24"/>
        </w:rPr>
      </w:pPr>
      <w:bookmarkStart w:id="44" w:name="_GoBack"/>
      <w:bookmarkEnd w:id="44"/>
      <w:r>
        <w:rPr>
          <w:rFonts w:hint="eastAsia" w:ascii="仿宋" w:hAnsi="仿宋" w:eastAsia="仿宋"/>
          <w:sz w:val="32"/>
          <w:szCs w:val="32"/>
        </w:rPr>
        <w:t>项目概述</w:t>
      </w:r>
    </w:p>
    <w:p w14:paraId="472D42B8">
      <w:pPr>
        <w:spacing w:after="156"/>
        <w:ind w:firstLine="480" w:firstLineChars="200"/>
        <w:rPr>
          <w:rFonts w:ascii="仿宋" w:hAnsi="仿宋" w:eastAsia="仿宋" w:cs="宋体"/>
          <w:bCs/>
          <w:sz w:val="24"/>
        </w:rPr>
      </w:pPr>
      <w:r>
        <w:rPr>
          <w:rFonts w:hint="eastAsia" w:ascii="仿宋" w:hAnsi="仿宋" w:eastAsia="仿宋" w:cs="宋体"/>
          <w:bCs/>
          <w:sz w:val="24"/>
        </w:rPr>
        <w:t>根据专网事部的产品需求及需求沟通确认，计划在现有I</w:t>
      </w:r>
      <w:r>
        <w:rPr>
          <w:rFonts w:ascii="仿宋" w:hAnsi="仿宋" w:eastAsia="仿宋" w:cs="宋体"/>
          <w:bCs/>
          <w:sz w:val="24"/>
        </w:rPr>
        <w:t>PTV</w:t>
      </w:r>
      <w:r>
        <w:rPr>
          <w:rFonts w:hint="eastAsia" w:ascii="仿宋" w:hAnsi="仿宋" w:eastAsia="仿宋" w:cs="宋体"/>
          <w:bCs/>
          <w:sz w:val="24"/>
        </w:rPr>
        <w:t xml:space="preserve"> B</w:t>
      </w:r>
      <w:r>
        <w:rPr>
          <w:rFonts w:ascii="仿宋" w:hAnsi="仿宋" w:eastAsia="仿宋" w:cs="宋体"/>
          <w:bCs/>
          <w:sz w:val="24"/>
        </w:rPr>
        <w:t>OSS</w:t>
      </w:r>
      <w:r>
        <w:rPr>
          <w:rFonts w:hint="eastAsia" w:ascii="仿宋" w:hAnsi="仿宋" w:eastAsia="仿宋" w:cs="宋体"/>
          <w:bCs/>
          <w:sz w:val="24"/>
        </w:rPr>
        <w:t>系统的基础上进行扩容优化</w:t>
      </w:r>
      <w:r>
        <w:rPr>
          <w:rFonts w:hint="eastAsia" w:ascii="仿宋" w:hAnsi="仿宋" w:eastAsia="仿宋" w:cs="宋体"/>
          <w:bCs/>
          <w:sz w:val="24"/>
          <w:lang w:val="en-US" w:eastAsia="zh-CN"/>
        </w:rPr>
        <w:t>,此项目仅服务于广东IPTV业务</w:t>
      </w:r>
      <w:r>
        <w:rPr>
          <w:rFonts w:hint="eastAsia" w:ascii="仿宋" w:hAnsi="仿宋" w:eastAsia="仿宋" w:cs="宋体"/>
          <w:bCs/>
          <w:sz w:val="24"/>
        </w:rPr>
        <w:t>。</w:t>
      </w:r>
    </w:p>
    <w:p w14:paraId="5FBBAA7D">
      <w:pPr>
        <w:pStyle w:val="2"/>
        <w:keepNext w:val="0"/>
        <w:keepLines w:val="0"/>
        <w:pageBreakBefore w:val="0"/>
        <w:spacing w:before="0" w:after="156"/>
        <w:ind w:left="431" w:hanging="431"/>
        <w:rPr>
          <w:rFonts w:hint="eastAsia" w:ascii="仿宋" w:hAnsi="仿宋" w:eastAsia="仿宋"/>
          <w:sz w:val="24"/>
        </w:rPr>
      </w:pPr>
      <w:bookmarkStart w:id="2" w:name="_Toc32007"/>
      <w:r>
        <w:rPr>
          <w:rFonts w:hint="eastAsia" w:ascii="仿宋" w:hAnsi="仿宋" w:eastAsia="仿宋"/>
          <w:sz w:val="32"/>
          <w:szCs w:val="32"/>
        </w:rPr>
        <w:t>项目业务需求</w:t>
      </w:r>
      <w:bookmarkEnd w:id="2"/>
    </w:p>
    <w:p w14:paraId="371CE08F">
      <w:pPr>
        <w:spacing w:before="300" w:after="120" w:line="288" w:lineRule="auto"/>
        <w:ind w:left="0"/>
        <w:jc w:val="left"/>
        <w:outlineLvl w:val="2"/>
        <w:rPr>
          <w:rFonts w:hint="eastAsia" w:ascii="仿宋" w:hAnsi="仿宋" w:eastAsia="仿宋" w:cs="仿宋"/>
          <w:sz w:val="24"/>
          <w:szCs w:val="24"/>
        </w:rPr>
      </w:pPr>
      <w:bookmarkStart w:id="3" w:name="heading_2"/>
      <w:r>
        <w:rPr>
          <w:rFonts w:hint="eastAsia" w:ascii="仿宋" w:hAnsi="仿宋" w:eastAsia="仿宋" w:cs="仿宋"/>
          <w:b/>
          <w:sz w:val="24"/>
          <w:szCs w:val="24"/>
        </w:rPr>
        <w:t>（1）用户认证与调度策略升级</w:t>
      </w:r>
      <w:bookmarkEnd w:id="3"/>
    </w:p>
    <w:p w14:paraId="1962AE4B">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对现有 AAA 开机认证及调度策略体系进行优化升级，增强策略匹配灵活性与配置治理能力，完善异常场景下的兜底处理机制，实现多运营商、多用户群体环境下的稳定调度与一致访问路径控制。通过策略精细化管理与配置能力建设，降低配置风险与运维复杂度，提升认证链路稳定性与业务连续性。</w:t>
      </w:r>
    </w:p>
    <w:p w14:paraId="637C4D97">
      <w:pPr>
        <w:spacing w:before="300" w:after="120" w:line="288" w:lineRule="auto"/>
        <w:ind w:left="0"/>
        <w:jc w:val="left"/>
        <w:outlineLvl w:val="2"/>
        <w:rPr>
          <w:rFonts w:hint="eastAsia" w:ascii="仿宋" w:hAnsi="仿宋" w:eastAsia="仿宋" w:cs="仿宋"/>
          <w:sz w:val="24"/>
          <w:szCs w:val="24"/>
        </w:rPr>
      </w:pPr>
      <w:bookmarkStart w:id="4" w:name="heading_3"/>
      <w:r>
        <w:rPr>
          <w:rFonts w:hint="eastAsia" w:ascii="仿宋" w:hAnsi="仿宋" w:eastAsia="仿宋" w:cs="仿宋"/>
          <w:b/>
          <w:sz w:val="24"/>
          <w:szCs w:val="24"/>
        </w:rPr>
        <w:t>（2）订购页面与支付体验优化</w:t>
      </w:r>
      <w:bookmarkEnd w:id="4"/>
    </w:p>
    <w:p w14:paraId="7E8A4EC8">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围绕订购与支付关键链路，对页面展示规则、支付验证方式及运营配置能力进行优化，通过引入快捷支付验证码、优化页面信息展示、完善探针上报等措施，确保消费过程的合规、透明与便捷，减少用户误操作与支付风险，促进订购转化效率与业务规范化运营。</w:t>
      </w:r>
    </w:p>
    <w:p w14:paraId="2E11361D">
      <w:pPr>
        <w:spacing w:before="300" w:after="120" w:line="288" w:lineRule="auto"/>
        <w:ind w:left="0"/>
        <w:jc w:val="left"/>
        <w:outlineLvl w:val="2"/>
        <w:rPr>
          <w:rFonts w:hint="eastAsia" w:ascii="仿宋" w:hAnsi="仿宋" w:eastAsia="仿宋" w:cs="仿宋"/>
          <w:sz w:val="24"/>
          <w:szCs w:val="24"/>
        </w:rPr>
      </w:pPr>
      <w:bookmarkStart w:id="5" w:name="heading_4"/>
      <w:r>
        <w:rPr>
          <w:rFonts w:hint="eastAsia" w:ascii="仿宋" w:hAnsi="仿宋" w:eastAsia="仿宋" w:cs="仿宋"/>
          <w:b/>
          <w:sz w:val="24"/>
          <w:szCs w:val="24"/>
        </w:rPr>
        <w:t>（3）商品与订单权益管理优化</w:t>
      </w:r>
      <w:bookmarkEnd w:id="5"/>
    </w:p>
    <w:p w14:paraId="10110223">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对商品管理、订单处理、权益生效等核心流程进行优化。通过建立未生效订单的定时生效机制、引入消息乱序补偿处理、完善第三方充值交付能力，降低跨系统协同风险，有效应对时序问题，提高运营排查效率与业务链路可回溯能力。</w:t>
      </w:r>
    </w:p>
    <w:p w14:paraId="0E487A53">
      <w:pPr>
        <w:spacing w:before="300" w:after="120" w:line="288" w:lineRule="auto"/>
        <w:ind w:left="0"/>
        <w:jc w:val="left"/>
        <w:outlineLvl w:val="2"/>
        <w:rPr>
          <w:rFonts w:hint="eastAsia" w:ascii="仿宋" w:hAnsi="仿宋" w:eastAsia="仿宋" w:cs="仿宋"/>
          <w:sz w:val="24"/>
          <w:szCs w:val="24"/>
        </w:rPr>
      </w:pPr>
      <w:bookmarkStart w:id="6" w:name="heading_5"/>
      <w:r>
        <w:rPr>
          <w:rFonts w:hint="eastAsia" w:ascii="仿宋" w:hAnsi="仿宋" w:eastAsia="仿宋" w:cs="仿宋"/>
          <w:b/>
          <w:sz w:val="24"/>
          <w:szCs w:val="24"/>
        </w:rPr>
        <w:t>（4）业务管理优化与终端能力适配</w:t>
      </w:r>
      <w:bookmarkEnd w:id="6"/>
    </w:p>
    <w:p w14:paraId="379423E7">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优化用户管理与后台交互体验，提升客服与运营人员在高频操作场景下的处理效率，通过统一交互规则与提升系统响应效率，改善日常运维体验并降低操作成本。同时，针对jsview 6.0版页面进行全生命周期管理适配，并增强终端管理模块在大规模数据处理与分发方面的稳定性与性能。</w:t>
      </w:r>
    </w:p>
    <w:p w14:paraId="3B934C42">
      <w:pPr>
        <w:spacing w:before="300" w:after="120" w:line="288" w:lineRule="auto"/>
        <w:ind w:left="0"/>
        <w:jc w:val="left"/>
        <w:outlineLvl w:val="2"/>
        <w:rPr>
          <w:rFonts w:hint="eastAsia" w:ascii="仿宋" w:hAnsi="仿宋" w:eastAsia="仿宋" w:cs="仿宋"/>
          <w:sz w:val="24"/>
          <w:szCs w:val="24"/>
        </w:rPr>
      </w:pPr>
      <w:r>
        <w:rPr>
          <w:rFonts w:hint="eastAsia" w:ascii="仿宋" w:hAnsi="仿宋" w:eastAsia="仿宋" w:cs="仿宋"/>
          <w:b/>
          <w:sz w:val="24"/>
          <w:szCs w:val="24"/>
        </w:rPr>
        <w:t>（</w:t>
      </w:r>
      <w:r>
        <w:rPr>
          <w:rFonts w:hint="eastAsia" w:ascii="仿宋" w:hAnsi="仿宋" w:eastAsia="仿宋" w:cs="仿宋"/>
          <w:b/>
          <w:sz w:val="24"/>
          <w:szCs w:val="24"/>
          <w:lang w:val="en-US" w:eastAsia="zh-CN"/>
        </w:rPr>
        <w:t>5</w:t>
      </w:r>
      <w:r>
        <w:rPr>
          <w:rFonts w:hint="eastAsia" w:ascii="仿宋" w:hAnsi="仿宋" w:eastAsia="仿宋" w:cs="仿宋"/>
          <w:b/>
          <w:sz w:val="24"/>
          <w:szCs w:val="24"/>
        </w:rPr>
        <w:t>）数据协同与系统安全改造</w:t>
      </w:r>
    </w:p>
    <w:p w14:paraId="138B87F0">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围绕跨系统数据协同与用户信息安全治理开展优化建设，完善数据兼容机制与对外接口规范，加强敏感信息保护与日志安全控制。通过统一数据协同与安全治理策略，提高系统数据一致性与合规水平，降低数据风险。</w:t>
      </w:r>
    </w:p>
    <w:p w14:paraId="09705B2F">
      <w:pPr>
        <w:spacing w:before="300" w:after="120" w:line="288" w:lineRule="auto"/>
        <w:ind w:left="0"/>
        <w:jc w:val="left"/>
        <w:outlineLvl w:val="2"/>
        <w:rPr>
          <w:rFonts w:hint="eastAsia" w:ascii="仿宋" w:hAnsi="仿宋" w:eastAsia="仿宋" w:cs="仿宋"/>
          <w:sz w:val="24"/>
          <w:szCs w:val="24"/>
        </w:rPr>
      </w:pPr>
      <w:r>
        <w:rPr>
          <w:rFonts w:hint="eastAsia" w:ascii="仿宋" w:hAnsi="仿宋" w:eastAsia="仿宋" w:cs="仿宋"/>
          <w:b/>
          <w:sz w:val="24"/>
          <w:szCs w:val="24"/>
        </w:rPr>
        <w:t>（</w:t>
      </w:r>
      <w:r>
        <w:rPr>
          <w:rFonts w:hint="eastAsia" w:ascii="仿宋" w:hAnsi="仿宋" w:eastAsia="仿宋" w:cs="仿宋"/>
          <w:b/>
          <w:sz w:val="24"/>
          <w:szCs w:val="24"/>
          <w:lang w:val="en-US" w:eastAsia="zh-CN"/>
        </w:rPr>
        <w:t>6</w:t>
      </w:r>
      <w:r>
        <w:rPr>
          <w:rFonts w:hint="eastAsia" w:ascii="仿宋" w:hAnsi="仿宋" w:eastAsia="仿宋" w:cs="仿宋"/>
          <w:b/>
          <w:sz w:val="24"/>
          <w:szCs w:val="24"/>
        </w:rPr>
        <w:t>）系统建设实施与运行保障优化</w:t>
      </w:r>
    </w:p>
    <w:p w14:paraId="3D20A82B">
      <w:pPr>
        <w:spacing w:before="120" w:after="120" w:line="288" w:lineRule="auto"/>
        <w:ind w:left="0"/>
        <w:jc w:val="left"/>
        <w:rPr>
          <w:rFonts w:hint="eastAsia" w:ascii="仿宋" w:hAnsi="仿宋" w:eastAsia="仿宋" w:cs="仿宋"/>
          <w:sz w:val="24"/>
          <w:szCs w:val="24"/>
        </w:rPr>
      </w:pPr>
      <w:r>
        <w:rPr>
          <w:rFonts w:hint="eastAsia" w:ascii="仿宋" w:hAnsi="仿宋" w:eastAsia="仿宋" w:cs="仿宋"/>
          <w:sz w:val="24"/>
          <w:szCs w:val="24"/>
        </w:rPr>
        <w:t>通过部署架构优化、系统迁移实施及运行环境完善，提升系统在多运营商、多业务规模下的稳定运行能力。通过集群化改造与运行保障机制建设，提高系统高可用性与扩展能力，为后续业务持续发展提供基础支撑。</w:t>
      </w:r>
    </w:p>
    <w:p w14:paraId="08CE5892">
      <w:pPr>
        <w:pStyle w:val="2"/>
        <w:pageBreakBefore w:val="0"/>
        <w:spacing w:before="0" w:after="156" w:line="240" w:lineRule="auto"/>
        <w:ind w:left="431" w:hanging="431"/>
        <w:rPr>
          <w:rFonts w:ascii="仿宋" w:hAnsi="仿宋" w:eastAsia="仿宋"/>
          <w:sz w:val="32"/>
          <w:szCs w:val="32"/>
        </w:rPr>
      </w:pPr>
      <w:bookmarkStart w:id="7" w:name="_Toc27296"/>
      <w:r>
        <w:rPr>
          <w:rFonts w:hint="eastAsia" w:ascii="仿宋" w:hAnsi="仿宋" w:eastAsia="仿宋"/>
          <w:sz w:val="32"/>
          <w:szCs w:val="32"/>
        </w:rPr>
        <w:t>建设方案</w:t>
      </w:r>
      <w:bookmarkEnd w:id="7"/>
    </w:p>
    <w:p w14:paraId="2835A0D8">
      <w:pPr>
        <w:pStyle w:val="3"/>
        <w:spacing w:after="156"/>
        <w:jc w:val="center"/>
        <w:rPr>
          <w:rFonts w:hint="eastAsia"/>
        </w:rPr>
      </w:pPr>
      <w:r>
        <w:drawing>
          <wp:inline distT="0" distB="0" distL="114300" distR="114300">
            <wp:extent cx="5260975" cy="3736975"/>
            <wp:effectExtent l="0" t="0" r="12065" b="1206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5260975" cy="3736975"/>
                    </a:xfrm>
                    <a:prstGeom prst="rect">
                      <a:avLst/>
                    </a:prstGeom>
                    <a:noFill/>
                    <a:ln>
                      <a:noFill/>
                    </a:ln>
                  </pic:spPr>
                </pic:pic>
              </a:graphicData>
            </a:graphic>
          </wp:inline>
        </w:drawing>
      </w:r>
    </w:p>
    <w:p w14:paraId="0DAB7155">
      <w:pPr>
        <w:pStyle w:val="3"/>
        <w:spacing w:after="156"/>
        <w:jc w:val="center"/>
      </w:pPr>
      <w:r>
        <w:rPr>
          <w:rFonts w:hint="eastAsia"/>
        </w:rPr>
        <w:t>图1 I</w:t>
      </w:r>
      <w:r>
        <w:t>PTV BOSS</w:t>
      </w:r>
      <w:r>
        <w:rPr>
          <w:rFonts w:hint="eastAsia"/>
        </w:rPr>
        <w:t>架构图</w:t>
      </w:r>
    </w:p>
    <w:p w14:paraId="6EE03F4A">
      <w:pPr>
        <w:spacing w:after="156"/>
        <w:ind w:firstLine="480" w:firstLineChars="200"/>
        <w:rPr>
          <w:rFonts w:ascii="仿宋" w:hAnsi="仿宋" w:eastAsia="仿宋"/>
          <w:sz w:val="24"/>
        </w:rPr>
      </w:pPr>
      <w:r>
        <w:rPr>
          <w:rFonts w:hint="eastAsia" w:ascii="仿宋" w:hAnsi="仿宋" w:eastAsia="仿宋"/>
          <w:sz w:val="24"/>
        </w:rPr>
        <w:t>IPTV</w:t>
      </w:r>
      <w:r>
        <w:rPr>
          <w:rFonts w:ascii="仿宋" w:hAnsi="仿宋" w:eastAsia="仿宋"/>
          <w:sz w:val="24"/>
        </w:rPr>
        <w:t xml:space="preserve"> BOSS</w:t>
      </w:r>
      <w:r>
        <w:rPr>
          <w:rFonts w:hint="eastAsia" w:ascii="仿宋" w:hAnsi="仿宋" w:eastAsia="仿宋"/>
          <w:sz w:val="24"/>
        </w:rPr>
        <w:t>系统采用统一中心，分域建设模式，目前已建成中心域、</w:t>
      </w:r>
      <w:r>
        <w:rPr>
          <w:rFonts w:ascii="仿宋" w:hAnsi="仿宋" w:eastAsia="仿宋"/>
          <w:sz w:val="24"/>
        </w:rPr>
        <w:t>电信</w:t>
      </w:r>
      <w:r>
        <w:rPr>
          <w:rFonts w:hint="eastAsia" w:ascii="仿宋" w:hAnsi="仿宋" w:eastAsia="仿宋"/>
          <w:sz w:val="24"/>
        </w:rPr>
        <w:t>域</w:t>
      </w:r>
      <w:r>
        <w:rPr>
          <w:rFonts w:ascii="仿宋" w:hAnsi="仿宋" w:eastAsia="仿宋"/>
          <w:sz w:val="24"/>
        </w:rPr>
        <w:t>、移动</w:t>
      </w:r>
      <w:r>
        <w:rPr>
          <w:rFonts w:hint="eastAsia" w:ascii="仿宋" w:hAnsi="仿宋" w:eastAsia="仿宋"/>
          <w:sz w:val="24"/>
        </w:rPr>
        <w:t>域</w:t>
      </w:r>
      <w:r>
        <w:rPr>
          <w:rFonts w:ascii="仿宋" w:hAnsi="仿宋" w:eastAsia="仿宋"/>
          <w:sz w:val="24"/>
        </w:rPr>
        <w:t>、</w:t>
      </w:r>
      <w:r>
        <w:rPr>
          <w:rFonts w:hint="eastAsia" w:ascii="仿宋" w:hAnsi="仿宋" w:eastAsia="仿宋"/>
          <w:sz w:val="24"/>
        </w:rPr>
        <w:t>联通域，实现I</w:t>
      </w:r>
      <w:r>
        <w:rPr>
          <w:rFonts w:ascii="仿宋" w:hAnsi="仿宋" w:eastAsia="仿宋"/>
          <w:sz w:val="24"/>
        </w:rPr>
        <w:t>PTV</w:t>
      </w:r>
      <w:r>
        <w:rPr>
          <w:rFonts w:hint="eastAsia" w:ascii="仿宋" w:hAnsi="仿宋" w:eastAsia="仿宋"/>
          <w:sz w:val="24"/>
          <w:lang w:val="en-US" w:eastAsia="zh-CN"/>
        </w:rPr>
        <w:t>用户认证、</w:t>
      </w:r>
      <w:r>
        <w:rPr>
          <w:rFonts w:hint="eastAsia" w:ascii="仿宋" w:hAnsi="仿宋" w:eastAsia="仿宋"/>
          <w:sz w:val="24"/>
        </w:rPr>
        <w:t>业务鉴权、订购等核心功能。平台目前拥有</w:t>
      </w:r>
      <w:r>
        <w:rPr>
          <w:rFonts w:hint="eastAsia" w:ascii="仿宋" w:hAnsi="仿宋" w:eastAsia="仿宋"/>
          <w:sz w:val="24"/>
          <w:lang w:val="en-US" w:eastAsia="zh-CN"/>
        </w:rPr>
        <w:t>管理后台、认证、鉴权、订购</w:t>
      </w:r>
      <w:r>
        <w:rPr>
          <w:rFonts w:hint="eastAsia" w:ascii="仿宋" w:hAnsi="仿宋" w:eastAsia="仿宋"/>
          <w:sz w:val="24"/>
        </w:rPr>
        <w:t>、用户终端管理等关键功能模块，通过与I</w:t>
      </w:r>
      <w:r>
        <w:rPr>
          <w:rFonts w:ascii="仿宋" w:hAnsi="仿宋" w:eastAsia="仿宋"/>
          <w:sz w:val="24"/>
        </w:rPr>
        <w:t>PTV</w:t>
      </w:r>
      <w:r>
        <w:rPr>
          <w:rFonts w:hint="eastAsia" w:ascii="仿宋" w:hAnsi="仿宋" w:eastAsia="仿宋"/>
          <w:sz w:val="24"/>
        </w:rPr>
        <w:t>运营平台、第三方权益平台、运营商</w:t>
      </w:r>
      <w:r>
        <w:rPr>
          <w:rFonts w:hint="eastAsia" w:ascii="仿宋" w:hAnsi="仿宋" w:eastAsia="仿宋"/>
          <w:sz w:val="24"/>
          <w:lang w:val="en-US" w:eastAsia="zh-CN"/>
        </w:rPr>
        <w:t>业管平台、运营商CRM</w:t>
      </w:r>
      <w:r>
        <w:rPr>
          <w:rFonts w:hint="eastAsia" w:ascii="仿宋" w:hAnsi="仿宋" w:eastAsia="仿宋"/>
          <w:sz w:val="24"/>
        </w:rPr>
        <w:t>等系统</w:t>
      </w:r>
      <w:r>
        <w:rPr>
          <w:rFonts w:ascii="仿宋" w:hAnsi="仿宋" w:eastAsia="仿宋"/>
          <w:sz w:val="24"/>
        </w:rPr>
        <w:t>对接，</w:t>
      </w:r>
      <w:r>
        <w:rPr>
          <w:rFonts w:hint="eastAsia" w:ascii="仿宋" w:hAnsi="仿宋" w:eastAsia="仿宋"/>
          <w:sz w:val="24"/>
        </w:rPr>
        <w:t>实现覆盖I</w:t>
      </w:r>
      <w:r>
        <w:rPr>
          <w:rFonts w:ascii="仿宋" w:hAnsi="仿宋" w:eastAsia="仿宋"/>
          <w:sz w:val="24"/>
        </w:rPr>
        <w:t>PTV</w:t>
      </w:r>
      <w:r>
        <w:rPr>
          <w:rFonts w:hint="eastAsia" w:ascii="仿宋" w:hAnsi="仿宋" w:eastAsia="仿宋"/>
          <w:sz w:val="24"/>
        </w:rPr>
        <w:t>业务从开户、终端开机认证以及增值业务订购等全流程业务场景。</w:t>
      </w:r>
    </w:p>
    <w:p w14:paraId="0B25D2C5">
      <w:pPr>
        <w:keepNext w:val="0"/>
        <w:keepLines w:val="0"/>
        <w:pageBreakBefore w:val="0"/>
        <w:widowControl w:val="0"/>
        <w:kinsoku/>
        <w:wordWrap/>
        <w:overflowPunct/>
        <w:topLinePunct w:val="0"/>
        <w:autoSpaceDE/>
        <w:autoSpaceDN/>
        <w:bidi w:val="0"/>
        <w:adjustRightInd/>
        <w:snapToGrid/>
        <w:spacing w:before="120" w:after="120" w:line="360" w:lineRule="auto"/>
        <w:ind w:left="0"/>
        <w:jc w:val="left"/>
        <w:textAlignment w:val="auto"/>
        <w:rPr>
          <w:rFonts w:ascii="仿宋" w:hAnsi="仿宋" w:eastAsia="仿宋"/>
          <w:sz w:val="24"/>
        </w:rPr>
      </w:pPr>
      <w:r>
        <w:rPr>
          <w:rFonts w:hint="eastAsia" w:ascii="仿宋" w:hAnsi="仿宋" w:eastAsia="仿宋"/>
          <w:sz w:val="24"/>
        </w:rPr>
        <w:t>根据业务部门提出的业务需求，需要在原有的I</w:t>
      </w:r>
      <w:r>
        <w:rPr>
          <w:rFonts w:ascii="仿宋" w:hAnsi="仿宋" w:eastAsia="仿宋"/>
          <w:sz w:val="24"/>
        </w:rPr>
        <w:t>PTV BOSS</w:t>
      </w:r>
      <w:r>
        <w:rPr>
          <w:rFonts w:hint="eastAsia" w:ascii="仿宋" w:hAnsi="仿宋" w:eastAsia="仿宋"/>
          <w:sz w:val="24"/>
        </w:rPr>
        <w:t>系统的</w:t>
      </w:r>
      <w:r>
        <w:rPr>
          <w:rFonts w:hint="eastAsia" w:ascii="仿宋" w:hAnsi="仿宋" w:eastAsia="仿宋" w:cs="黑体"/>
          <w:sz w:val="24"/>
        </w:rPr>
        <w:t>基础上，对系统的功能进行扩展优化，以符合业务的发展需求。</w:t>
      </w:r>
      <w:r>
        <w:rPr>
          <w:rFonts w:hint="eastAsia" w:ascii="仿宋" w:hAnsi="仿宋" w:eastAsia="仿宋" w:cs="仿宋"/>
          <w:sz w:val="24"/>
          <w:szCs w:val="24"/>
        </w:rPr>
        <w:t>本期优化项目将重点围绕认证调度体系、订购与支付体验、商品与订单权益管理进行系统性改造</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如图所示，</w:t>
      </w:r>
      <w:r>
        <w:rPr>
          <w:rFonts w:hint="eastAsia" w:ascii="仿宋" w:hAnsi="仿宋" w:eastAsia="仿宋" w:cs="仿宋"/>
          <w:sz w:val="24"/>
          <w:szCs w:val="24"/>
        </w:rPr>
        <w:t>具体将</w:t>
      </w:r>
      <w:r>
        <w:rPr>
          <w:rFonts w:hint="eastAsia" w:ascii="仿宋" w:hAnsi="仿宋" w:eastAsia="仿宋" w:cs="仿宋"/>
          <w:sz w:val="24"/>
          <w:szCs w:val="24"/>
          <w:lang w:val="en-US" w:eastAsia="zh-CN"/>
        </w:rPr>
        <w:t>计划</w:t>
      </w:r>
      <w:r>
        <w:rPr>
          <w:rFonts w:hint="eastAsia" w:ascii="仿宋" w:hAnsi="仿宋" w:eastAsia="仿宋" w:cs="仿宋"/>
          <w:sz w:val="24"/>
          <w:szCs w:val="24"/>
        </w:rPr>
        <w:t>对绿色模块所示的核心服务及管理功能进行增强和优化，以全面提升系统的业务承载力、运营效率和安全合规水平。</w:t>
      </w:r>
    </w:p>
    <w:p w14:paraId="45138BCF">
      <w:pPr>
        <w:adjustRightInd w:val="0"/>
        <w:snapToGrid w:val="0"/>
        <w:spacing w:after="156"/>
        <w:ind w:firstLine="480" w:firstLineChars="200"/>
        <w:rPr>
          <w:rFonts w:ascii="仿宋" w:hAnsi="仿宋" w:eastAsia="仿宋" w:cs="宋体"/>
          <w:bCs/>
          <w:sz w:val="24"/>
        </w:rPr>
      </w:pPr>
      <w:r>
        <w:rPr>
          <w:rFonts w:hint="eastAsia" w:ascii="仿宋" w:hAnsi="仿宋" w:eastAsia="仿宋" w:cs="宋体"/>
          <w:bCs/>
          <w:sz w:val="24"/>
        </w:rPr>
        <w:t>本期建设在原有平台的基础上进行软件升级改造，不涉及硬件平台,项目</w:t>
      </w:r>
      <w:r>
        <w:rPr>
          <w:rFonts w:hint="eastAsia" w:ascii="仿宋" w:hAnsi="仿宋" w:eastAsia="仿宋" w:cs="宋体"/>
          <w:bCs/>
          <w:sz w:val="24"/>
          <w:lang w:val="en-US" w:eastAsia="zh-CN"/>
        </w:rPr>
        <w:t>建设功能</w:t>
      </w:r>
      <w:r>
        <w:rPr>
          <w:rFonts w:hint="eastAsia" w:ascii="仿宋" w:hAnsi="仿宋" w:eastAsia="仿宋" w:cs="宋体"/>
          <w:bCs/>
          <w:sz w:val="24"/>
        </w:rPr>
        <w:t>如</w:t>
      </w:r>
      <w:r>
        <w:rPr>
          <w:rFonts w:hint="eastAsia" w:ascii="仿宋" w:hAnsi="仿宋" w:eastAsia="仿宋" w:cs="宋体"/>
          <w:bCs/>
          <w:sz w:val="24"/>
          <w:lang w:val="en-US" w:eastAsia="zh-CN"/>
        </w:rPr>
        <w:t>表1</w:t>
      </w:r>
      <w:r>
        <w:rPr>
          <w:rFonts w:hint="eastAsia" w:ascii="仿宋" w:hAnsi="仿宋" w:eastAsia="仿宋" w:cs="宋体"/>
          <w:bCs/>
          <w:sz w:val="24"/>
        </w:rPr>
        <w:t>：</w:t>
      </w:r>
    </w:p>
    <w:tbl>
      <w:tblPr>
        <w:tblStyle w:val="11"/>
        <w:tblW w:w="0" w:type="auto"/>
        <w:tblInd w:w="0" w:type="dxa"/>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Layout w:type="fixed"/>
        <w:tblCellMar>
          <w:top w:w="0" w:type="dxa"/>
          <w:left w:w="10" w:type="dxa"/>
          <w:bottom w:w="0" w:type="dxa"/>
          <w:right w:w="10" w:type="dxa"/>
        </w:tblCellMar>
      </w:tblPr>
      <w:tblGrid>
        <w:gridCol w:w="1335"/>
        <w:gridCol w:w="1335"/>
        <w:gridCol w:w="5610"/>
      </w:tblGrid>
      <w:tr w14:paraId="718BCE06">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460" w:hRule="atLeast"/>
        </w:trPr>
        <w:tc>
          <w:tcPr>
            <w:tcW w:w="1335" w:type="dxa"/>
            <w:tcMar>
              <w:top w:w="60" w:type="dxa"/>
              <w:left w:w="120" w:type="dxa"/>
              <w:bottom w:w="30" w:type="dxa"/>
              <w:right w:w="120" w:type="dxa"/>
            </w:tcMar>
          </w:tcPr>
          <w:p w14:paraId="0D79132D">
            <w:pPr>
              <w:spacing w:before="120" w:after="120" w:line="288" w:lineRule="auto"/>
              <w:ind w:left="0"/>
              <w:jc w:val="left"/>
              <w:rPr>
                <w:rFonts w:hint="eastAsia" w:ascii="仿宋" w:hAnsi="仿宋" w:eastAsia="仿宋" w:cs="仿宋"/>
                <w:b/>
                <w:bCs/>
                <w:sz w:val="24"/>
                <w:szCs w:val="24"/>
              </w:rPr>
            </w:pPr>
            <w:r>
              <w:rPr>
                <w:rFonts w:hint="eastAsia" w:ascii="仿宋" w:hAnsi="仿宋" w:eastAsia="仿宋" w:cs="仿宋"/>
                <w:b/>
                <w:bCs/>
                <w:sz w:val="24"/>
                <w:szCs w:val="24"/>
              </w:rPr>
              <w:t>业务需求</w:t>
            </w:r>
          </w:p>
        </w:tc>
        <w:tc>
          <w:tcPr>
            <w:tcW w:w="1335" w:type="dxa"/>
            <w:tcMar>
              <w:top w:w="60" w:type="dxa"/>
              <w:left w:w="120" w:type="dxa"/>
              <w:bottom w:w="30" w:type="dxa"/>
              <w:right w:w="120" w:type="dxa"/>
            </w:tcMar>
          </w:tcPr>
          <w:p w14:paraId="1AAC42FA">
            <w:pPr>
              <w:spacing w:before="120" w:after="120" w:line="288" w:lineRule="auto"/>
              <w:ind w:left="0"/>
              <w:jc w:val="left"/>
              <w:rPr>
                <w:rFonts w:hint="eastAsia" w:ascii="仿宋" w:hAnsi="仿宋" w:eastAsia="仿宋" w:cs="仿宋"/>
                <w:b/>
                <w:bCs/>
                <w:sz w:val="24"/>
                <w:szCs w:val="24"/>
              </w:rPr>
            </w:pPr>
            <w:r>
              <w:rPr>
                <w:rFonts w:hint="eastAsia" w:ascii="仿宋" w:hAnsi="仿宋" w:eastAsia="仿宋" w:cs="仿宋"/>
                <w:b/>
                <w:bCs/>
                <w:sz w:val="24"/>
                <w:szCs w:val="24"/>
              </w:rPr>
              <w:t>模块</w:t>
            </w:r>
          </w:p>
        </w:tc>
        <w:tc>
          <w:tcPr>
            <w:tcW w:w="5610" w:type="dxa"/>
            <w:tcMar>
              <w:top w:w="60" w:type="dxa"/>
              <w:left w:w="120" w:type="dxa"/>
              <w:bottom w:w="30" w:type="dxa"/>
              <w:right w:w="120" w:type="dxa"/>
            </w:tcMar>
          </w:tcPr>
          <w:p w14:paraId="30A55D7F">
            <w:pPr>
              <w:spacing w:before="120" w:after="120" w:line="288" w:lineRule="auto"/>
              <w:ind w:left="0"/>
              <w:jc w:val="left"/>
              <w:rPr>
                <w:rFonts w:hint="eastAsia" w:ascii="仿宋" w:hAnsi="仿宋" w:eastAsia="仿宋" w:cs="仿宋"/>
                <w:b/>
                <w:bCs/>
                <w:sz w:val="24"/>
                <w:szCs w:val="24"/>
              </w:rPr>
            </w:pPr>
            <w:r>
              <w:rPr>
                <w:rFonts w:hint="eastAsia" w:ascii="仿宋" w:hAnsi="仿宋" w:eastAsia="仿宋" w:cs="仿宋"/>
                <w:b/>
                <w:bCs/>
                <w:sz w:val="24"/>
                <w:szCs w:val="24"/>
              </w:rPr>
              <w:t>功能描述</w:t>
            </w:r>
          </w:p>
        </w:tc>
      </w:tr>
      <w:tr w14:paraId="7AC73F51">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2863" w:hRule="atLeast"/>
        </w:trPr>
        <w:tc>
          <w:tcPr>
            <w:tcW w:w="1335" w:type="dxa"/>
            <w:tcMar>
              <w:top w:w="60" w:type="dxa"/>
              <w:left w:w="120" w:type="dxa"/>
              <w:bottom w:w="30" w:type="dxa"/>
              <w:right w:w="120" w:type="dxa"/>
            </w:tcMar>
          </w:tcPr>
          <w:p w14:paraId="04D27A22">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用户认证与调度策略升级</w:t>
            </w:r>
          </w:p>
        </w:tc>
        <w:tc>
          <w:tcPr>
            <w:tcW w:w="1335" w:type="dxa"/>
            <w:tcMar>
              <w:top w:w="60" w:type="dxa"/>
              <w:left w:w="120" w:type="dxa"/>
              <w:bottom w:w="30" w:type="dxa"/>
              <w:right w:w="120" w:type="dxa"/>
            </w:tcMar>
          </w:tcPr>
          <w:p w14:paraId="160C2125">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AAA认证服务、调度管理</w:t>
            </w:r>
          </w:p>
          <w:p w14:paraId="0C1F146A">
            <w:pPr>
              <w:spacing w:before="120" w:after="120" w:line="288" w:lineRule="auto"/>
              <w:ind w:left="0"/>
              <w:jc w:val="left"/>
              <w:rPr>
                <w:rFonts w:hint="eastAsia" w:ascii="仿宋" w:hAnsi="仿宋" w:eastAsia="仿宋" w:cs="仿宋"/>
                <w:sz w:val="21"/>
                <w:szCs w:val="21"/>
              </w:rPr>
            </w:pPr>
          </w:p>
        </w:tc>
        <w:tc>
          <w:tcPr>
            <w:tcW w:w="5610" w:type="dxa"/>
            <w:tcMar>
              <w:top w:w="60" w:type="dxa"/>
              <w:left w:w="120" w:type="dxa"/>
              <w:bottom w:w="30" w:type="dxa"/>
              <w:right w:w="120" w:type="dxa"/>
            </w:tcMar>
            <w:vAlign w:val="top"/>
          </w:tcPr>
          <w:p w14:paraId="03CC7C5E">
            <w:pPr>
              <w:spacing w:before="120" w:after="120" w:line="240" w:lineRule="auto"/>
              <w:ind w:left="0"/>
              <w:jc w:val="both"/>
              <w:rPr>
                <w:rFonts w:hint="eastAsia" w:ascii="仿宋" w:hAnsi="仿宋" w:eastAsia="仿宋" w:cs="仿宋"/>
                <w:sz w:val="21"/>
                <w:szCs w:val="21"/>
              </w:rPr>
            </w:pPr>
            <w:r>
              <w:rPr>
                <w:rFonts w:hint="eastAsia" w:ascii="仿宋" w:hAnsi="仿宋" w:eastAsia="仿宋" w:cs="仿宋"/>
                <w:sz w:val="21"/>
                <w:szCs w:val="21"/>
              </w:rPr>
              <w:t>1、升级AAA开机认证与调度匹配机制，支持多优先级策略匹配与兜底配置保障，提升复杂业务场景下认证稳定性。</w:t>
            </w:r>
          </w:p>
          <w:p w14:paraId="4F304894">
            <w:pPr>
              <w:spacing w:before="120" w:after="120" w:line="240" w:lineRule="auto"/>
              <w:ind w:left="0"/>
              <w:jc w:val="both"/>
              <w:rPr>
                <w:rFonts w:hint="eastAsia" w:ascii="仿宋" w:hAnsi="仿宋" w:eastAsia="仿宋" w:cs="仿宋"/>
                <w:sz w:val="21"/>
                <w:szCs w:val="21"/>
              </w:rPr>
            </w:pPr>
            <w:r>
              <w:rPr>
                <w:rFonts w:hint="eastAsia" w:ascii="仿宋" w:hAnsi="仿宋" w:eastAsia="仿宋" w:cs="仿宋"/>
                <w:sz w:val="21"/>
                <w:szCs w:val="21"/>
              </w:rPr>
              <w:t>2、建设用户分组、调度策略与配置项的体系化管理能力，实现差异化访问路径分配与统一治理。</w:t>
            </w:r>
          </w:p>
          <w:p w14:paraId="29DB62FE">
            <w:pPr>
              <w:spacing w:before="120" w:after="120" w:line="240" w:lineRule="auto"/>
              <w:ind w:left="0"/>
              <w:jc w:val="both"/>
              <w:rPr>
                <w:rFonts w:hint="eastAsia" w:ascii="仿宋" w:hAnsi="仿宋" w:eastAsia="仿宋" w:cs="仿宋"/>
                <w:sz w:val="21"/>
                <w:szCs w:val="21"/>
              </w:rPr>
            </w:pPr>
            <w:r>
              <w:rPr>
                <w:rFonts w:hint="eastAsia" w:ascii="仿宋" w:hAnsi="仿宋" w:eastAsia="仿宋" w:cs="仿宋"/>
                <w:sz w:val="21"/>
                <w:szCs w:val="21"/>
              </w:rPr>
              <w:t>3、新增地址库统一维护、引用关系分析与发布管控能力，降低配置风险并提升运维效率。</w:t>
            </w:r>
          </w:p>
          <w:p w14:paraId="6D87BBA1">
            <w:pPr>
              <w:spacing w:before="120" w:after="120" w:line="240" w:lineRule="auto"/>
              <w:ind w:left="0"/>
              <w:jc w:val="both"/>
              <w:rPr>
                <w:rFonts w:hint="eastAsia" w:ascii="仿宋" w:hAnsi="仿宋" w:eastAsia="仿宋" w:cs="仿宋"/>
                <w:sz w:val="21"/>
                <w:szCs w:val="21"/>
              </w:rPr>
            </w:pPr>
            <w:r>
              <w:rPr>
                <w:rFonts w:hint="eastAsia" w:ascii="仿宋" w:hAnsi="仿宋" w:eastAsia="仿宋" w:cs="仿宋"/>
                <w:sz w:val="21"/>
                <w:szCs w:val="21"/>
              </w:rPr>
              <w:t>4、完善电信侧用户缺失场景处理机制，保障认证链路连续可用。</w:t>
            </w:r>
          </w:p>
        </w:tc>
      </w:tr>
      <w:tr w14:paraId="08AD43D9">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2931" w:hRule="atLeast"/>
        </w:trPr>
        <w:tc>
          <w:tcPr>
            <w:tcW w:w="1335" w:type="dxa"/>
            <w:tcMar>
              <w:top w:w="60" w:type="dxa"/>
              <w:left w:w="120" w:type="dxa"/>
              <w:bottom w:w="30" w:type="dxa"/>
              <w:right w:w="120" w:type="dxa"/>
            </w:tcMar>
          </w:tcPr>
          <w:p w14:paraId="3F46E168">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订购页面与支付体验优化</w:t>
            </w:r>
          </w:p>
        </w:tc>
        <w:tc>
          <w:tcPr>
            <w:tcW w:w="1335" w:type="dxa"/>
            <w:tcMar>
              <w:top w:w="60" w:type="dxa"/>
              <w:left w:w="120" w:type="dxa"/>
              <w:bottom w:w="30" w:type="dxa"/>
              <w:right w:w="120" w:type="dxa"/>
            </w:tcMar>
          </w:tcPr>
          <w:p w14:paraId="535EBF62">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订购服务、支付网关、页面管理、商品管理、探针上报</w:t>
            </w:r>
          </w:p>
        </w:tc>
        <w:tc>
          <w:tcPr>
            <w:tcW w:w="5610" w:type="dxa"/>
            <w:tcMar>
              <w:top w:w="60" w:type="dxa"/>
              <w:left w:w="120" w:type="dxa"/>
              <w:bottom w:w="30" w:type="dxa"/>
              <w:right w:w="120" w:type="dxa"/>
            </w:tcMar>
          </w:tcPr>
          <w:p w14:paraId="546CAFDD">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1、新增消费设置入口控制开关，实现页面展示与支付能力联动控制。</w:t>
            </w:r>
          </w:p>
          <w:p w14:paraId="3FD66385">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2、引入快捷支付验证码能力，支持自动填充、免代输入及在屏确认等多种验证方式，提升支付安全与体验。</w:t>
            </w:r>
          </w:p>
          <w:p w14:paraId="12AB5427">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3、优化订购页面协议、备案信息与营销入口展示规则，提升合规性与信息一致性。</w:t>
            </w:r>
          </w:p>
          <w:p w14:paraId="7A397F51">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4、完善订购关键节点探针上报，实现订购行为监测与转化分析能力。</w:t>
            </w:r>
          </w:p>
          <w:p w14:paraId="6913238E">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5、支持非视听产品多编码配置，统一订购态判定逻辑。</w:t>
            </w:r>
          </w:p>
        </w:tc>
      </w:tr>
      <w:tr w14:paraId="02A97472">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1335" w:type="dxa"/>
            <w:tcMar>
              <w:top w:w="60" w:type="dxa"/>
              <w:left w:w="120" w:type="dxa"/>
              <w:bottom w:w="30" w:type="dxa"/>
              <w:right w:w="120" w:type="dxa"/>
            </w:tcMar>
          </w:tcPr>
          <w:p w14:paraId="05A32B1D">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商品与订单权益管理优化</w:t>
            </w:r>
          </w:p>
        </w:tc>
        <w:tc>
          <w:tcPr>
            <w:tcW w:w="1335" w:type="dxa"/>
            <w:tcMar>
              <w:top w:w="60" w:type="dxa"/>
              <w:left w:w="120" w:type="dxa"/>
              <w:bottom w:w="30" w:type="dxa"/>
              <w:right w:w="120" w:type="dxa"/>
            </w:tcMar>
          </w:tcPr>
          <w:p w14:paraId="30B091B9">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商品管理、订单管理、订购服务、卡池接入与第三方充值</w:t>
            </w:r>
          </w:p>
          <w:p w14:paraId="64E2C461">
            <w:pPr>
              <w:spacing w:before="120" w:after="120" w:line="288" w:lineRule="auto"/>
              <w:ind w:left="0"/>
              <w:jc w:val="left"/>
              <w:rPr>
                <w:rFonts w:hint="eastAsia" w:ascii="仿宋" w:hAnsi="仿宋" w:eastAsia="仿宋" w:cs="仿宋"/>
                <w:sz w:val="21"/>
                <w:szCs w:val="21"/>
              </w:rPr>
            </w:pPr>
          </w:p>
        </w:tc>
        <w:tc>
          <w:tcPr>
            <w:tcW w:w="5610" w:type="dxa"/>
            <w:tcMar>
              <w:top w:w="60" w:type="dxa"/>
              <w:left w:w="120" w:type="dxa"/>
              <w:bottom w:w="30" w:type="dxa"/>
              <w:right w:w="120" w:type="dxa"/>
            </w:tcMar>
          </w:tcPr>
          <w:p w14:paraId="57FE924E">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1、优化商品配置规则与计费模型约束，提升配置一致性与操作可控性。</w:t>
            </w:r>
          </w:p>
          <w:p w14:paraId="41A4C8A2">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2、增强订单信息展示与查询能力，支持动态字段配置与核验工具辅助排查。</w:t>
            </w:r>
          </w:p>
          <w:p w14:paraId="11D243D1">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3、建立未生效订单管理与定时生效机制，解决权益延迟与消息乱序问题。</w:t>
            </w:r>
          </w:p>
          <w:p w14:paraId="42865581">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4、优化第三方充值记录管理并提供人工补单能力。</w:t>
            </w:r>
          </w:p>
          <w:p w14:paraId="5D9763B0">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5、接入外部卡池派卡机制并提供失败回退策略，保障第三方权益获取稳定性。</w:t>
            </w:r>
          </w:p>
        </w:tc>
      </w:tr>
      <w:tr w14:paraId="1686408C">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rPr>
          <w:trHeight w:val="2852" w:hRule="atLeast"/>
        </w:trPr>
        <w:tc>
          <w:tcPr>
            <w:tcW w:w="1335" w:type="dxa"/>
            <w:tcMar>
              <w:top w:w="60" w:type="dxa"/>
              <w:left w:w="120" w:type="dxa"/>
              <w:bottom w:w="30" w:type="dxa"/>
              <w:right w:w="120" w:type="dxa"/>
            </w:tcMar>
          </w:tcPr>
          <w:p w14:paraId="01CC604B">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业务管理优化与终端能力适配</w:t>
            </w:r>
          </w:p>
        </w:tc>
        <w:tc>
          <w:tcPr>
            <w:tcW w:w="1335" w:type="dxa"/>
            <w:tcMar>
              <w:top w:w="60" w:type="dxa"/>
              <w:left w:w="120" w:type="dxa"/>
              <w:bottom w:w="30" w:type="dxa"/>
              <w:right w:w="120" w:type="dxa"/>
            </w:tcMar>
          </w:tcPr>
          <w:p w14:paraId="201C0AE0">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用户管理、终端管理</w:t>
            </w:r>
          </w:p>
        </w:tc>
        <w:tc>
          <w:tcPr>
            <w:tcW w:w="5610" w:type="dxa"/>
            <w:tcMar>
              <w:top w:w="60" w:type="dxa"/>
              <w:left w:w="120" w:type="dxa"/>
              <w:bottom w:w="30" w:type="dxa"/>
              <w:right w:w="120" w:type="dxa"/>
            </w:tcMar>
          </w:tcPr>
          <w:p w14:paraId="68249616">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1、优化用户管理能力，支持关联账号展示与一键复机操作。</w:t>
            </w:r>
          </w:p>
          <w:p w14:paraId="7196B6E1">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2、统一查询条件与页签返回刷新机制，提升运营操作效率。</w:t>
            </w:r>
          </w:p>
          <w:p w14:paraId="6901EF57">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3、增强大规模白名单/黑名单导入能力，支持高并发数据处理。</w:t>
            </w:r>
          </w:p>
          <w:p w14:paraId="113B64FA">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4、新增EPG jsview6.0版本文件管理与审核发布流程，实现全生命周期管理。</w:t>
            </w:r>
          </w:p>
        </w:tc>
      </w:tr>
      <w:tr w14:paraId="2AE68E0C">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1335" w:type="dxa"/>
            <w:tcMar>
              <w:top w:w="60" w:type="dxa"/>
              <w:left w:w="120" w:type="dxa"/>
              <w:bottom w:w="30" w:type="dxa"/>
              <w:right w:w="120" w:type="dxa"/>
            </w:tcMar>
          </w:tcPr>
          <w:p w14:paraId="76A0DFA0">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数据协同与系统安全改造</w:t>
            </w:r>
          </w:p>
        </w:tc>
        <w:tc>
          <w:tcPr>
            <w:tcW w:w="1335" w:type="dxa"/>
            <w:tcMar>
              <w:top w:w="60" w:type="dxa"/>
              <w:left w:w="120" w:type="dxa"/>
              <w:bottom w:w="30" w:type="dxa"/>
              <w:right w:w="120" w:type="dxa"/>
            </w:tcMar>
          </w:tcPr>
          <w:p w14:paraId="2AF1D774">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pboss、接口、日志</w:t>
            </w:r>
          </w:p>
        </w:tc>
        <w:tc>
          <w:tcPr>
            <w:tcW w:w="5610" w:type="dxa"/>
            <w:tcMar>
              <w:top w:w="60" w:type="dxa"/>
              <w:left w:w="120" w:type="dxa"/>
              <w:bottom w:w="30" w:type="dxa"/>
              <w:right w:w="120" w:type="dxa"/>
            </w:tcMar>
          </w:tcPr>
          <w:p w14:paraId="08CAA26C">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1、建立订购数据兼容入库机制，支持无产品信息场景的订购数据留存与更新。</w:t>
            </w:r>
          </w:p>
          <w:p w14:paraId="0D7ECBC0">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2、建设统一数据协同总线，实现对外系统标准化数据同步。</w:t>
            </w:r>
          </w:p>
          <w:p w14:paraId="3245EF11">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3、加强敏感信息脱敏与加密处理，满足安全合规要求。</w:t>
            </w:r>
          </w:p>
          <w:p w14:paraId="13FC421B">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4、新增用户安装地址查询接口及快捷支付确认方式修改接口，支持外部系统调用，提升跨系统协同能力。</w:t>
            </w:r>
          </w:p>
        </w:tc>
      </w:tr>
      <w:tr w14:paraId="612457B8">
        <w:tblPrEx>
          <w:tblBorders>
            <w:top w:val="single" w:color="DEE0E3" w:sz="0" w:space="0"/>
            <w:left w:val="single" w:color="DEE0E3" w:sz="0" w:space="0"/>
            <w:bottom w:val="single" w:color="DEE0E3" w:sz="0" w:space="0"/>
            <w:right w:val="single" w:color="DEE0E3" w:sz="0" w:space="0"/>
            <w:insideH w:val="single" w:color="DEE0E3" w:sz="0" w:space="0"/>
            <w:insideV w:val="single" w:color="DEE0E3" w:sz="0" w:space="0"/>
          </w:tblBorders>
          <w:tblCellMar>
            <w:top w:w="0" w:type="dxa"/>
            <w:left w:w="10" w:type="dxa"/>
            <w:bottom w:w="0" w:type="dxa"/>
            <w:right w:w="10" w:type="dxa"/>
          </w:tblCellMar>
        </w:tblPrEx>
        <w:tc>
          <w:tcPr>
            <w:tcW w:w="1335" w:type="dxa"/>
            <w:tcMar>
              <w:top w:w="60" w:type="dxa"/>
              <w:left w:w="120" w:type="dxa"/>
              <w:bottom w:w="30" w:type="dxa"/>
              <w:right w:w="120" w:type="dxa"/>
            </w:tcMar>
          </w:tcPr>
          <w:p w14:paraId="7F0400C4">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系统建设实施与运行保障</w:t>
            </w:r>
          </w:p>
        </w:tc>
        <w:tc>
          <w:tcPr>
            <w:tcW w:w="1335" w:type="dxa"/>
            <w:tcMar>
              <w:top w:w="60" w:type="dxa"/>
              <w:left w:w="120" w:type="dxa"/>
              <w:bottom w:w="30" w:type="dxa"/>
              <w:right w:w="120" w:type="dxa"/>
            </w:tcMar>
          </w:tcPr>
          <w:p w14:paraId="2E838322">
            <w:pPr>
              <w:spacing w:before="120" w:after="120" w:line="288" w:lineRule="auto"/>
              <w:ind w:left="0"/>
              <w:jc w:val="left"/>
              <w:rPr>
                <w:rFonts w:hint="eastAsia" w:ascii="仿宋" w:hAnsi="仿宋" w:eastAsia="仿宋" w:cs="仿宋"/>
                <w:sz w:val="21"/>
                <w:szCs w:val="21"/>
              </w:rPr>
            </w:pPr>
            <w:r>
              <w:rPr>
                <w:rFonts w:hint="eastAsia" w:ascii="仿宋" w:hAnsi="仿宋" w:eastAsia="仿宋" w:cs="仿宋"/>
                <w:sz w:val="21"/>
                <w:szCs w:val="21"/>
              </w:rPr>
              <w:t>部署、迁移、实施、扩容</w:t>
            </w:r>
          </w:p>
        </w:tc>
        <w:tc>
          <w:tcPr>
            <w:tcW w:w="5610" w:type="dxa"/>
            <w:tcMar>
              <w:top w:w="60" w:type="dxa"/>
              <w:left w:w="120" w:type="dxa"/>
              <w:bottom w:w="30" w:type="dxa"/>
              <w:right w:w="120" w:type="dxa"/>
            </w:tcMar>
          </w:tcPr>
          <w:p w14:paraId="45615BD3">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1、推进定时任务集群化改造与存储架构优化，提升系统可靠性。</w:t>
            </w:r>
          </w:p>
          <w:p w14:paraId="1BC3FF4A">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2、完成电信2.0系统迁移部署与割接实施，保障业务平滑过渡。</w:t>
            </w:r>
          </w:p>
          <w:p w14:paraId="20854275">
            <w:pPr>
              <w:spacing w:before="120" w:after="120" w:line="240" w:lineRule="auto"/>
              <w:ind w:left="0"/>
              <w:jc w:val="left"/>
              <w:rPr>
                <w:rFonts w:hint="eastAsia" w:ascii="仿宋" w:hAnsi="仿宋" w:eastAsia="仿宋" w:cs="仿宋"/>
                <w:sz w:val="21"/>
                <w:szCs w:val="21"/>
              </w:rPr>
            </w:pPr>
            <w:r>
              <w:rPr>
                <w:rFonts w:hint="eastAsia" w:ascii="仿宋" w:hAnsi="仿宋" w:eastAsia="仿宋" w:cs="仿宋"/>
                <w:sz w:val="21"/>
                <w:szCs w:val="21"/>
              </w:rPr>
              <w:t>3、通过数据库与应用扩容提升多运营商业务承载能力与系统高可用性。</w:t>
            </w:r>
          </w:p>
        </w:tc>
      </w:tr>
    </w:tbl>
    <w:p w14:paraId="29796C5E">
      <w:pPr>
        <w:pStyle w:val="3"/>
        <w:spacing w:after="156"/>
        <w:ind w:left="0" w:leftChars="0" w:firstLine="0" w:firstLineChars="0"/>
        <w:jc w:val="center"/>
        <w:rPr>
          <w:rFonts w:ascii="仿宋" w:hAnsi="仿宋" w:eastAsia="仿宋" w:cs="仿宋"/>
          <w:sz w:val="24"/>
        </w:rPr>
      </w:pPr>
      <w:r>
        <w:rPr>
          <w:rFonts w:hint="eastAsia" w:ascii="仿宋" w:hAnsi="仿宋" w:eastAsia="仿宋" w:cs="仿宋"/>
          <w:sz w:val="24"/>
        </w:rPr>
        <w:t>表1</w:t>
      </w:r>
      <w:r>
        <w:rPr>
          <w:rFonts w:ascii="仿宋" w:hAnsi="仿宋" w:eastAsia="仿宋" w:cs="仿宋"/>
          <w:sz w:val="24"/>
        </w:rPr>
        <w:t xml:space="preserve"> </w:t>
      </w:r>
      <w:r>
        <w:rPr>
          <w:rFonts w:hint="eastAsia" w:ascii="仿宋" w:hAnsi="仿宋" w:eastAsia="仿宋" w:cs="仿宋"/>
          <w:sz w:val="24"/>
        </w:rPr>
        <w:t>建设功能列表</w:t>
      </w:r>
    </w:p>
    <w:p w14:paraId="6F288BEA">
      <w:pPr>
        <w:pStyle w:val="4"/>
        <w:tabs>
          <w:tab w:val="left" w:pos="576"/>
        </w:tabs>
        <w:spacing w:after="156"/>
        <w:rPr>
          <w:rFonts w:hint="eastAsia" w:ascii="仿宋" w:hAnsi="仿宋" w:eastAsia="仿宋" w:cs="仿宋"/>
          <w:bCs w:val="0"/>
        </w:rPr>
      </w:pPr>
      <w:bookmarkStart w:id="8" w:name="_Toc7202"/>
      <w:r>
        <w:rPr>
          <w:rFonts w:hint="eastAsia" w:ascii="仿宋" w:hAnsi="仿宋" w:eastAsia="仿宋" w:cs="仿宋"/>
          <w:bCs w:val="0"/>
        </w:rPr>
        <w:t>3.1平台功能优化</w:t>
      </w:r>
      <w:bookmarkEnd w:id="8"/>
    </w:p>
    <w:p w14:paraId="04235361">
      <w:pPr>
        <w:pStyle w:val="3"/>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本期项目将重点</w:t>
      </w:r>
      <w:r>
        <w:rPr>
          <w:rFonts w:hint="eastAsia" w:ascii="仿宋" w:hAnsi="仿宋" w:eastAsia="仿宋" w:cs="仿宋"/>
          <w:sz w:val="24"/>
          <w:szCs w:val="24"/>
        </w:rPr>
        <w:t>围绕认证调度体系、订购与支付体验、商品与订单权益管理、进行系统性优化升级</w:t>
      </w:r>
      <w:r>
        <w:rPr>
          <w:rFonts w:hint="eastAsia" w:ascii="仿宋" w:hAnsi="仿宋" w:eastAsia="仿宋" w:cs="仿宋"/>
          <w:sz w:val="24"/>
          <w:szCs w:val="24"/>
          <w:lang w:eastAsia="zh-CN"/>
        </w:rPr>
        <w:t>，</w:t>
      </w:r>
      <w:r>
        <w:rPr>
          <w:rFonts w:hint="eastAsia" w:ascii="仿宋" w:hAnsi="仿宋" w:eastAsia="仿宋" w:cs="仿宋"/>
          <w:sz w:val="24"/>
          <w:szCs w:val="24"/>
        </w:rPr>
        <w:t>在充分复用现有系统架构与业务能力的前提下，通过能力增强与机制优化，提升平台稳定性、运营效率与业务可持续发展能力</w:t>
      </w:r>
      <w:r>
        <w:rPr>
          <w:rFonts w:hint="eastAsia" w:ascii="仿宋" w:hAnsi="仿宋" w:eastAsia="仿宋" w:cs="仿宋"/>
          <w:sz w:val="24"/>
          <w:szCs w:val="24"/>
          <w:lang w:eastAsia="zh-CN"/>
        </w:rPr>
        <w:t>。</w:t>
      </w:r>
    </w:p>
    <w:p w14:paraId="3CCC832B">
      <w:pPr>
        <w:spacing w:before="300" w:after="120" w:line="288" w:lineRule="auto"/>
        <w:ind w:left="0"/>
        <w:jc w:val="left"/>
        <w:outlineLvl w:val="2"/>
        <w:rPr>
          <w:rFonts w:hint="eastAsia" w:ascii="仿宋" w:hAnsi="仿宋" w:eastAsia="仿宋" w:cs="仿宋"/>
          <w:b/>
          <w:bCs/>
          <w:color w:val="auto"/>
          <w:sz w:val="24"/>
          <w:szCs w:val="24"/>
        </w:rPr>
      </w:pPr>
      <w:bookmarkStart w:id="9" w:name="heading_13"/>
      <w:bookmarkStart w:id="10" w:name="_Toc31798"/>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.1 用户认证与调度策略升级</w:t>
      </w:r>
      <w:bookmarkEnd w:id="9"/>
    </w:p>
    <w:p w14:paraId="14E9E5A9">
      <w:pPr>
        <w:spacing w:before="120" w:after="120" w:line="288" w:lineRule="auto"/>
        <w:ind w:left="0" w:firstLine="420" w:firstLineChars="0"/>
        <w:jc w:val="left"/>
        <w:rPr>
          <w:rFonts w:hint="eastAsia" w:ascii="仿宋" w:hAnsi="仿宋" w:eastAsia="仿宋" w:cs="仿宋"/>
          <w:color w:val="auto"/>
          <w:sz w:val="24"/>
          <w:szCs w:val="24"/>
        </w:rPr>
      </w:pPr>
      <w:r>
        <w:rPr>
          <w:rFonts w:hint="eastAsia" w:ascii="仿宋" w:hAnsi="仿宋" w:eastAsia="仿宋" w:cs="仿宋"/>
          <w:color w:val="auto"/>
          <w:sz w:val="24"/>
          <w:szCs w:val="24"/>
        </w:rPr>
        <w:t>围绕 AAA 用户认证与调度策略体系提出升级要求，重点解决现网在多业务接入、策略差异化增强以及运营商侧用户信息同步不完备背景下的稳定性与可运营性问题。通过完善认证调度链路的策略匹配与兜底能力、提升鉴权规则的场景兼容性，并强化调度管理的配置治理与变更可追溯，保障开机认证与配置下发在复杂业务环境中的连续、稳定运行。</w:t>
      </w:r>
    </w:p>
    <w:p w14:paraId="58193CC6">
      <w:pPr>
        <w:spacing w:before="260" w:after="120" w:line="288" w:lineRule="auto"/>
        <w:ind w:left="0"/>
        <w:jc w:val="left"/>
        <w:outlineLvl w:val="3"/>
        <w:rPr>
          <w:rFonts w:hint="eastAsia" w:ascii="仿宋" w:hAnsi="仿宋" w:eastAsia="仿宋" w:cs="仿宋"/>
          <w:b/>
          <w:bCs/>
          <w:color w:val="auto"/>
          <w:sz w:val="24"/>
          <w:szCs w:val="24"/>
        </w:rPr>
      </w:pPr>
      <w:bookmarkStart w:id="11" w:name="heading_14"/>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.1.1 AAA 开机认证升级改造</w:t>
      </w:r>
      <w:bookmarkEnd w:id="11"/>
    </w:p>
    <w:p w14:paraId="297911B1">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对现有 AAA 开机认证流程与接口能力进行升级，优化调度匹配与校验规则，提升开机认证与调度下发的稳定性，增强现网业务承载能力。</w:t>
      </w:r>
    </w:p>
    <w:p w14:paraId="42DDD4EC">
      <w:pPr>
        <w:numPr>
          <w:ilvl w:val="0"/>
          <w:numId w:val="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策略匹配能力增强</w:t>
      </w:r>
    </w:p>
    <w:p w14:paraId="020C5845">
      <w:pPr>
        <w:numPr>
          <w:ilvl w:val="0"/>
          <w:numId w:val="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支持更灵活的策略规则与匹配机制，按照用户分组自定义策略&gt;用户分组默认策略&gt;EPG兜底配置的优先级进行匹配，以满足不同业务与不同用户群的差异化调度需求。</w:t>
      </w:r>
    </w:p>
    <w:p w14:paraId="41D67BD9">
      <w:pPr>
        <w:numPr>
          <w:ilvl w:val="0"/>
          <w:numId w:val="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用户分组自定义策略，增加用户区域维度，同一用户分组下不同类型的自定义策略，按照各类型的优先级决定匹配结果。</w:t>
      </w:r>
    </w:p>
    <w:p w14:paraId="79252354">
      <w:pPr>
        <w:numPr>
          <w:ilvl w:val="0"/>
          <w:numId w:val="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电信侧用户缺失处理</w:t>
      </w:r>
    </w:p>
    <w:p w14:paraId="2CC35526">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针对电信侧用户，如本系统中不存在该用户或用户无分组，需返回默认用户分组配置保障可用性，并将用户信息保存入库，用于提升运营商侧用户信息同步的完备性与一致性。</w:t>
      </w:r>
    </w:p>
    <w:p w14:paraId="3FA7B76A">
      <w:pPr>
        <w:spacing w:before="260" w:after="120" w:line="288" w:lineRule="auto"/>
        <w:ind w:left="0"/>
        <w:jc w:val="left"/>
        <w:outlineLvl w:val="3"/>
        <w:rPr>
          <w:rFonts w:hint="eastAsia" w:ascii="仿宋" w:hAnsi="仿宋" w:eastAsia="仿宋" w:cs="仿宋"/>
          <w:b/>
          <w:bCs/>
          <w:color w:val="auto"/>
          <w:sz w:val="24"/>
          <w:szCs w:val="24"/>
        </w:rPr>
      </w:pPr>
      <w:bookmarkStart w:id="12" w:name="heading_15"/>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.1.2 调度管理精细化升级</w:t>
      </w:r>
      <w:bookmarkEnd w:id="12"/>
    </w:p>
    <w:p w14:paraId="281BE9F4">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对调度配置的运维管理能力进行优化升级，通过“用户分组—调度策略—配置项—地址库”的体系化配置，实现不同用户群在服务地址、入口页面等访问资源上的差异化分配，强化调度治理的灵活性与安全性，并配套策略验证手段，降低配置风险，增强调度的可治理与可控性，提升运维与运营效率。</w:t>
      </w:r>
    </w:p>
    <w:p w14:paraId="18954E1B">
      <w:pPr>
        <w:numPr>
          <w:ilvl w:val="0"/>
          <w:numId w:val="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地址库</w:t>
      </w:r>
    </w:p>
    <w:p w14:paraId="4A2B0E1D">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地址库用于维护终端用户访问所需的服务地址与入口地址，并作为调度策略选择地址的唯一来源。地址库需具备“可维护、可发布、可检索、可管控引用影响面”的能力。</w:t>
      </w:r>
    </w:p>
    <w:p w14:paraId="2A9A3167">
      <w:pPr>
        <w:numPr>
          <w:ilvl w:val="0"/>
          <w:numId w:val="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地址统一维护：支持地址的新建、修改、删除、发布及批量发布。发布成功后，所有引用了该地址的策略将在下发配置时使用新的地址链接参数，强化突发故障时的应对能力与处理效率。</w:t>
      </w:r>
    </w:p>
    <w:p w14:paraId="4ED77E6C">
      <w:pPr>
        <w:numPr>
          <w:ilvl w:val="0"/>
          <w:numId w:val="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可用性管控（启用/禁用）：支持对地址的启用与禁用管理，控制新策略配置时的可选范围；同时对已生效策略保持兼容，确保运营控制与现网稳定兼顾。  </w:t>
      </w:r>
    </w:p>
    <w:p w14:paraId="447B639B">
      <w:pPr>
        <w:numPr>
          <w:ilvl w:val="0"/>
          <w:numId w:val="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提供地址备注字段，便于运营人员补充说明地址的相关信息，以便快速识别。</w:t>
      </w:r>
    </w:p>
    <w:p w14:paraId="53D2B101">
      <w:pPr>
        <w:numPr>
          <w:ilvl w:val="0"/>
          <w:numId w:val="1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引用关系与影响面分析：支持查看地址被哪些用户分组与策略引用，并在列表侧体现关联规模（如关联分组数），支撑变更评估、风险控制与配置治理。  </w:t>
      </w:r>
    </w:p>
    <w:p w14:paraId="6801D0F8">
      <w:pPr>
        <w:numPr>
          <w:ilvl w:val="0"/>
          <w:numId w:val="1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删除与发布规则约束：对地址删除需具备引用校验与状态化管控（如已被引用的禁止删除并给出影响范围），避免误删误改影响现网调度。</w:t>
      </w:r>
    </w:p>
    <w:p w14:paraId="22FC8A0B">
      <w:pPr>
        <w:numPr>
          <w:ilvl w:val="0"/>
          <w:numId w:val="1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配置项</w:t>
      </w:r>
    </w:p>
    <w:p w14:paraId="0F907D9F">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配置项代表终端用户需要访问的具体应用或页面入口（如 EPGServer、AAAServer等），是调度策略配置地址的标准化“条目集合”。</w:t>
      </w:r>
    </w:p>
    <w:p w14:paraId="1A16CC12">
      <w:pPr>
        <w:numPr>
          <w:ilvl w:val="0"/>
          <w:numId w:val="1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配置项统一维护：支持配置项的新建、修改、删除与查询，配置项编码作为唯一标识需保持稳定不可变，确保策略配置引用的一致性与可持续演进。  </w:t>
      </w:r>
    </w:p>
    <w:p w14:paraId="5C9209E3">
      <w:pPr>
        <w:numPr>
          <w:ilvl w:val="0"/>
          <w:numId w:val="1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标签化聚合展示：在策略配置时，配置项支持按标签（如常用主地址/常用备地址等）进行分栏聚合展示，降低策略配置页面的复杂度。  </w:t>
      </w:r>
    </w:p>
    <w:p w14:paraId="2E413F0C">
      <w:pPr>
        <w:numPr>
          <w:ilvl w:val="0"/>
          <w:numId w:val="1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引用约束与风险控制：配置项的删除需具备引用校验与管控机制，已被关联的配置项禁止删除，避免对既有生效策略产生不可控影响。  </w:t>
      </w:r>
    </w:p>
    <w:p w14:paraId="1B1BCEA1">
      <w:pPr>
        <w:numPr>
          <w:ilvl w:val="0"/>
          <w:numId w:val="1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调度策略</w:t>
      </w:r>
    </w:p>
    <w:p w14:paraId="5F6196A1">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调度策略作为开机认证调度的核心能力，需支持在用户分组下配置分组默认策略与多条自定义策略，保障不同用户群能够获得正确且可控的访问路径。</w:t>
      </w:r>
    </w:p>
    <w:p w14:paraId="33BA0332">
      <w:pPr>
        <w:numPr>
          <w:ilvl w:val="0"/>
          <w:numId w:val="1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策略规则与优先级体系明确化：策略需支持按 IP 段、用户区域、用户账号段、用户账号清单等维度进行条件定义，匹配参数允许多值、多区间。  </w:t>
      </w:r>
    </w:p>
    <w:p w14:paraId="79526AFC">
      <w:pPr>
        <w:numPr>
          <w:ilvl w:val="0"/>
          <w:numId w:val="1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策略配置地址范围可控：配置时只允许从地址库选择，支持根据地址名称、地址链接查询地址。为提升操作便捷性，在选择填充地址时，系统可依据配置项名称从地址库中自动查询后给出选择范围，便于运维人员快速定位，提升策略配置准确性。</w:t>
      </w:r>
    </w:p>
    <w:p w14:paraId="772207CC">
      <w:pPr>
        <w:numPr>
          <w:ilvl w:val="0"/>
          <w:numId w:val="1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配置完整性保障：支持调度策略的配置表在无地址时可生成空记录，确保配置项被完整覆盖，提升开机调度下发的稳定性。  </w:t>
      </w:r>
    </w:p>
    <w:p w14:paraId="4591266B">
      <w:pPr>
        <w:numPr>
          <w:ilvl w:val="0"/>
          <w:numId w:val="2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EPG兜底配置可维护：增加EPG兜底配置页面，支持在线修改各机房的兜底配置地址链接。</w:t>
      </w:r>
    </w:p>
    <w:p w14:paraId="26F74E29">
      <w:pPr>
        <w:numPr>
          <w:ilvl w:val="0"/>
          <w:numId w:val="2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批量发布能力：支持用户分组下多策略一键批量发布，满足集中上线、批量调整与应急切换场景的效率诉求。</w:t>
      </w:r>
    </w:p>
    <w:p w14:paraId="3A380E18">
      <w:pPr>
        <w:spacing w:before="300" w:after="120" w:line="288" w:lineRule="auto"/>
        <w:ind w:left="0"/>
        <w:jc w:val="left"/>
        <w:outlineLvl w:val="2"/>
        <w:rPr>
          <w:rFonts w:hint="eastAsia" w:ascii="仿宋" w:hAnsi="仿宋" w:eastAsia="仿宋" w:cs="仿宋"/>
          <w:b/>
          <w:bCs/>
          <w:color w:val="auto"/>
          <w:sz w:val="24"/>
          <w:szCs w:val="24"/>
        </w:rPr>
      </w:pPr>
      <w:bookmarkStart w:id="13" w:name="heading_16"/>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 订购页面与支付体验优化</w:t>
      </w:r>
      <w:bookmarkEnd w:id="13"/>
    </w:p>
    <w:p w14:paraId="48F647A4">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面向订购与支付链路进行体验与能力升级，重点提升“用户可见信息一致性、支付验证安全性、页面合规展示完整性、以及运营可配置能力”。通过引入新的用户开关类型，叠加快捷支付验证码能力、优化协议与产品信息展示、以及完善探针上报等，保障订购转化与支付安全并行。</w:t>
      </w:r>
    </w:p>
    <w:p w14:paraId="5D200B9A">
      <w:pPr>
        <w:spacing w:before="260" w:after="120" w:line="288" w:lineRule="auto"/>
        <w:ind w:left="0"/>
        <w:jc w:val="left"/>
        <w:outlineLvl w:val="3"/>
        <w:rPr>
          <w:rFonts w:hint="eastAsia" w:ascii="仿宋" w:hAnsi="仿宋" w:eastAsia="仿宋" w:cs="仿宋"/>
          <w:b/>
          <w:bCs/>
          <w:color w:val="auto"/>
          <w:sz w:val="24"/>
          <w:szCs w:val="24"/>
        </w:rPr>
      </w:pPr>
      <w:bookmarkStart w:id="14" w:name="heading_17"/>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.2.1 消费设置入口控制</w:t>
      </w:r>
      <w:bookmarkEnd w:id="14"/>
    </w:p>
    <w:p w14:paraId="3F0810B4">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新增一类用户开关用于控制订购页是否展示消费设置入口，并与话费支付可用性、验证方式形成联动规则，确保页面呈现与支付路径一致、可控。</w:t>
      </w:r>
    </w:p>
    <w:p w14:paraId="4DA80DB2">
      <w:pPr>
        <w:numPr>
          <w:ilvl w:val="0"/>
          <w:numId w:val="2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用户管理模块改造</w:t>
      </w:r>
    </w:p>
    <w:p w14:paraId="69DC0B60">
      <w:pPr>
        <w:numPr>
          <w:ilvl w:val="0"/>
          <w:numId w:val="2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新增用户开关类型：在用户配置中新增用户开关类型 “禁止显示消费设置开关”。</w:t>
      </w:r>
    </w:p>
    <w:p w14:paraId="491EE7D2">
      <w:pPr>
        <w:numPr>
          <w:ilvl w:val="0"/>
          <w:numId w:val="2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开关维护能力：支持对该开关进行单个与批量修改，并记录每个用户开关的变更记录，支持按该开关类型进行查询筛选并展示用户配置结果。  </w:t>
      </w:r>
    </w:p>
    <w:p w14:paraId="04017A08">
      <w:pPr>
        <w:numPr>
          <w:ilvl w:val="0"/>
          <w:numId w:val="2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订购页面相关改造</w:t>
      </w:r>
    </w:p>
    <w:p w14:paraId="4DF4CEC2">
      <w:pPr>
        <w:numPr>
          <w:ilvl w:val="0"/>
          <w:numId w:val="2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页面按规则展示：当用户的“禁止显示消费设置开关”为开启时，我的订购页面不显示“消费设置”按钮。</w:t>
      </w:r>
    </w:p>
    <w:p w14:paraId="06E8ED7E">
      <w:pPr>
        <w:numPr>
          <w:ilvl w:val="0"/>
          <w:numId w:val="2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支付联动规则： </w:t>
      </w:r>
    </w:p>
    <w:p w14:paraId="2C05CB46">
      <w:pPr>
        <w:numPr>
          <w:ilvl w:val="0"/>
          <w:numId w:val="28"/>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禁止显示消费设置开关为关，订购时，用户的话费支付开关为开，强制为短信二次确认</w:t>
      </w:r>
    </w:p>
    <w:p w14:paraId="0C431EBA">
      <w:pPr>
        <w:numPr>
          <w:ilvl w:val="0"/>
          <w:numId w:val="29"/>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禁止显示消费设置开关为关，订购时，用户的话费支付开关为关，不允许话费支付</w:t>
      </w:r>
    </w:p>
    <w:p w14:paraId="3F40E2ED">
      <w:pPr>
        <w:spacing w:before="260" w:after="120" w:line="288" w:lineRule="auto"/>
        <w:ind w:left="0"/>
        <w:jc w:val="left"/>
        <w:outlineLvl w:val="3"/>
        <w:rPr>
          <w:rFonts w:hint="eastAsia" w:ascii="仿宋" w:hAnsi="仿宋" w:eastAsia="仿宋" w:cs="仿宋"/>
          <w:b/>
          <w:bCs/>
          <w:color w:val="auto"/>
          <w:sz w:val="24"/>
          <w:szCs w:val="24"/>
        </w:rPr>
      </w:pPr>
      <w:bookmarkStart w:id="15" w:name="heading_18"/>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.2.2 快捷支付验证能力</w:t>
      </w:r>
      <w:bookmarkEnd w:id="15"/>
    </w:p>
    <w:p w14:paraId="6C66923F">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为进一步规范宽带电视IPTV增值业务订购和使用和规范性，需对电视增值业务在屏订购快捷支付场景做进一步优化，将短信验证码应用于在屏订购，做到消费全过程合规透明。</w:t>
      </w:r>
    </w:p>
    <w:p w14:paraId="1FD1E7EC">
      <w:pPr>
        <w:numPr>
          <w:ilvl w:val="0"/>
          <w:numId w:val="3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订购页面交互体验</w:t>
      </w:r>
    </w:p>
    <w:p w14:paraId="0A1623E2">
      <w:pPr>
        <w:numPr>
          <w:ilvl w:val="0"/>
          <w:numId w:val="3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快捷支付验证方式：支持直接在屏确认、短信验证码免代输入、验证码自动输入三种方式</w:t>
      </w:r>
    </w:p>
    <w:p w14:paraId="1F6456FD">
      <w:pPr>
        <w:numPr>
          <w:ilvl w:val="0"/>
          <w:numId w:val="32"/>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直接在屏确认：无需验证码，确定后即可订购。</w:t>
      </w:r>
    </w:p>
    <w:p w14:paraId="3921D114">
      <w:pPr>
        <w:numPr>
          <w:ilvl w:val="0"/>
          <w:numId w:val="33"/>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短信验证码免代输入：验证码输入弹窗提供一键填充验证码按钮，用户点击按钮后，即可填充验证码，同时支持遥控器数字键输入。</w:t>
      </w:r>
    </w:p>
    <w:p w14:paraId="4D2F7AFE">
      <w:pPr>
        <w:numPr>
          <w:ilvl w:val="0"/>
          <w:numId w:val="34"/>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验证码自动输入：验证码输入弹窗打开后，系统自动为用户填充验证码，减少用户人为操作。光标需默认放在"取消"上。</w:t>
      </w:r>
    </w:p>
    <w:p w14:paraId="1C58C0D1">
      <w:pPr>
        <w:numPr>
          <w:ilvl w:val="0"/>
          <w:numId w:val="3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验证码获取与校验： 对接外部平台，在触发快捷支付订购且需验证码时，自动获取验证码，并根据配置策略（自动输入/免代输入）执行验证码填充；输入完成后进行验证码正确性校验。</w:t>
      </w:r>
    </w:p>
    <w:p w14:paraId="71BE7B03">
      <w:pPr>
        <w:numPr>
          <w:ilvl w:val="0"/>
          <w:numId w:val="3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验证码弹窗触发保护：</w:t>
      </w:r>
    </w:p>
    <w:p w14:paraId="648B0C10">
      <w:pPr>
        <w:numPr>
          <w:ilvl w:val="0"/>
          <w:numId w:val="37"/>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为产品的“确认支付”按钮添加防止重复提交保护，用户点击了“确认支付”按钮后，调用接口期间不重复发请求。</w:t>
      </w:r>
    </w:p>
    <w:p w14:paraId="3C5F278C">
      <w:pPr>
        <w:numPr>
          <w:ilvl w:val="0"/>
          <w:numId w:val="38"/>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用户点击同一个产品的“确认支付”按钮5次，显示5次弹窗后。再次点击“确认支付”按钮，提示操作频繁。切换支付方式或者产品之后才能继续点击“确认支付”并弹窗。</w:t>
      </w:r>
    </w:p>
    <w:p w14:paraId="2A09574B">
      <w:pPr>
        <w:numPr>
          <w:ilvl w:val="0"/>
          <w:numId w:val="3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快捷支付确认方式配置能力</w:t>
      </w:r>
    </w:p>
    <w:p w14:paraId="1079D358">
      <w:pPr>
        <w:numPr>
          <w:ilvl w:val="0"/>
          <w:numId w:val="4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三种快捷支付确认方式，支持配置匹配规则，条件维度包括用户区域、用户分组、适用商品。</w:t>
      </w:r>
    </w:p>
    <w:p w14:paraId="44B3EA10">
      <w:pPr>
        <w:numPr>
          <w:ilvl w:val="0"/>
          <w:numId w:val="4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支持为匹配规则设置优先级，符合多个规则的条件时，按照优先级决定命中结果。</w:t>
      </w:r>
    </w:p>
    <w:p w14:paraId="3A08ABAD">
      <w:pPr>
        <w:numPr>
          <w:ilvl w:val="0"/>
          <w:numId w:val="4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规则条件维度允许多值，任一值符合视为满足该条件；允许为空，为空表明不设限制；多条件均设值的情况下，需同时满足多个条件。</w:t>
      </w:r>
    </w:p>
    <w:p w14:paraId="366C80F0">
      <w:pPr>
        <w:spacing w:before="260" w:after="120" w:line="288" w:lineRule="auto"/>
        <w:ind w:left="0"/>
        <w:jc w:val="left"/>
        <w:outlineLvl w:val="3"/>
        <w:rPr>
          <w:rFonts w:hint="eastAsia" w:ascii="仿宋" w:hAnsi="仿宋" w:eastAsia="仿宋" w:cs="仿宋"/>
          <w:b/>
          <w:bCs/>
          <w:color w:val="auto"/>
          <w:sz w:val="24"/>
          <w:szCs w:val="24"/>
        </w:rPr>
      </w:pPr>
      <w:bookmarkStart w:id="16" w:name="heading_19"/>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.2.3 页面信息展示优化</w:t>
      </w:r>
      <w:bookmarkEnd w:id="16"/>
    </w:p>
    <w:p w14:paraId="746BEDCF">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面向合规展示与运营识别需求，对订购页协议相关文案与产品信息展示进行统一优化，确保终端侧信息表达准确、可追溯、可配置。</w:t>
      </w:r>
    </w:p>
    <w:p w14:paraId="3C962790">
      <w:pPr>
        <w:numPr>
          <w:ilvl w:val="0"/>
          <w:numId w:val="4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服务协议页面</w:t>
      </w:r>
    </w:p>
    <w:p w14:paraId="40C916D1">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服务协议页面文本信息变更较为频繁，需支持可在管理后台修改服务协议文本，审核通过并发布后在前端订购页面展示。</w:t>
      </w:r>
    </w:p>
    <w:p w14:paraId="04BAE628">
      <w:pPr>
        <w:numPr>
          <w:ilvl w:val="0"/>
          <w:numId w:val="4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订购信息页面通用规则</w:t>
      </w:r>
    </w:p>
    <w:p w14:paraId="230F516E">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订购信息页新增通用规则展示，需支持可在管理后台修改通用规则文本，审核通过并发布后在前端订购页面展示。</w:t>
      </w:r>
    </w:p>
    <w:p w14:paraId="1B026167">
      <w:pPr>
        <w:numPr>
          <w:ilvl w:val="0"/>
          <w:numId w:val="4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营销活动入口相关优化</w:t>
      </w:r>
    </w:p>
    <w:p w14:paraId="2D728E6B">
      <w:pPr>
        <w:numPr>
          <w:ilvl w:val="0"/>
          <w:numId w:val="4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营销入口交互约束：支持从营销活动入口进入现有订购页面，此时“订购信息”按钮需限制聚焦与跳转；订购页需展示入口传入的产品信息。</w:t>
      </w:r>
    </w:p>
    <w:p w14:paraId="3D8476EC">
      <w:pPr>
        <w:numPr>
          <w:ilvl w:val="0"/>
          <w:numId w:val="4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活动归因关系记录：营销活动触发下单需记录“订购与营销活动”的关联关系，为后续效果分析提供数据依据。</w:t>
      </w:r>
    </w:p>
    <w:p w14:paraId="1FA83F6F">
      <w:pPr>
        <w:numPr>
          <w:ilvl w:val="0"/>
          <w:numId w:val="4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产品订购页面展示优化</w:t>
      </w:r>
    </w:p>
    <w:p w14:paraId="1955E506">
      <w:pPr>
        <w:numPr>
          <w:ilvl w:val="0"/>
          <w:numId w:val="4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默认背景图更新：订购页面产品默认背景图更换为带视听编号的背景图版本。  </w:t>
      </w:r>
    </w:p>
    <w:p w14:paraId="55B910E4">
      <w:pPr>
        <w:numPr>
          <w:ilvl w:val="0"/>
          <w:numId w:val="5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备案编码展示：订购页面需支持根据当前商品+支付方式，展示移动产品备案编码，数据来源于管理后台配置。  </w:t>
      </w:r>
    </w:p>
    <w:p w14:paraId="6DF59130">
      <w:pPr>
        <w:numPr>
          <w:ilvl w:val="0"/>
          <w:numId w:val="5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备案编码配置：管理后台需要扩展商品支付配置，新增一栏移动产品备案编码，供运营人员配置。</w:t>
      </w:r>
    </w:p>
    <w:p w14:paraId="1FC81735">
      <w:pPr>
        <w:numPr>
          <w:ilvl w:val="0"/>
          <w:numId w:val="5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组合商品卡片展示顺序：组合商品卡片之间的展示优先级由组合内商品的最高展示序号决定，即取组合内展示序号优先级最高的商品作为该组合的排序依据，并据此进行组合间排序。示例：若组合 A 内最高优先级商品展示序号高于组合 B，则组合 A 优先展示。</w:t>
      </w:r>
    </w:p>
    <w:p w14:paraId="1F94768B">
      <w:pPr>
        <w:numPr>
          <w:ilvl w:val="0"/>
          <w:numId w:val="5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账号非空校验与异常跳转</w:t>
      </w:r>
    </w:p>
    <w:p w14:paraId="4D63A8F4">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订购页及订购信息页增加用户账号非空校验；当账号为空时，跳转到错误提示页。</w:t>
      </w:r>
    </w:p>
    <w:p w14:paraId="1CEE7D63">
      <w:pPr>
        <w:spacing w:before="260" w:after="120" w:line="288" w:lineRule="auto"/>
        <w:ind w:left="0"/>
        <w:jc w:val="left"/>
        <w:outlineLvl w:val="3"/>
        <w:rPr>
          <w:rFonts w:hint="eastAsia" w:ascii="仿宋" w:hAnsi="仿宋" w:eastAsia="仿宋" w:cs="仿宋"/>
          <w:b/>
          <w:bCs/>
          <w:color w:val="auto"/>
          <w:sz w:val="24"/>
          <w:szCs w:val="24"/>
        </w:rPr>
      </w:pPr>
      <w:bookmarkStart w:id="17" w:name="heading_20"/>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.2.4 订购探针上报完善</w:t>
      </w:r>
      <w:bookmarkEnd w:id="17"/>
    </w:p>
    <w:p w14:paraId="3CCCF5DA">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增加订购页与支付弹窗等关键节点探针，提升链路可观测性，用于支撑转化分析、异常定位与来源归因。</w:t>
      </w:r>
    </w:p>
    <w:p w14:paraId="182307B4">
      <w:pPr>
        <w:numPr>
          <w:ilvl w:val="0"/>
          <w:numId w:val="5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订购页面探针</w:t>
      </w:r>
    </w:p>
    <w:p w14:paraId="206FB063">
      <w:pPr>
        <w:numPr>
          <w:ilvl w:val="0"/>
          <w:numId w:val="5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在屏二次确认</w:t>
      </w:r>
    </w:p>
    <w:p w14:paraId="791396A8">
      <w:pPr>
        <w:numPr>
          <w:ilvl w:val="0"/>
          <w:numId w:val="56"/>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弹窗触发</w:t>
      </w:r>
    </w:p>
    <w:p w14:paraId="03B29E3C">
      <w:pPr>
        <w:numPr>
          <w:ilvl w:val="0"/>
          <w:numId w:val="57"/>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点击确认</w:t>
      </w:r>
    </w:p>
    <w:p w14:paraId="0855C6DF">
      <w:pPr>
        <w:numPr>
          <w:ilvl w:val="0"/>
          <w:numId w:val="58"/>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点击取消按钮</w:t>
      </w:r>
    </w:p>
    <w:p w14:paraId="480EADC3">
      <w:pPr>
        <w:numPr>
          <w:ilvl w:val="0"/>
          <w:numId w:val="59"/>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点击遥控器返回</w:t>
      </w:r>
    </w:p>
    <w:p w14:paraId="5248E380">
      <w:pPr>
        <w:numPr>
          <w:ilvl w:val="0"/>
          <w:numId w:val="6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三次确认</w:t>
      </w:r>
    </w:p>
    <w:p w14:paraId="3AC586E4">
      <w:pPr>
        <w:numPr>
          <w:ilvl w:val="0"/>
          <w:numId w:val="61"/>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弹窗触发</w:t>
      </w:r>
    </w:p>
    <w:p w14:paraId="7929E439">
      <w:pPr>
        <w:numPr>
          <w:ilvl w:val="0"/>
          <w:numId w:val="62"/>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点击确认</w:t>
      </w:r>
    </w:p>
    <w:p w14:paraId="494D7A57">
      <w:pPr>
        <w:numPr>
          <w:ilvl w:val="0"/>
          <w:numId w:val="63"/>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点击取消按钮</w:t>
      </w:r>
    </w:p>
    <w:p w14:paraId="2E704DB5">
      <w:pPr>
        <w:numPr>
          <w:ilvl w:val="0"/>
          <w:numId w:val="64"/>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点击遥控器返回</w:t>
      </w:r>
    </w:p>
    <w:p w14:paraId="11F22BAE">
      <w:pPr>
        <w:numPr>
          <w:ilvl w:val="0"/>
          <w:numId w:val="6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验证码手动输入、自动填充弹窗触发</w:t>
      </w:r>
    </w:p>
    <w:p w14:paraId="5326101A">
      <w:pPr>
        <w:numPr>
          <w:ilvl w:val="0"/>
          <w:numId w:val="66"/>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点击一键填充按钮</w:t>
      </w:r>
    </w:p>
    <w:p w14:paraId="7B2FAC94">
      <w:pPr>
        <w:numPr>
          <w:ilvl w:val="0"/>
          <w:numId w:val="67"/>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点击取消按钮</w:t>
      </w:r>
    </w:p>
    <w:p w14:paraId="1CBEFD91">
      <w:pPr>
        <w:numPr>
          <w:ilvl w:val="0"/>
          <w:numId w:val="68"/>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点击遥控器返回</w:t>
      </w:r>
    </w:p>
    <w:p w14:paraId="5F10080A">
      <w:pPr>
        <w:numPr>
          <w:ilvl w:val="0"/>
          <w:numId w:val="6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短信验证支付确认、验证码超时</w:t>
      </w:r>
    </w:p>
    <w:p w14:paraId="177EEA35">
      <w:pPr>
        <w:numPr>
          <w:ilvl w:val="0"/>
          <w:numId w:val="7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验证码手动输入后正确性校验</w:t>
      </w:r>
    </w:p>
    <w:p w14:paraId="649F06C3">
      <w:pPr>
        <w:numPr>
          <w:ilvl w:val="0"/>
          <w:numId w:val="7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验证码自动填充后正确性校验</w:t>
      </w:r>
    </w:p>
    <w:p w14:paraId="12559F1C">
      <w:pPr>
        <w:numPr>
          <w:ilvl w:val="0"/>
          <w:numId w:val="7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订购信息页探针</w:t>
      </w:r>
    </w:p>
    <w:p w14:paraId="37B14B00">
      <w:pPr>
        <w:numPr>
          <w:ilvl w:val="0"/>
          <w:numId w:val="7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点击订购信息页面的“去订购”按钮，上报来源位置数据，第三方数据统计系统能收集到引用页面的页面及引用位置数据信息。</w:t>
      </w:r>
    </w:p>
    <w:p w14:paraId="27018CC6">
      <w:pPr>
        <w:numPr>
          <w:ilvl w:val="0"/>
          <w:numId w:val="7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点击订购信息页面的“退订”按钮，弹出退订挽留页，第三方数据统计系统能收集到引用页面的页面及引用位置。</w:t>
      </w:r>
    </w:p>
    <w:p w14:paraId="754FFC1A">
      <w:pPr>
        <w:spacing w:before="260" w:after="120" w:line="288" w:lineRule="auto"/>
        <w:ind w:left="0"/>
        <w:jc w:val="left"/>
        <w:outlineLvl w:val="3"/>
        <w:rPr>
          <w:rFonts w:hint="eastAsia" w:ascii="仿宋" w:hAnsi="仿宋" w:eastAsia="仿宋" w:cs="仿宋"/>
          <w:b/>
          <w:bCs/>
          <w:color w:val="auto"/>
          <w:sz w:val="24"/>
          <w:szCs w:val="24"/>
        </w:rPr>
      </w:pPr>
      <w:bookmarkStart w:id="18" w:name="heading_21"/>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.2.5 非视听产品多编码配置</w:t>
      </w:r>
      <w:bookmarkEnd w:id="18"/>
    </w:p>
    <w:p w14:paraId="42D90838">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面向“一个产品名称对应多个产品订购”的运营配置诉求，增强非视听产品会员的配置与已订购判定能力，避免页面展示与实际订购关系不一致。完善用户账号关键字段校验与异常跳转处理，保障页面链路稳定。</w:t>
      </w:r>
    </w:p>
    <w:p w14:paraId="7320A871">
      <w:pPr>
        <w:numPr>
          <w:ilvl w:val="0"/>
          <w:numId w:val="7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订购信息页配置，针对一个展示产品位，支持录入多个非视听产品编码。</w:t>
      </w:r>
    </w:p>
    <w:p w14:paraId="236D1DC6">
      <w:pPr>
        <w:numPr>
          <w:ilvl w:val="0"/>
          <w:numId w:val="7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订购态判定与按钮展示：对于非视听产品会员，用户命中已配置的任一产品编码即视为已订购，并据此进行相关数据展示与按钮的隐藏/显露，确保前端呈现与权益一致。</w:t>
      </w:r>
    </w:p>
    <w:p w14:paraId="1F0A3250">
      <w:pPr>
        <w:spacing w:before="300" w:after="120" w:line="288" w:lineRule="auto"/>
        <w:ind w:left="0"/>
        <w:jc w:val="left"/>
        <w:outlineLvl w:val="2"/>
        <w:rPr>
          <w:rFonts w:hint="eastAsia" w:ascii="仿宋" w:hAnsi="仿宋" w:eastAsia="仿宋" w:cs="仿宋"/>
          <w:b/>
          <w:bCs/>
          <w:color w:val="auto"/>
          <w:sz w:val="24"/>
          <w:szCs w:val="24"/>
        </w:rPr>
      </w:pPr>
      <w:bookmarkStart w:id="19" w:name="heading_22"/>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.3 商品与订单权益管理优化</w:t>
      </w:r>
      <w:bookmarkEnd w:id="19"/>
    </w:p>
    <w:p w14:paraId="25B1F094">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从商品、订单、权益处理到第三方充值交付四个环节进行优化：在商品侧优化展示与配置体验；在订单侧增强信息表达并提供核验工具支撑排查；在权益侧针对“非立即生效”与“消息乱序”建立未生效订单的定时生效机制，同时引入乱序补偿处理；在第三方充值侧完善卡池接入并提供人工充值等应急处置能力，降低时序、对账与跨系统协同风险，提升运营效率与链路可回溯性。</w:t>
      </w:r>
    </w:p>
    <w:p w14:paraId="7D81C088">
      <w:pPr>
        <w:spacing w:before="260" w:after="120" w:line="288" w:lineRule="auto"/>
        <w:ind w:left="0"/>
        <w:jc w:val="left"/>
        <w:outlineLvl w:val="3"/>
        <w:rPr>
          <w:rFonts w:hint="eastAsia" w:ascii="仿宋" w:hAnsi="仿宋" w:eastAsia="仿宋" w:cs="仿宋"/>
          <w:b/>
          <w:bCs/>
          <w:color w:val="auto"/>
          <w:sz w:val="24"/>
          <w:szCs w:val="24"/>
        </w:rPr>
      </w:pPr>
      <w:bookmarkStart w:id="20" w:name="heading_23"/>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.3.1 商品管理优化</w:t>
      </w:r>
      <w:bookmarkEnd w:id="20"/>
    </w:p>
    <w:p w14:paraId="4BD839D3">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提升商品配置操作的可控性与计费模型的规则一致性，同时优化第三方服务的识别与核对效率，提升运营配置操作便捷性。</w:t>
      </w:r>
    </w:p>
    <w:p w14:paraId="4D638BD3">
      <w:pPr>
        <w:numPr>
          <w:ilvl w:val="0"/>
          <w:numId w:val="7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可订购规则配置页交互优化：可订购规则配置页面新增“取消”按钮，支持放弃本次编辑并返回，提升配置操作的可控性与误操作恢复能力。  </w:t>
      </w:r>
    </w:p>
    <w:p w14:paraId="6FAD2808">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一次性扣费属性与配置规则约束：商品新增“一次性扣费”属性；商品属于一次性扣费时，页面中 “连续包月” 类支付方式置灰不可选，连续包月型扣费点置灰不可编辑，已有的连续包月配置会被清除。  </w:t>
      </w:r>
    </w:p>
    <w:p w14:paraId="6E44DB84">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服务信息展示优化：服务管理中，第三方类型的服务直接展示对应的服务配置数据，提升识别与核对效率。</w:t>
      </w:r>
    </w:p>
    <w:p w14:paraId="256A6B2B">
      <w:pPr>
        <w:spacing w:before="260" w:after="120" w:line="288" w:lineRule="auto"/>
        <w:ind w:left="0"/>
        <w:jc w:val="left"/>
        <w:outlineLvl w:val="3"/>
        <w:rPr>
          <w:rFonts w:hint="eastAsia" w:ascii="仿宋" w:hAnsi="仿宋" w:eastAsia="仿宋" w:cs="仿宋"/>
          <w:b/>
          <w:bCs/>
          <w:color w:val="auto"/>
          <w:sz w:val="24"/>
          <w:szCs w:val="24"/>
        </w:rPr>
      </w:pPr>
      <w:bookmarkStart w:id="21" w:name="heading_24"/>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.3.2 订单管理优化</w:t>
      </w:r>
      <w:bookmarkEnd w:id="21"/>
    </w:p>
    <w:p w14:paraId="456F6C07">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围绕订单中心的可读性与可检索性，增强订单详情信息表达，调整列表字段优先级，并规范默认查询范围，提升客服与运营定位效率。</w:t>
      </w:r>
    </w:p>
    <w:p w14:paraId="34F0D0AE">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订单信息增强：增加展示触发订购的内容名称、内容编码，以及商品类型字段，并在信息栏中前置优先展示。  </w:t>
      </w:r>
    </w:p>
    <w:p w14:paraId="3BA4DA28">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动态订单列表：支持用户自定义配置订单列表展示字段及排序规则，比如将用户编号、商品名称、内容名称等关键字段固定前置展示，满足不同角色快速获取所需信息的需求。</w:t>
      </w:r>
    </w:p>
    <w:p w14:paraId="53067350">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默认查询范围控制：所有订单查询界面默认不查询状态为“待支付”的订单，减少噪音数据对日常查询的干扰。</w:t>
      </w:r>
    </w:p>
    <w:p w14:paraId="57AEAA20">
      <w:pPr>
        <w:numPr>
          <w:ilvl w:val="0"/>
          <w:numId w:val="7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核验工具能力：提供独立工具，支持从配置文件读取指定账号信息，查询 BOSS 有效记录，并基于有效记录的计费点信息联动 CRM 查询，支撑运维日常排查。   </w:t>
      </w:r>
    </w:p>
    <w:p w14:paraId="39D2328F">
      <w:pPr>
        <w:spacing w:before="260" w:after="120" w:line="288" w:lineRule="auto"/>
        <w:ind w:left="0"/>
        <w:jc w:val="left"/>
        <w:outlineLvl w:val="3"/>
        <w:rPr>
          <w:rFonts w:hint="eastAsia" w:ascii="仿宋" w:hAnsi="仿宋" w:eastAsia="仿宋" w:cs="仿宋"/>
          <w:b/>
          <w:bCs/>
          <w:color w:val="auto"/>
          <w:sz w:val="24"/>
          <w:szCs w:val="24"/>
        </w:rPr>
      </w:pPr>
      <w:bookmarkStart w:id="22" w:name="heading_25"/>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.3.3 订购权益处理</w:t>
      </w:r>
      <w:bookmarkEnd w:id="22"/>
    </w:p>
    <w:p w14:paraId="76BEFFB7">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面向移动侧订购场景中“非立即生效”与“消息到达乱序”两类关键一致性问题，建立未生效订单的管理与定时生效机制，并对退订/退续订先到、订购后到等异常时序提供补偿处理能力。</w:t>
      </w:r>
    </w:p>
    <w:p w14:paraId="6F480411">
      <w:pPr>
        <w:numPr>
          <w:ilvl w:val="0"/>
          <w:numId w:val="7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未生效订单权益处理</w:t>
      </w:r>
    </w:p>
    <w:p w14:paraId="4840207D">
      <w:pPr>
        <w:numPr>
          <w:ilvl w:val="0"/>
          <w:numId w:val="8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未生效订单的状态管理：对存在生效时间的订购记录，在未到达权益开始日期前统一以“未生效”状态管理；支付通知接收时，未到生效时间的订购记录不创建权益，并明确标记为未生效。  </w:t>
      </w:r>
    </w:p>
    <w:p w14:paraId="0EBF26BA">
      <w:pPr>
        <w:numPr>
          <w:ilvl w:val="0"/>
          <w:numId w:val="8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定时生效与权益创建：新增未生效订单定时检查任务，对即将到达生效时间的订购记录执行状态变更为“生效”，并完成对应权益创建，保证权益生效与时间口径一致。  </w:t>
      </w:r>
    </w:p>
    <w:p w14:paraId="29E6AF00">
      <w:pPr>
        <w:numPr>
          <w:ilvl w:val="0"/>
          <w:numId w:val="8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订购页面展示优化：针对订购信息页面，未生效订购记录不予显示，页面当前依然显示未订购；针对我的订购、全部订购页面，未生效订购记录显示，且订单状态为“未生效”。</w:t>
      </w:r>
    </w:p>
    <w:p w14:paraId="64F0265F">
      <w:pPr>
        <w:numPr>
          <w:ilvl w:val="0"/>
          <w:numId w:val="7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退续订/退订与订购消息乱序保护</w:t>
      </w:r>
    </w:p>
    <w:p w14:paraId="51722305">
      <w:pPr>
        <w:numPr>
          <w:ilvl w:val="0"/>
          <w:numId w:val="8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乱序场景保护机制：针对“退订/退续订消息先到、订购消息后到”的场景，收到退订或退续订消息时，系统需查找是否存在连续包月订单或未退订订单：</w:t>
      </w:r>
    </w:p>
    <w:p w14:paraId="088AEC4A">
      <w:pPr>
        <w:numPr>
          <w:ilvl w:val="0"/>
          <w:numId w:val="83"/>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若存在可处理对象：按现有规则完成退订/退续订处理；</w:t>
      </w:r>
    </w:p>
    <w:p w14:paraId="1EE1EFA2">
      <w:pPr>
        <w:numPr>
          <w:ilvl w:val="0"/>
          <w:numId w:val="84"/>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若不存在：对该请求做特殊标记留存，避免直接失败导致用户无法退续订。</w:t>
      </w:r>
    </w:p>
    <w:p w14:paraId="6993E3F1">
      <w:pPr>
        <w:numPr>
          <w:ilvl w:val="0"/>
          <w:numId w:val="8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二次补偿处理任务：每日凌晨处理补偿任务，在系统配置的时间窗口内，对已做特殊标记的记录按关键字段查询进行二次匹配：</w:t>
      </w:r>
    </w:p>
    <w:p w14:paraId="0F207CCC">
      <w:pPr>
        <w:numPr>
          <w:ilvl w:val="0"/>
          <w:numId w:val="86"/>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若匹配到连续包月或未退订订单：执行退订/退续订；</w:t>
      </w:r>
    </w:p>
    <w:p w14:paraId="11732072">
      <w:pPr>
        <w:numPr>
          <w:ilvl w:val="0"/>
          <w:numId w:val="87"/>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处理完成后复位标志位，并记录二次处理时间。</w:t>
      </w:r>
    </w:p>
    <w:p w14:paraId="7EF48D7A">
      <w:pPr>
        <w:numPr>
          <w:ilvl w:val="0"/>
          <w:numId w:val="8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处理时间范围可配置：在管理后台提供默认处理时间配置项（默认一个月、可修改），按配置天数处理对应时间范围内的退订/退续订记录。</w:t>
      </w:r>
    </w:p>
    <w:p w14:paraId="519E24FD">
      <w:pPr>
        <w:spacing w:before="260" w:after="120" w:line="288" w:lineRule="auto"/>
        <w:ind w:left="0"/>
        <w:jc w:val="left"/>
        <w:outlineLvl w:val="3"/>
        <w:rPr>
          <w:rFonts w:hint="eastAsia" w:ascii="仿宋" w:hAnsi="仿宋" w:eastAsia="仿宋" w:cs="仿宋"/>
          <w:b/>
          <w:bCs/>
          <w:color w:val="auto"/>
          <w:sz w:val="24"/>
          <w:szCs w:val="24"/>
        </w:rPr>
      </w:pPr>
      <w:bookmarkStart w:id="23" w:name="heading_26"/>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.3.4 第三方充值改造</w:t>
      </w:r>
      <w:bookmarkEnd w:id="23"/>
    </w:p>
    <w:p w14:paraId="4F3E2397">
      <w:pPr>
        <w:numPr>
          <w:ilvl w:val="0"/>
          <w:numId w:val="8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第三方充值记录管理优化</w:t>
      </w:r>
    </w:p>
    <w:p w14:paraId="20B46909">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为提升第三方充值问题的排查效率及运营处理能力，对第三方充值记录管理功能进行优化升级。</w:t>
      </w:r>
    </w:p>
    <w:p w14:paraId="40D1D33E">
      <w:pPr>
        <w:numPr>
          <w:ilvl w:val="0"/>
          <w:numId w:val="9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第三方充值记录查询优化：查询条件统一调整为用户账号、用户VUID、第三方平台、失效时间、创建时间。</w:t>
      </w:r>
    </w:p>
    <w:p w14:paraId="5E085988">
      <w:pPr>
        <w:numPr>
          <w:ilvl w:val="0"/>
          <w:numId w:val="9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人工充值能力：第三方充值记录新增“手工充值”功能，用于在第三方接口异常或自动充值失败场景下，由运营侧进行人工补单处理，确保用户权益能够及时恢复，并统一纳入充值记录管理体系</w:t>
      </w:r>
    </w:p>
    <w:p w14:paraId="69D2A75F">
      <w:pPr>
        <w:numPr>
          <w:ilvl w:val="0"/>
          <w:numId w:val="9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卡池派卡能力接入</w:t>
      </w:r>
    </w:p>
    <w:p w14:paraId="4347A636">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接入外部卡池系统，在AAA鉴权通过后优先通过卡池派发第三方权益，实现第三方权益获取方式的优化。</w:t>
      </w:r>
    </w:p>
    <w:p w14:paraId="60B3B53D">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当系统启用第三方卡池且用户触发第三方内容鉴权时，AAA优先判断用户是否存在有效期内的卡池卡，如存在则直接使用对应权益；如不存在则向卡池申请派卡；若卡池不可用或派卡失败，则自动走原有第三方充值处理逻辑，保证业务连续性。</w:t>
      </w:r>
    </w:p>
    <w:p w14:paraId="30494EB8">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为保证鉴权链路实时性，派卡结果采用缓存方式记录用户最近派卡信息及有效期，在有效期内避免重复申请卡池资源。同时增加卡池返回结果校验机制，当返回的VUID或VTOKEN为空时判定派卡失败，直接回退原有充值流程，以规避卡池异常数据带来的播放风险。</w:t>
      </w:r>
    </w:p>
    <w:p w14:paraId="14999C02">
      <w:pPr>
        <w:numPr>
          <w:ilvl w:val="0"/>
          <w:numId w:val="9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电信侧AAA鉴权优化</w:t>
      </w:r>
    </w:p>
    <w:p w14:paraId="58142FD1">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为满足电信侧用户数据不完整场景下的鉴权需求，对AAA鉴权流程中的用户校验策略进行优化，使系统能够通过配置方式控制是否执行用户校验逻辑，保障鉴权流程正常运行。</w:t>
      </w:r>
    </w:p>
    <w:p w14:paraId="782D847F">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系统在BMS侧提供“跳过用户校验”配置开关。当开关开启时，AAA鉴权及V2鉴权流程跳过用户校验步骤，以适配电信侧用户信息不完整的情况；当开关关闭时，则按照原有规则执行用户校验逻辑。</w:t>
      </w:r>
    </w:p>
    <w:p w14:paraId="3C306F92">
      <w:pPr>
        <w:spacing w:before="300" w:after="120" w:line="288" w:lineRule="auto"/>
        <w:ind w:left="0"/>
        <w:jc w:val="left"/>
        <w:outlineLvl w:val="2"/>
        <w:rPr>
          <w:rFonts w:hint="eastAsia" w:ascii="仿宋" w:hAnsi="仿宋" w:eastAsia="仿宋" w:cs="仿宋"/>
          <w:b/>
          <w:bCs/>
          <w:color w:val="auto"/>
          <w:sz w:val="24"/>
          <w:szCs w:val="24"/>
        </w:rPr>
      </w:pPr>
      <w:bookmarkStart w:id="24" w:name="heading_27"/>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.4 业务管理优化与终端能力适配</w:t>
      </w:r>
      <w:bookmarkEnd w:id="24"/>
    </w:p>
    <w:p w14:paraId="384101C2">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主要包括用户管理的优化、后台全局交互体验的提升，以及终端管理模块针对 JSView 6.0 页面发布与大规模数据处理能力的专项增强。</w:t>
      </w:r>
    </w:p>
    <w:p w14:paraId="62453529">
      <w:pPr>
        <w:spacing w:before="260" w:after="120" w:line="288" w:lineRule="auto"/>
        <w:ind w:left="0"/>
        <w:jc w:val="left"/>
        <w:outlineLvl w:val="3"/>
        <w:rPr>
          <w:rFonts w:hint="eastAsia" w:ascii="仿宋" w:hAnsi="仿宋" w:eastAsia="仿宋" w:cs="仿宋"/>
          <w:b/>
          <w:bCs/>
          <w:color w:val="auto"/>
          <w:sz w:val="24"/>
          <w:szCs w:val="24"/>
        </w:rPr>
      </w:pPr>
      <w:bookmarkStart w:id="25" w:name="heading_28"/>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.4.1 用户管理与交互优化</w:t>
      </w:r>
      <w:bookmarkEnd w:id="25"/>
    </w:p>
    <w:p w14:paraId="078AEC10">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围绕客服/运营在用户管理中的高频诉求，提供关联账号展示与一键复机能力，并统一页签返回刷新与查询条件布局，提升日常处理效率。</w:t>
      </w:r>
    </w:p>
    <w:p w14:paraId="47B9A728">
      <w:pPr>
        <w:numPr>
          <w:ilvl w:val="0"/>
          <w:numId w:val="9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用户关联账号展示：在用户详情页展示关联账号信息；用户详情新增“关联账号列表”，统一呈现用户父账号及其相关子账号，便于客服快速核对账号归属与关系链路。</w:t>
      </w:r>
    </w:p>
    <w:p w14:paraId="09D0AADE">
      <w:pPr>
        <w:numPr>
          <w:ilvl w:val="0"/>
          <w:numId w:val="9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复机快捷操作：在用户操作列提供“复机”按钮；当用户状态为“停机”时允许点击，点击后系统自动将用户恢复为对应的正常状态并完成状态更新，为用户账号的生命周期管理提供人工干预手段。</w:t>
      </w:r>
    </w:p>
    <w:p w14:paraId="473A9874">
      <w:pPr>
        <w:numPr>
          <w:ilvl w:val="0"/>
          <w:numId w:val="9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页签返回自动刷新：支持从页签返回用户配置列表页面时保留原查询条件并自动刷新数据，避免用户在执行导入操作后返回页面时数据未及时更新。</w:t>
      </w:r>
    </w:p>
    <w:p w14:paraId="3B3594B7">
      <w:pPr>
        <w:numPr>
          <w:ilvl w:val="0"/>
          <w:numId w:val="9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查询条件顺序统一：对所有查询页面，若查询条件包含“用户账号”，则将“用户账号”调整为第一顺位，便于统一使用习惯并提升高频查询效率。</w:t>
      </w:r>
    </w:p>
    <w:p w14:paraId="7DD124E4">
      <w:pPr>
        <w:spacing w:before="260" w:after="120" w:line="288" w:lineRule="auto"/>
        <w:ind w:left="0"/>
        <w:jc w:val="left"/>
        <w:outlineLvl w:val="3"/>
        <w:rPr>
          <w:rFonts w:hint="eastAsia" w:ascii="仿宋" w:hAnsi="仿宋" w:eastAsia="仿宋" w:cs="仿宋"/>
          <w:b/>
          <w:bCs/>
          <w:color w:val="auto"/>
          <w:sz w:val="24"/>
          <w:szCs w:val="24"/>
        </w:rPr>
      </w:pPr>
      <w:bookmarkStart w:id="26" w:name="heading_29"/>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.4.2 终端运维与大数据量处理优化</w:t>
      </w:r>
      <w:bookmarkEnd w:id="26"/>
    </w:p>
    <w:p w14:paraId="156AA47E">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针对底座升级等高负载运维场景，提升终端管理模块在大规模数据导入与分发校验方面的稳定性。</w:t>
      </w:r>
    </w:p>
    <w:p w14:paraId="3DC6AC1E">
      <w:pPr>
        <w:numPr>
          <w:ilvl w:val="0"/>
          <w:numId w:val="9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大规模白/黑名单导入优化：针对超大规模导入场景，支持按 MAC 地址、用户账号维度进行大批量异步导入，提供稳定可用的批量导入能力，避免导入过程中系统卡死或失败。</w:t>
      </w:r>
    </w:p>
    <w:p w14:paraId="784255BA">
      <w:pPr>
        <w:numPr>
          <w:ilvl w:val="0"/>
          <w:numId w:val="9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上传 APK 文件分发一致性校验：在 APK 上传入口增加“文件存在性检查”能力，可检查各台服务器目标路径下文件是否存在，避免因文件缺失导致的升级失败，提升发布可靠性。</w:t>
      </w:r>
    </w:p>
    <w:p w14:paraId="2AFA7D56">
      <w:pPr>
        <w:numPr>
          <w:ilvl w:val="0"/>
          <w:numId w:val="10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名单管理页面加载提速：优化“名单管理”页面的加载性能，降低大数据量场景下的首屏等待与查询响应时间，提升运营使用体验。</w:t>
      </w:r>
    </w:p>
    <w:p w14:paraId="13BE080D">
      <w:pPr>
        <w:spacing w:before="260" w:after="120" w:line="288" w:lineRule="auto"/>
        <w:ind w:left="0"/>
        <w:jc w:val="left"/>
        <w:outlineLvl w:val="3"/>
        <w:rPr>
          <w:rFonts w:hint="eastAsia" w:ascii="仿宋" w:hAnsi="仿宋" w:eastAsia="仿宋" w:cs="仿宋"/>
          <w:b/>
          <w:bCs/>
          <w:color w:val="auto"/>
          <w:sz w:val="24"/>
          <w:szCs w:val="24"/>
        </w:rPr>
      </w:pPr>
      <w:bookmarkStart w:id="27" w:name="heading_30"/>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.4.3 终端管理模块支持 jsview 6.0 发布</w:t>
      </w:r>
      <w:bookmarkEnd w:id="27"/>
    </w:p>
    <w:p w14:paraId="61904699">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在现有能力基础上扩展 EPG 文件管理与发布流程，与原来的EPG管理分离，支持 EPG6.0 的 jsview 版本文件管理，实现从新建、送审到发布同步的全生命周期管理。</w:t>
      </w:r>
    </w:p>
    <w:p w14:paraId="2BAAA654">
      <w:pPr>
        <w:numPr>
          <w:ilvl w:val="0"/>
          <w:numId w:val="10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终端管理模块改造</w:t>
      </w:r>
    </w:p>
    <w:p w14:paraId="78427C1F">
      <w:pPr>
        <w:numPr>
          <w:ilvl w:val="0"/>
          <w:numId w:val="10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菜单与能力扩展：在终端管理模块中新增“EPG 文件管理”菜单，支持版本文件新增/更新，并将上传包解压至指定目录结构：根目录 / 模板包目录 / 版本目录 / jsview 具体文件</w:t>
      </w:r>
    </w:p>
    <w:p w14:paraId="6FEF5847">
      <w:pPr>
        <w:numPr>
          <w:ilvl w:val="0"/>
          <w:numId w:val="10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发布审核与同步闭环：版本文件发布需经过审核；审核通过后同步给前端；同步完成后由前端回传同步结果，终端管理模块展示版本文件的同步状态。</w:t>
      </w:r>
    </w:p>
    <w:p w14:paraId="18E359D1">
      <w:pPr>
        <w:numPr>
          <w:ilvl w:val="0"/>
          <w:numId w:val="10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服务器列表维护：新增服务器管理页面，维护 jsview 服务列表（支持配置服务器 IP、端口）；终端管理模块在一定时间内检查目标目录是否存在对应版本，用于判定“同步状态”。</w:t>
      </w:r>
    </w:p>
    <w:p w14:paraId="33A3E375">
      <w:pPr>
        <w:numPr>
          <w:ilvl w:val="0"/>
          <w:numId w:val="10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预期操作流程：</w:t>
      </w:r>
    </w:p>
    <w:p w14:paraId="7521FB78">
      <w:pPr>
        <w:numPr>
          <w:ilvl w:val="0"/>
          <w:numId w:val="106"/>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新增 EPG 与模板目录并上传版本文件：在“EPG 文件管理-全部 EPG”新建 EPG6.0，并指定根目录（创建后根目录不可变更）；在 EPG6.0 下新增模板目录（目录名必填且后续不可更改）；在模板目录下新建版本，填写版本号并上传 zip 包；上传后自动解压到指定目录结构。对新增的 EPG6.0 发起送审；一审/二审通过后同步给前端；同步结果回传并展示同步状态。</w:t>
      </w:r>
    </w:p>
    <w:p w14:paraId="15AEA0B4">
      <w:pPr>
        <w:numPr>
          <w:ilvl w:val="0"/>
          <w:numId w:val="107"/>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在现有 EPG 上新增模板目录：在 EPG6.0 下新增模板目录，并创建版本、上传 zip 包，审核通过后同步并展示状态。</w:t>
      </w:r>
    </w:p>
    <w:p w14:paraId="0781E083">
      <w:pPr>
        <w:numPr>
          <w:ilvl w:val="0"/>
          <w:numId w:val="108"/>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在原有版本上更新文件：选择模板与版本进行“修改”，更新 zip 包并解压覆盖到对应目录；发布送审通过后同步并反馈状态。</w:t>
      </w:r>
    </w:p>
    <w:p w14:paraId="34509514">
      <w:pPr>
        <w:numPr>
          <w:ilvl w:val="0"/>
          <w:numId w:val="109"/>
        </w:numPr>
        <w:spacing w:before="120" w:after="120" w:line="288" w:lineRule="auto"/>
        <w:ind w:left="453"/>
        <w:jc w:val="left"/>
        <w:rPr>
          <w:rFonts w:hint="eastAsia" w:ascii="仿宋" w:hAnsi="仿宋" w:eastAsia="仿宋" w:cs="仿宋"/>
          <w:color w:val="auto"/>
          <w:sz w:val="24"/>
          <w:szCs w:val="24"/>
        </w:rPr>
      </w:pPr>
      <w:r>
        <w:rPr>
          <w:rFonts w:hint="eastAsia" w:ascii="仿宋" w:hAnsi="仿宋" w:eastAsia="仿宋" w:cs="仿宋"/>
          <w:color w:val="auto"/>
          <w:sz w:val="24"/>
          <w:szCs w:val="24"/>
        </w:rPr>
        <w:t>在现有模板目录下新增版本：在模板目录新增版本，上传 zip 包并解压；发布审核通过后同步并反馈状态。</w:t>
      </w:r>
    </w:p>
    <w:p w14:paraId="106CF025">
      <w:pPr>
        <w:numPr>
          <w:ilvl w:val="0"/>
          <w:numId w:val="11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前置 AAA 适配改造</w:t>
      </w:r>
    </w:p>
    <w:p w14:paraId="464F9466">
      <w:pPr>
        <w:numPr>
          <w:ilvl w:val="0"/>
          <w:numId w:val="11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修改调用终端服务接口获取jsView EPG的地址信息的逻辑，改为按请求apk版本号判断，如版本号&gt;=601，则调用终端服务接口获取jsView EPG的地址信息</w:t>
      </w:r>
    </w:p>
    <w:p w14:paraId="2E6BC394">
      <w:pPr>
        <w:numPr>
          <w:ilvl w:val="0"/>
          <w:numId w:val="11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按6.0要求，返回对应的地址属性</w:t>
      </w:r>
    </w:p>
    <w:p w14:paraId="7E088BB9">
      <w:pPr>
        <w:numPr>
          <w:ilvl w:val="0"/>
          <w:numId w:val="11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如调用终端服务接口失败或终端服务接口返回jsview EPG的地址信息为空，则使用保底配置的地址返回</w:t>
      </w:r>
    </w:p>
    <w:p w14:paraId="3555988D">
      <w:pPr>
        <w:spacing w:before="300" w:after="120" w:line="288" w:lineRule="auto"/>
        <w:ind w:left="0"/>
        <w:jc w:val="left"/>
        <w:outlineLvl w:val="2"/>
        <w:rPr>
          <w:rFonts w:hint="eastAsia" w:ascii="仿宋" w:hAnsi="仿宋" w:eastAsia="仿宋" w:cs="仿宋"/>
          <w:b/>
          <w:bCs/>
          <w:color w:val="auto"/>
          <w:sz w:val="24"/>
          <w:szCs w:val="24"/>
        </w:rPr>
      </w:pPr>
      <w:bookmarkStart w:id="28" w:name="heading_42"/>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5</w:t>
      </w:r>
      <w:r>
        <w:rPr>
          <w:rFonts w:hint="eastAsia" w:ascii="仿宋" w:hAnsi="仿宋" w:eastAsia="仿宋" w:cs="仿宋"/>
          <w:b/>
          <w:bCs/>
          <w:color w:val="auto"/>
          <w:sz w:val="24"/>
          <w:szCs w:val="24"/>
        </w:rPr>
        <w:t xml:space="preserve"> 数据协同与系统安全改造</w:t>
      </w:r>
      <w:bookmarkEnd w:id="28"/>
    </w:p>
    <w:p w14:paraId="0E384F41">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聚焦于对外数据协同能力的标准化建设、敏感数据安全治理以及跨系统联动的稳定性优化。</w:t>
      </w:r>
    </w:p>
    <w:p w14:paraId="21383F22">
      <w:pPr>
        <w:spacing w:before="260" w:after="120" w:line="288" w:lineRule="auto"/>
        <w:ind w:left="0"/>
        <w:jc w:val="left"/>
        <w:outlineLvl w:val="3"/>
        <w:rPr>
          <w:rFonts w:hint="eastAsia" w:ascii="仿宋" w:hAnsi="仿宋" w:eastAsia="仿宋" w:cs="仿宋"/>
          <w:b/>
          <w:bCs/>
          <w:color w:val="auto"/>
          <w:sz w:val="24"/>
          <w:szCs w:val="24"/>
        </w:rPr>
      </w:pPr>
      <w:bookmarkStart w:id="29" w:name="heading_43"/>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5</w:t>
      </w:r>
      <w:r>
        <w:rPr>
          <w:rFonts w:hint="eastAsia" w:ascii="仿宋" w:hAnsi="仿宋" w:eastAsia="仿宋" w:cs="仿宋"/>
          <w:b/>
          <w:bCs/>
          <w:color w:val="auto"/>
          <w:sz w:val="24"/>
          <w:szCs w:val="24"/>
        </w:rPr>
        <w:t>.1 对外数据协同适配与优化</w:t>
      </w:r>
      <w:bookmarkEnd w:id="29"/>
    </w:p>
    <w:p w14:paraId="2B046ECF">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针对电信 PBOSS 离线订购采集与 AAA 订购通知中存在的“无产品信息”场景，建立数据兼容与同步机制，确保订购链路的可追溯性。</w:t>
      </w:r>
    </w:p>
    <w:p w14:paraId="7AD59036">
      <w:pPr>
        <w:numPr>
          <w:ilvl w:val="0"/>
          <w:numId w:val="11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订购数据兼容入库：支持电信 PBOSS 离线采集和 AAA 订购通知触发的流程，对于暂无产品对应信息的订购记录，允许先行保存在临时订购表中，并支持后续订购信息的动态更新。支持管理后台可查。</w:t>
      </w:r>
    </w:p>
    <w:p w14:paraId="51B263AF">
      <w:pPr>
        <w:numPr>
          <w:ilvl w:val="0"/>
          <w:numId w:val="11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统一数据协同总线：基于数据总线机制，将订购信息按统一规范上报至外部系统。</w:t>
      </w:r>
    </w:p>
    <w:p w14:paraId="4A07008D">
      <w:pPr>
        <w:numPr>
          <w:ilvl w:val="0"/>
          <w:numId w:val="11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对外同步可视化：对外部系统与本系统同步数据的记录（C3离线采集、厂商数据同步、支付通知等）进行可视化展示，增强跨系统联动的透明度。</w:t>
      </w:r>
    </w:p>
    <w:p w14:paraId="4128A67A">
      <w:pPr>
        <w:spacing w:before="260" w:after="120" w:line="288" w:lineRule="auto"/>
        <w:ind w:left="0"/>
        <w:jc w:val="left"/>
        <w:outlineLvl w:val="3"/>
        <w:rPr>
          <w:rFonts w:hint="eastAsia" w:ascii="仿宋" w:hAnsi="仿宋" w:eastAsia="仿宋" w:cs="仿宋"/>
          <w:b/>
          <w:bCs/>
          <w:color w:val="auto"/>
          <w:sz w:val="24"/>
          <w:szCs w:val="24"/>
        </w:rPr>
      </w:pPr>
      <w:bookmarkStart w:id="30" w:name="heading_44"/>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5</w:t>
      </w:r>
      <w:r>
        <w:rPr>
          <w:rFonts w:hint="eastAsia" w:ascii="仿宋" w:hAnsi="仿宋" w:eastAsia="仿宋" w:cs="仿宋"/>
          <w:b/>
          <w:bCs/>
          <w:color w:val="auto"/>
          <w:sz w:val="24"/>
          <w:szCs w:val="24"/>
        </w:rPr>
        <w:t>.2 用户信息管理与安全治理</w:t>
      </w:r>
      <w:bookmarkEnd w:id="30"/>
    </w:p>
    <w:p w14:paraId="06E614DD">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落实数据安全合规要求，针对不同运营商平台，加强对用户姓名、手机号、安装地址等敏感信息的保护。</w:t>
      </w:r>
    </w:p>
    <w:p w14:paraId="4150F120">
      <w:pPr>
        <w:numPr>
          <w:ilvl w:val="0"/>
          <w:numId w:val="11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脱敏与隐私保护</w:t>
      </w:r>
    </w:p>
    <w:p w14:paraId="39B02434">
      <w:pPr>
        <w:numPr>
          <w:ilvl w:val="0"/>
          <w:numId w:val="11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联通 PBOSS：开户流程优化，确保不入库用户敏感信息。</w:t>
      </w:r>
    </w:p>
    <w:p w14:paraId="0B75C383">
      <w:pPr>
        <w:numPr>
          <w:ilvl w:val="0"/>
          <w:numId w:val="11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日志脱敏：PBOSS 开户过程产生的系统日志中，禁止打印用户姓名、手机号码、联系地址等私密字段。</w:t>
      </w:r>
    </w:p>
    <w:p w14:paraId="31DA8B0B">
      <w:pPr>
        <w:numPr>
          <w:ilvl w:val="0"/>
          <w:numId w:val="11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移动平台：对系统内存储和传输的移动平台电话号码，强制使用国密算法进行加密。</w:t>
      </w:r>
    </w:p>
    <w:p w14:paraId="68B73B4E">
      <w:pPr>
        <w:numPr>
          <w:ilvl w:val="0"/>
          <w:numId w:val="12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数据更新逻辑优化</w:t>
      </w:r>
    </w:p>
    <w:p w14:paraId="1B542609">
      <w:pPr>
        <w:numPr>
          <w:ilvl w:val="0"/>
          <w:numId w:val="11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中兴用户信息更新：适配 PBOSS 接口，当传入的区县 ID 或扩展属性为空时，系统应保持原数据不变，避免非预期覆盖。</w:t>
      </w:r>
    </w:p>
    <w:p w14:paraId="76AB83C7">
      <w:pPr>
        <w:numPr>
          <w:ilvl w:val="0"/>
          <w:numId w:val="11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状态变更控制：联通用户状态变更逻辑调整，仅当用户处于“停机”状态时，方可触发并处理“复机”操作。</w:t>
      </w:r>
    </w:p>
    <w:p w14:paraId="1AD451A4">
      <w:pPr>
        <w:numPr>
          <w:ilvl w:val="0"/>
          <w:numId w:val="12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高可用性增强</w:t>
      </w:r>
    </w:p>
    <w:p w14:paraId="77948857">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将 C3 离线采集任务正式纳入集群化管理，提升大规模数据采集的可靠性与容错能力。</w:t>
      </w:r>
    </w:p>
    <w:p w14:paraId="1248F8E2">
      <w:pPr>
        <w:spacing w:before="260" w:after="120" w:line="288" w:lineRule="auto"/>
        <w:ind w:left="0"/>
        <w:jc w:val="left"/>
        <w:outlineLvl w:val="3"/>
        <w:rPr>
          <w:rFonts w:hint="eastAsia" w:ascii="仿宋" w:hAnsi="仿宋" w:eastAsia="仿宋" w:cs="仿宋"/>
          <w:b/>
          <w:bCs/>
          <w:color w:val="auto"/>
          <w:sz w:val="24"/>
          <w:szCs w:val="24"/>
        </w:rPr>
      </w:pPr>
      <w:bookmarkStart w:id="31" w:name="heading_45"/>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5</w:t>
      </w:r>
      <w:r>
        <w:rPr>
          <w:rFonts w:hint="eastAsia" w:ascii="仿宋" w:hAnsi="仿宋" w:eastAsia="仿宋" w:cs="仿宋"/>
          <w:b/>
          <w:bCs/>
          <w:color w:val="auto"/>
          <w:sz w:val="24"/>
          <w:szCs w:val="24"/>
        </w:rPr>
        <w:t>.3 接口开发与适配规范</w:t>
      </w:r>
      <w:bookmarkEnd w:id="31"/>
    </w:p>
    <w:p w14:paraId="37E989E9">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配合外部系统的业务需求，提供标准化的能力调用接口。</w:t>
      </w:r>
    </w:p>
    <w:p w14:paraId="73DD0D15">
      <w:pPr>
        <w:numPr>
          <w:ilvl w:val="0"/>
          <w:numId w:val="122"/>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用户安装地址查询：在统一 CP 支付平台中新增“根据电视账号查询用户安装地址”接口。</w:t>
      </w:r>
    </w:p>
    <w:p w14:paraId="06FF6C0A">
      <w:pPr>
        <w:numPr>
          <w:ilvl w:val="0"/>
          <w:numId w:val="123"/>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快捷支付确认方式修改：新增接口，支持移动客服系统通过接口修改单个用户的“快捷支付确认方式”。</w:t>
      </w:r>
    </w:p>
    <w:p w14:paraId="5048EFBC">
      <w:pPr>
        <w:spacing w:before="300" w:after="120" w:line="288" w:lineRule="auto"/>
        <w:ind w:left="0"/>
        <w:jc w:val="left"/>
        <w:outlineLvl w:val="2"/>
        <w:rPr>
          <w:rFonts w:hint="eastAsia" w:ascii="仿宋" w:hAnsi="仿宋" w:eastAsia="仿宋" w:cs="仿宋"/>
          <w:b/>
          <w:bCs/>
          <w:color w:val="auto"/>
          <w:sz w:val="24"/>
          <w:szCs w:val="24"/>
        </w:rPr>
      </w:pPr>
      <w:bookmarkStart w:id="32" w:name="heading_46"/>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6</w:t>
      </w:r>
      <w:r>
        <w:rPr>
          <w:rFonts w:hint="eastAsia" w:ascii="仿宋" w:hAnsi="仿宋" w:eastAsia="仿宋" w:cs="仿宋"/>
          <w:b/>
          <w:bCs/>
          <w:color w:val="auto"/>
          <w:sz w:val="24"/>
          <w:szCs w:val="24"/>
        </w:rPr>
        <w:t xml:space="preserve"> 系统建设实施与运行保障</w:t>
      </w:r>
      <w:bookmarkEnd w:id="32"/>
    </w:p>
    <w:p w14:paraId="7EA88F8B">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主要包括部署架构优化、跨环境迁移实施以及硬件扩容需求，旨在确保系统在生产环境下的高可用性。</w:t>
      </w:r>
    </w:p>
    <w:p w14:paraId="6FF77E6B">
      <w:pPr>
        <w:spacing w:before="260" w:after="120" w:line="288" w:lineRule="auto"/>
        <w:ind w:left="0"/>
        <w:jc w:val="left"/>
        <w:outlineLvl w:val="3"/>
        <w:rPr>
          <w:rFonts w:hint="eastAsia" w:ascii="仿宋" w:hAnsi="仿宋" w:eastAsia="仿宋" w:cs="仿宋"/>
          <w:b/>
          <w:bCs/>
          <w:color w:val="auto"/>
          <w:sz w:val="24"/>
          <w:szCs w:val="24"/>
        </w:rPr>
      </w:pPr>
      <w:bookmarkStart w:id="33" w:name="heading_47"/>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6</w:t>
      </w:r>
      <w:r>
        <w:rPr>
          <w:rFonts w:hint="eastAsia" w:ascii="仿宋" w:hAnsi="仿宋" w:eastAsia="仿宋" w:cs="仿宋"/>
          <w:b/>
          <w:bCs/>
          <w:color w:val="auto"/>
          <w:sz w:val="24"/>
          <w:szCs w:val="24"/>
        </w:rPr>
        <w:t>.1 系统建设与任务调度优化</w:t>
      </w:r>
      <w:bookmarkEnd w:id="33"/>
    </w:p>
    <w:p w14:paraId="65149E4A">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针对系统进行架构优化，提升定时任务的可靠性与可维护性。</w:t>
      </w:r>
    </w:p>
    <w:p w14:paraId="25E34D58">
      <w:pPr>
        <w:numPr>
          <w:ilvl w:val="0"/>
          <w:numId w:val="124"/>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定时任务集群化改造：将系统的定时任务统一迁移至 XML 配置文件进行管理。</w:t>
      </w:r>
    </w:p>
    <w:p w14:paraId="3CACD6C0">
      <w:pPr>
        <w:numPr>
          <w:ilvl w:val="0"/>
          <w:numId w:val="125"/>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集群模式支持：支持定时任务集群模式，避免单点故障导致的任务中断。</w:t>
      </w:r>
    </w:p>
    <w:p w14:paraId="2F8BC1C6">
      <w:pPr>
        <w:numPr>
          <w:ilvl w:val="0"/>
          <w:numId w:val="126"/>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存储架构优化：将上传文件目录从应用安装目录下移出，实现应用逻辑与业务数据的物理分离。</w:t>
      </w:r>
    </w:p>
    <w:p w14:paraId="779273F2">
      <w:pPr>
        <w:spacing w:before="260" w:after="120" w:line="288" w:lineRule="auto"/>
        <w:ind w:left="0"/>
        <w:jc w:val="left"/>
        <w:outlineLvl w:val="3"/>
        <w:rPr>
          <w:rFonts w:hint="eastAsia" w:ascii="仿宋" w:hAnsi="仿宋" w:eastAsia="仿宋" w:cs="仿宋"/>
          <w:b/>
          <w:bCs/>
          <w:color w:val="auto"/>
          <w:sz w:val="24"/>
          <w:szCs w:val="24"/>
        </w:rPr>
      </w:pPr>
      <w:bookmarkStart w:id="34" w:name="heading_48"/>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6</w:t>
      </w:r>
      <w:r>
        <w:rPr>
          <w:rFonts w:hint="eastAsia" w:ascii="仿宋" w:hAnsi="仿宋" w:eastAsia="仿宋" w:cs="仿宋"/>
          <w:b/>
          <w:bCs/>
          <w:color w:val="auto"/>
          <w:sz w:val="24"/>
          <w:szCs w:val="24"/>
        </w:rPr>
        <w:t>.2 电信2.0部署迁移实施</w:t>
      </w:r>
      <w:bookmarkEnd w:id="34"/>
    </w:p>
    <w:p w14:paraId="559FF387">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实现电信系统从1.0迁移至2.0 系统的部署实施工程，确保新老系统割接期间的业务连续性。</w:t>
      </w:r>
    </w:p>
    <w:p w14:paraId="29BA6E55">
      <w:pPr>
        <w:numPr>
          <w:ilvl w:val="0"/>
          <w:numId w:val="127"/>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环境搭建与部署：按照生产标准完成电信 2.0 运行环境的搭建及应用包部署。</w:t>
      </w:r>
    </w:p>
    <w:p w14:paraId="14D154BC">
      <w:pPr>
        <w:numPr>
          <w:ilvl w:val="0"/>
          <w:numId w:val="128"/>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数据迁移与校验：实施新老系统间的数据迁移工作，确保订购记录、用户信息等核心数据的完整性与一致性。</w:t>
      </w:r>
    </w:p>
    <w:p w14:paraId="4FFD4DCC">
      <w:pPr>
        <w:numPr>
          <w:ilvl w:val="0"/>
          <w:numId w:val="129"/>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割接前回归验证：组织整体业务的回归测试，覆盖所有核心业务场景。</w:t>
      </w:r>
    </w:p>
    <w:p w14:paraId="63687742">
      <w:pPr>
        <w:numPr>
          <w:ilvl w:val="0"/>
          <w:numId w:val="130"/>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割接实施与验证：制定详细的割接实施方案，并在割接完成后立即进行业务现场验证，确保各项指标正常。</w:t>
      </w:r>
    </w:p>
    <w:p w14:paraId="44C1C1E3">
      <w:pPr>
        <w:spacing w:before="260" w:after="120" w:line="288" w:lineRule="auto"/>
        <w:ind w:left="0"/>
        <w:jc w:val="left"/>
        <w:outlineLvl w:val="3"/>
        <w:rPr>
          <w:rFonts w:hint="eastAsia" w:ascii="仿宋" w:hAnsi="仿宋" w:eastAsia="仿宋" w:cs="仿宋"/>
          <w:b/>
          <w:bCs/>
          <w:color w:val="auto"/>
          <w:sz w:val="24"/>
          <w:szCs w:val="24"/>
        </w:rPr>
      </w:pPr>
      <w:bookmarkStart w:id="35" w:name="heading_49"/>
      <w:r>
        <w:rPr>
          <w:rFonts w:hint="eastAsia" w:ascii="仿宋" w:hAnsi="仿宋" w:eastAsia="仿宋" w:cs="仿宋"/>
          <w:b/>
          <w:bCs/>
          <w:color w:val="auto"/>
          <w:sz w:val="24"/>
          <w:szCs w:val="24"/>
        </w:rPr>
        <w:t>3.</w:t>
      </w:r>
      <w:r>
        <w:rPr>
          <w:rFonts w:hint="eastAsia" w:ascii="仿宋" w:hAnsi="仿宋" w:eastAsia="仿宋" w:cs="仿宋"/>
          <w:b/>
          <w:bCs/>
          <w:color w:val="auto"/>
          <w:sz w:val="24"/>
          <w:szCs w:val="24"/>
          <w:lang w:val="en-US" w:eastAsia="zh-CN"/>
        </w:rPr>
        <w:t>1</w:t>
      </w: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6</w:t>
      </w:r>
      <w:r>
        <w:rPr>
          <w:rFonts w:hint="eastAsia" w:ascii="仿宋" w:hAnsi="仿宋" w:eastAsia="仿宋" w:cs="仿宋"/>
          <w:b/>
          <w:bCs/>
          <w:color w:val="auto"/>
          <w:sz w:val="24"/>
          <w:szCs w:val="24"/>
        </w:rPr>
        <w:t>.3 扩容实施</w:t>
      </w:r>
      <w:bookmarkEnd w:id="35"/>
    </w:p>
    <w:p w14:paraId="2BB8E566">
      <w:p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通过服务器部署与扩容，提升系统对多省份、多运营商业务的支撑能力。</w:t>
      </w:r>
    </w:p>
    <w:p w14:paraId="6BF50657">
      <w:pPr>
        <w:numPr>
          <w:ilvl w:val="0"/>
          <w:numId w:val="131"/>
        </w:numPr>
        <w:spacing w:before="120" w:after="120" w:line="288" w:lineRule="auto"/>
        <w:ind w:left="0"/>
        <w:jc w:val="left"/>
        <w:rPr>
          <w:rFonts w:hint="eastAsia" w:ascii="仿宋" w:hAnsi="仿宋" w:eastAsia="仿宋" w:cs="仿宋"/>
          <w:color w:val="auto"/>
          <w:sz w:val="24"/>
          <w:szCs w:val="24"/>
        </w:rPr>
      </w:pPr>
      <w:r>
        <w:rPr>
          <w:rFonts w:hint="eastAsia" w:ascii="仿宋" w:hAnsi="仿宋" w:eastAsia="仿宋" w:cs="仿宋"/>
          <w:color w:val="auto"/>
          <w:sz w:val="24"/>
          <w:szCs w:val="24"/>
        </w:rPr>
        <w:t>服务器部署：建立三个 SLAVE 数据库，分别实时同步移动、电信、联通的 AAA 数据库，为业务分析与查询提供数据支撑。</w:t>
      </w:r>
    </w:p>
    <w:p w14:paraId="768D53E8">
      <w:pPr>
        <w:numPr>
          <w:ilvl w:val="0"/>
          <w:numId w:val="132"/>
        </w:numPr>
        <w:spacing w:before="120" w:after="120" w:line="288" w:lineRule="auto"/>
        <w:ind w:left="0"/>
        <w:jc w:val="left"/>
        <w:rPr>
          <w:rFonts w:hint="eastAsia" w:ascii="仿宋" w:hAnsi="仿宋" w:eastAsia="仿宋" w:cs="仿宋"/>
          <w:bCs w:val="0"/>
          <w:color w:val="auto"/>
          <w:sz w:val="24"/>
          <w:szCs w:val="24"/>
        </w:rPr>
      </w:pPr>
      <w:r>
        <w:rPr>
          <w:rFonts w:hint="eastAsia" w:ascii="仿宋" w:hAnsi="仿宋" w:eastAsia="仿宋" w:cs="仿宋"/>
          <w:color w:val="auto"/>
          <w:sz w:val="24"/>
          <w:szCs w:val="24"/>
        </w:rPr>
        <w:t xml:space="preserve">联通 IPTV-PBOSS 扩容：目前联通 PBOSS </w:t>
      </w:r>
      <w:r>
        <w:rPr>
          <w:rFonts w:hint="eastAsia" w:ascii="仿宋" w:hAnsi="仿宋" w:eastAsia="仿宋" w:cs="仿宋"/>
          <w:color w:val="auto"/>
          <w:sz w:val="24"/>
          <w:szCs w:val="24"/>
          <w:lang w:val="en-US" w:eastAsia="zh-CN"/>
        </w:rPr>
        <w:t>为主备模式</w:t>
      </w:r>
      <w:r>
        <w:rPr>
          <w:rFonts w:hint="eastAsia" w:ascii="仿宋" w:hAnsi="仿宋" w:eastAsia="仿宋" w:cs="仿宋"/>
          <w:color w:val="auto"/>
          <w:sz w:val="24"/>
          <w:szCs w:val="24"/>
        </w:rPr>
        <w:t>服务部署，需</w:t>
      </w:r>
      <w:r>
        <w:rPr>
          <w:rFonts w:hint="eastAsia" w:ascii="仿宋" w:hAnsi="仿宋" w:eastAsia="仿宋" w:cs="仿宋"/>
          <w:color w:val="auto"/>
          <w:sz w:val="24"/>
          <w:szCs w:val="24"/>
          <w:lang w:val="en-US" w:eastAsia="zh-CN"/>
        </w:rPr>
        <w:t>重新调整部署为负载模式，</w:t>
      </w:r>
      <w:r>
        <w:rPr>
          <w:rFonts w:hint="eastAsia" w:ascii="仿宋" w:hAnsi="仿宋" w:eastAsia="仿宋" w:cs="仿宋"/>
          <w:color w:val="auto"/>
          <w:sz w:val="24"/>
          <w:szCs w:val="24"/>
        </w:rPr>
        <w:t>通过双机部署实现冗余备份，提升联通侧业务接入的并发处理能力与系统稳定性。</w:t>
      </w:r>
    </w:p>
    <w:p w14:paraId="1E3EA33D">
      <w:pPr>
        <w:pStyle w:val="4"/>
        <w:tabs>
          <w:tab w:val="left" w:pos="576"/>
        </w:tabs>
        <w:spacing w:after="156"/>
        <w:rPr>
          <w:rFonts w:ascii="仿宋" w:hAnsi="仿宋" w:eastAsia="仿宋" w:cs="宋体"/>
          <w:bCs w:val="0"/>
        </w:rPr>
      </w:pPr>
      <w:r>
        <w:rPr>
          <w:rFonts w:hint="eastAsia" w:ascii="仿宋" w:hAnsi="仿宋" w:eastAsia="仿宋" w:cs="宋体"/>
          <w:bCs w:val="0"/>
        </w:rPr>
        <w:t>3.</w:t>
      </w:r>
      <w:r>
        <w:rPr>
          <w:rFonts w:ascii="仿宋" w:hAnsi="仿宋" w:eastAsia="仿宋" w:cs="宋体"/>
          <w:bCs w:val="0"/>
        </w:rPr>
        <w:t>2</w:t>
      </w:r>
      <w:r>
        <w:rPr>
          <w:rFonts w:hint="eastAsia" w:ascii="仿宋" w:hAnsi="仿宋" w:eastAsia="仿宋" w:cs="宋体"/>
          <w:bCs w:val="0"/>
        </w:rPr>
        <w:t>系统非功能性要求</w:t>
      </w:r>
      <w:bookmarkEnd w:id="10"/>
    </w:p>
    <w:p w14:paraId="64092317">
      <w:pPr>
        <w:pStyle w:val="5"/>
        <w:tabs>
          <w:tab w:val="left" w:pos="720"/>
        </w:tabs>
        <w:spacing w:after="156"/>
        <w:rPr>
          <w:rFonts w:ascii="仿宋" w:hAnsi="仿宋" w:eastAsia="仿宋"/>
        </w:rPr>
      </w:pPr>
      <w:bookmarkStart w:id="36" w:name="_Toc13481"/>
      <w:r>
        <w:rPr>
          <w:rFonts w:ascii="仿宋" w:hAnsi="仿宋" w:eastAsia="仿宋"/>
        </w:rPr>
        <w:t>3.2.1</w:t>
      </w:r>
      <w:r>
        <w:rPr>
          <w:rFonts w:hint="eastAsia" w:ascii="仿宋" w:hAnsi="仿宋" w:eastAsia="仿宋"/>
        </w:rPr>
        <w:t>兼容性要求</w:t>
      </w:r>
      <w:bookmarkEnd w:id="36"/>
    </w:p>
    <w:p w14:paraId="260C3981">
      <w:pPr>
        <w:pStyle w:val="14"/>
        <w:numPr>
          <w:ilvl w:val="0"/>
          <w:numId w:val="0"/>
        </w:numPr>
        <w:spacing w:line="360" w:lineRule="auto"/>
        <w:ind w:left="199" w:leftChars="0"/>
        <w:rPr>
          <w:rFonts w:ascii="仿宋" w:hAnsi="仿宋" w:eastAsia="仿宋"/>
          <w:sz w:val="24"/>
          <w:szCs w:val="24"/>
        </w:rPr>
      </w:pPr>
      <w:bookmarkStart w:id="37" w:name="_Toc17527"/>
      <w:r>
        <w:rPr>
          <w:rFonts w:hint="eastAsia" w:ascii="仿宋" w:hAnsi="仿宋" w:eastAsia="仿宋"/>
          <w:sz w:val="24"/>
          <w:szCs w:val="24"/>
          <w:lang w:val="en-US" w:eastAsia="zh-CN"/>
        </w:rPr>
        <w:t>1）</w:t>
      </w:r>
      <w:r>
        <w:rPr>
          <w:rFonts w:ascii="仿宋" w:hAnsi="仿宋" w:eastAsia="仿宋"/>
          <w:sz w:val="24"/>
          <w:szCs w:val="24"/>
        </w:rPr>
        <w:t>大屏活动必须兼容南方新媒体的高清互动机顶盒，需要通过南方新媒体兼容性测试。</w:t>
      </w:r>
    </w:p>
    <w:p w14:paraId="3E06DF48">
      <w:pPr>
        <w:pStyle w:val="14"/>
        <w:numPr>
          <w:ilvl w:val="0"/>
          <w:numId w:val="0"/>
        </w:numPr>
        <w:spacing w:line="360" w:lineRule="auto"/>
        <w:ind w:left="199" w:leftChars="0"/>
        <w:rPr>
          <w:rFonts w:ascii="仿宋" w:hAnsi="仿宋" w:eastAsia="仿宋"/>
          <w:sz w:val="24"/>
          <w:szCs w:val="24"/>
        </w:rPr>
      </w:pPr>
      <w:r>
        <w:rPr>
          <w:rFonts w:hint="eastAsia" w:ascii="仿宋" w:hAnsi="仿宋" w:eastAsia="仿宋"/>
          <w:sz w:val="24"/>
          <w:szCs w:val="24"/>
          <w:lang w:val="en-US" w:eastAsia="zh-CN"/>
        </w:rPr>
        <w:t>2）</w:t>
      </w:r>
      <w:r>
        <w:rPr>
          <w:rFonts w:ascii="仿宋" w:hAnsi="仿宋" w:eastAsia="仿宋"/>
          <w:sz w:val="24"/>
          <w:szCs w:val="24"/>
        </w:rPr>
        <w:t>平台需支持IPV4及IPV6接入</w:t>
      </w:r>
    </w:p>
    <w:p w14:paraId="28B0A9B2">
      <w:pPr>
        <w:pStyle w:val="14"/>
        <w:numPr>
          <w:ilvl w:val="0"/>
          <w:numId w:val="0"/>
        </w:numPr>
        <w:spacing w:line="360" w:lineRule="auto"/>
        <w:ind w:left="199" w:leftChars="0"/>
        <w:rPr>
          <w:rFonts w:ascii="仿宋" w:hAnsi="仿宋" w:eastAsia="仿宋"/>
          <w:sz w:val="24"/>
          <w:szCs w:val="24"/>
        </w:rPr>
      </w:pPr>
      <w:r>
        <w:rPr>
          <w:rFonts w:hint="eastAsia" w:ascii="仿宋" w:hAnsi="仿宋" w:eastAsia="仿宋"/>
          <w:sz w:val="24"/>
          <w:szCs w:val="24"/>
          <w:lang w:val="en-US" w:eastAsia="zh-CN"/>
        </w:rPr>
        <w:t>3）</w:t>
      </w:r>
      <w:r>
        <w:rPr>
          <w:rFonts w:hint="eastAsia" w:ascii="仿宋" w:hAnsi="仿宋" w:eastAsia="仿宋"/>
          <w:sz w:val="24"/>
          <w:szCs w:val="24"/>
        </w:rPr>
        <w:t>本期项目扩容功能需兼容平台已有功能。</w:t>
      </w:r>
    </w:p>
    <w:p w14:paraId="2F14C276">
      <w:pPr>
        <w:pStyle w:val="14"/>
        <w:numPr>
          <w:ilvl w:val="0"/>
          <w:numId w:val="0"/>
        </w:numPr>
        <w:spacing w:line="360" w:lineRule="auto"/>
        <w:ind w:left="199" w:leftChars="0"/>
        <w:rPr>
          <w:rFonts w:ascii="仿宋" w:hAnsi="仿宋" w:eastAsia="仿宋"/>
          <w:sz w:val="24"/>
          <w:szCs w:val="24"/>
        </w:rPr>
      </w:pPr>
      <w:r>
        <w:rPr>
          <w:rFonts w:hint="eastAsia" w:ascii="仿宋" w:hAnsi="仿宋" w:eastAsia="仿宋"/>
          <w:sz w:val="24"/>
          <w:szCs w:val="24"/>
          <w:lang w:val="en-US" w:eastAsia="zh-CN"/>
        </w:rPr>
        <w:t>4）</w:t>
      </w:r>
      <w:r>
        <w:rPr>
          <w:rFonts w:hint="eastAsia" w:ascii="仿宋" w:hAnsi="仿宋" w:eastAsia="仿宋"/>
          <w:sz w:val="24"/>
          <w:szCs w:val="24"/>
        </w:rPr>
        <w:t>本期项目扩容功能需兼容信创服务器。</w:t>
      </w:r>
    </w:p>
    <w:p w14:paraId="44734E01">
      <w:pPr>
        <w:pStyle w:val="5"/>
        <w:tabs>
          <w:tab w:val="left" w:pos="720"/>
        </w:tabs>
        <w:spacing w:after="156"/>
        <w:rPr>
          <w:rFonts w:ascii="仿宋" w:hAnsi="仿宋" w:eastAsia="仿宋"/>
        </w:rPr>
      </w:pPr>
      <w:r>
        <w:rPr>
          <w:rFonts w:ascii="仿宋" w:hAnsi="仿宋" w:eastAsia="仿宋"/>
        </w:rPr>
        <w:t>3.2.2</w:t>
      </w:r>
      <w:r>
        <w:rPr>
          <w:rFonts w:hint="eastAsia" w:ascii="仿宋" w:hAnsi="仿宋" w:eastAsia="仿宋"/>
        </w:rPr>
        <w:t>性能要求</w:t>
      </w:r>
      <w:bookmarkEnd w:id="37"/>
    </w:p>
    <w:p w14:paraId="16846424">
      <w:pPr>
        <w:pStyle w:val="3"/>
        <w:spacing w:after="156"/>
        <w:ind w:firstLine="480"/>
        <w:rPr>
          <w:rFonts w:ascii="仿宋" w:hAnsi="仿宋" w:eastAsia="仿宋" w:cs="宋体"/>
          <w:bCs/>
          <w:sz w:val="24"/>
        </w:rPr>
      </w:pPr>
      <w:r>
        <w:rPr>
          <w:rFonts w:hint="eastAsia" w:ascii="仿宋" w:hAnsi="仿宋" w:eastAsia="仿宋" w:cs="宋体"/>
          <w:bCs/>
          <w:sz w:val="24"/>
        </w:rPr>
        <w:t>1）需要用户登陆响应时间小于</w:t>
      </w:r>
      <w:r>
        <w:rPr>
          <w:rFonts w:ascii="仿宋" w:hAnsi="仿宋" w:eastAsia="仿宋" w:cs="宋体"/>
          <w:bCs/>
          <w:sz w:val="24"/>
        </w:rPr>
        <w:t>100</w:t>
      </w:r>
      <w:r>
        <w:rPr>
          <w:rFonts w:hint="eastAsia" w:ascii="仿宋" w:hAnsi="仿宋" w:eastAsia="仿宋" w:cs="宋体"/>
          <w:bCs/>
          <w:sz w:val="24"/>
        </w:rPr>
        <w:t>毫秒。</w:t>
      </w:r>
    </w:p>
    <w:p w14:paraId="70028281">
      <w:pPr>
        <w:pStyle w:val="3"/>
        <w:spacing w:after="156"/>
        <w:ind w:firstLine="480"/>
        <w:rPr>
          <w:rFonts w:ascii="仿宋" w:hAnsi="仿宋" w:eastAsia="仿宋" w:cs="宋体"/>
          <w:bCs/>
          <w:sz w:val="24"/>
        </w:rPr>
      </w:pPr>
      <w:r>
        <w:rPr>
          <w:rFonts w:ascii="仿宋" w:hAnsi="仿宋" w:eastAsia="仿宋" w:cs="宋体"/>
          <w:bCs/>
          <w:sz w:val="24"/>
        </w:rPr>
        <w:t>2</w:t>
      </w:r>
      <w:r>
        <w:rPr>
          <w:rFonts w:hint="eastAsia" w:ascii="仿宋" w:hAnsi="仿宋" w:eastAsia="仿宋" w:cs="宋体"/>
          <w:bCs/>
          <w:sz w:val="24"/>
        </w:rPr>
        <w:t>）需要业务鉴权响应时间小于</w:t>
      </w:r>
      <w:r>
        <w:rPr>
          <w:rFonts w:ascii="仿宋" w:hAnsi="仿宋" w:eastAsia="仿宋" w:cs="宋体"/>
          <w:bCs/>
          <w:sz w:val="24"/>
        </w:rPr>
        <w:t>50</w:t>
      </w:r>
      <w:r>
        <w:rPr>
          <w:rFonts w:hint="eastAsia" w:ascii="仿宋" w:hAnsi="仿宋" w:eastAsia="仿宋" w:cs="宋体"/>
          <w:bCs/>
          <w:sz w:val="24"/>
        </w:rPr>
        <w:t>毫秒。</w:t>
      </w:r>
    </w:p>
    <w:p w14:paraId="3928D304">
      <w:pPr>
        <w:pStyle w:val="3"/>
        <w:spacing w:after="156"/>
        <w:ind w:firstLine="480"/>
        <w:rPr>
          <w:rFonts w:ascii="仿宋" w:hAnsi="仿宋" w:eastAsia="仿宋" w:cs="宋体"/>
          <w:bCs/>
          <w:sz w:val="24"/>
        </w:rPr>
      </w:pPr>
      <w:r>
        <w:rPr>
          <w:rFonts w:ascii="仿宋" w:hAnsi="仿宋" w:eastAsia="仿宋" w:cs="宋体"/>
          <w:bCs/>
          <w:sz w:val="24"/>
        </w:rPr>
        <w:t>3</w:t>
      </w:r>
      <w:r>
        <w:rPr>
          <w:rFonts w:hint="eastAsia" w:ascii="仿宋" w:hAnsi="仿宋" w:eastAsia="仿宋" w:cs="宋体"/>
          <w:bCs/>
          <w:sz w:val="24"/>
        </w:rPr>
        <w:t>）在现有服务器上需要支持单台</w:t>
      </w:r>
      <w:r>
        <w:rPr>
          <w:rFonts w:ascii="仿宋" w:hAnsi="仿宋" w:eastAsia="仿宋" w:cs="宋体"/>
          <w:bCs/>
          <w:sz w:val="24"/>
        </w:rPr>
        <w:t>AAA</w:t>
      </w:r>
      <w:r>
        <w:rPr>
          <w:rFonts w:hint="eastAsia" w:ascii="仿宋" w:hAnsi="仿宋" w:eastAsia="仿宋" w:cs="宋体"/>
          <w:bCs/>
          <w:sz w:val="24"/>
        </w:rPr>
        <w:t>登陆</w:t>
      </w:r>
      <w:r>
        <w:rPr>
          <w:rFonts w:ascii="仿宋" w:hAnsi="仿宋" w:eastAsia="仿宋" w:cs="宋体"/>
          <w:bCs/>
          <w:sz w:val="24"/>
        </w:rPr>
        <w:t>1000TPS</w:t>
      </w:r>
      <w:r>
        <w:rPr>
          <w:rFonts w:hint="eastAsia" w:ascii="仿宋" w:hAnsi="仿宋" w:eastAsia="仿宋" w:cs="宋体"/>
          <w:bCs/>
          <w:sz w:val="24"/>
        </w:rPr>
        <w:t>、业务鉴权</w:t>
      </w:r>
      <w:r>
        <w:rPr>
          <w:rFonts w:ascii="仿宋" w:hAnsi="仿宋" w:eastAsia="仿宋" w:cs="宋体"/>
          <w:bCs/>
          <w:sz w:val="24"/>
        </w:rPr>
        <w:t>5000TPS</w:t>
      </w:r>
      <w:r>
        <w:rPr>
          <w:rFonts w:hint="eastAsia" w:ascii="仿宋" w:hAnsi="仿宋" w:eastAsia="仿宋" w:cs="宋体"/>
          <w:bCs/>
          <w:sz w:val="24"/>
        </w:rPr>
        <w:t>、订购服务300TPS。</w:t>
      </w:r>
    </w:p>
    <w:p w14:paraId="526CF5A7">
      <w:pPr>
        <w:pStyle w:val="3"/>
        <w:spacing w:after="156"/>
        <w:ind w:firstLine="480"/>
        <w:rPr>
          <w:rFonts w:ascii="仿宋" w:hAnsi="仿宋" w:eastAsia="仿宋" w:cs="宋体"/>
          <w:bCs/>
          <w:sz w:val="24"/>
        </w:rPr>
      </w:pPr>
      <w:r>
        <w:rPr>
          <w:rFonts w:ascii="仿宋" w:hAnsi="仿宋" w:eastAsia="仿宋" w:cs="宋体"/>
          <w:sz w:val="24"/>
        </w:rPr>
        <w:t>4</w:t>
      </w:r>
      <w:r>
        <w:rPr>
          <w:rFonts w:hint="eastAsia" w:ascii="仿宋" w:hAnsi="仿宋" w:eastAsia="仿宋" w:cs="宋体"/>
          <w:sz w:val="24"/>
        </w:rPr>
        <w:t>）要求用户鉴权服务器、业务鉴权服务器、订购服务器集群叠加时，单台能达到以上性能要求，性能在集群模式下不明显下降。 用户鉴权服务器集群能支持30台EPG服务器组群，并支持双活中心模式；业务鉴权服务器集群能支持20台业务鉴权服务器组群，并支持双活中心模式；订购服务器集群能支持10台订购服务器组群，并支持双活中心模式。</w:t>
      </w:r>
    </w:p>
    <w:p w14:paraId="3918F9A2">
      <w:pPr>
        <w:pStyle w:val="5"/>
        <w:tabs>
          <w:tab w:val="left" w:pos="720"/>
        </w:tabs>
        <w:spacing w:after="156"/>
        <w:rPr>
          <w:rFonts w:ascii="仿宋" w:hAnsi="仿宋" w:eastAsia="仿宋"/>
        </w:rPr>
      </w:pPr>
      <w:bookmarkStart w:id="38" w:name="_Toc5769"/>
      <w:r>
        <w:rPr>
          <w:rFonts w:ascii="仿宋" w:hAnsi="仿宋" w:eastAsia="仿宋"/>
        </w:rPr>
        <w:t>3.2.3</w:t>
      </w:r>
      <w:r>
        <w:rPr>
          <w:rFonts w:hint="eastAsia" w:ascii="仿宋" w:hAnsi="仿宋" w:eastAsia="仿宋"/>
        </w:rPr>
        <w:t>容量要求</w:t>
      </w:r>
      <w:bookmarkEnd w:id="38"/>
    </w:p>
    <w:p w14:paraId="0E2DA042">
      <w:pPr>
        <w:pStyle w:val="3"/>
        <w:spacing w:after="156"/>
        <w:ind w:firstLine="480"/>
        <w:rPr>
          <w:rFonts w:ascii="仿宋" w:hAnsi="仿宋" w:eastAsia="仿宋" w:cs="宋体"/>
          <w:bCs/>
          <w:sz w:val="24"/>
        </w:rPr>
      </w:pPr>
      <w:r>
        <w:rPr>
          <w:rFonts w:hint="eastAsia" w:ascii="仿宋" w:hAnsi="仿宋" w:eastAsia="仿宋" w:cs="宋体"/>
          <w:bCs/>
          <w:sz w:val="24"/>
        </w:rPr>
        <w:t>支持千万级高清互动机顶盒用户。</w:t>
      </w:r>
    </w:p>
    <w:p w14:paraId="0769C6BE">
      <w:pPr>
        <w:pStyle w:val="5"/>
        <w:tabs>
          <w:tab w:val="left" w:pos="720"/>
        </w:tabs>
        <w:spacing w:after="156"/>
        <w:rPr>
          <w:rFonts w:ascii="仿宋" w:hAnsi="仿宋" w:eastAsia="仿宋"/>
        </w:rPr>
      </w:pPr>
      <w:bookmarkStart w:id="39" w:name="_Toc21774"/>
      <w:r>
        <w:rPr>
          <w:rFonts w:ascii="仿宋" w:hAnsi="仿宋" w:eastAsia="仿宋"/>
        </w:rPr>
        <w:t>3.2</w:t>
      </w:r>
      <w:r>
        <w:rPr>
          <w:rFonts w:hint="eastAsia" w:ascii="仿宋" w:hAnsi="仿宋" w:eastAsia="仿宋"/>
        </w:rPr>
        <w:t>.4</w:t>
      </w:r>
      <w:r>
        <w:rPr>
          <w:rFonts w:ascii="仿宋" w:hAnsi="仿宋" w:eastAsia="仿宋"/>
        </w:rPr>
        <w:t xml:space="preserve"> </w:t>
      </w:r>
      <w:r>
        <w:rPr>
          <w:rFonts w:hint="eastAsia" w:ascii="仿宋" w:hAnsi="仿宋" w:eastAsia="仿宋"/>
        </w:rPr>
        <w:t>可靠性要求</w:t>
      </w:r>
      <w:bookmarkEnd w:id="39"/>
    </w:p>
    <w:p w14:paraId="7FFA146D">
      <w:pPr>
        <w:adjustRightInd w:val="0"/>
        <w:snapToGrid w:val="0"/>
        <w:spacing w:after="156"/>
        <w:ind w:left="567"/>
        <w:rPr>
          <w:rFonts w:ascii="仿宋" w:hAnsi="仿宋" w:eastAsia="仿宋" w:cs="宋体"/>
          <w:bCs/>
          <w:sz w:val="24"/>
        </w:rPr>
      </w:pPr>
      <w:r>
        <w:rPr>
          <w:rFonts w:ascii="仿宋" w:hAnsi="仿宋" w:eastAsia="仿宋" w:cs="宋体"/>
          <w:bCs/>
          <w:sz w:val="24"/>
        </w:rPr>
        <w:t>1</w:t>
      </w:r>
      <w:r>
        <w:rPr>
          <w:rFonts w:hint="eastAsia" w:ascii="仿宋" w:hAnsi="仿宋" w:eastAsia="仿宋" w:cs="宋体"/>
          <w:bCs/>
          <w:sz w:val="24"/>
        </w:rPr>
        <w:t>）系统应具备</w:t>
      </w:r>
      <w:r>
        <w:rPr>
          <w:rFonts w:ascii="仿宋" w:hAnsi="仿宋" w:eastAsia="仿宋" w:cs="宋体"/>
          <w:bCs/>
          <w:sz w:val="24"/>
        </w:rPr>
        <w:t>99.99%</w:t>
      </w:r>
      <w:r>
        <w:rPr>
          <w:rFonts w:hint="eastAsia" w:ascii="仿宋" w:hAnsi="仿宋" w:eastAsia="仿宋" w:cs="宋体"/>
          <w:bCs/>
          <w:sz w:val="24"/>
        </w:rPr>
        <w:t>的高可用性。</w:t>
      </w:r>
    </w:p>
    <w:p w14:paraId="37EE9CA6">
      <w:pPr>
        <w:adjustRightInd w:val="0"/>
        <w:snapToGrid w:val="0"/>
        <w:spacing w:after="156"/>
        <w:ind w:left="567"/>
        <w:rPr>
          <w:rFonts w:ascii="仿宋" w:hAnsi="仿宋" w:eastAsia="仿宋" w:cs="宋体"/>
          <w:bCs/>
          <w:sz w:val="24"/>
        </w:rPr>
      </w:pPr>
      <w:r>
        <w:rPr>
          <w:rFonts w:ascii="仿宋" w:hAnsi="仿宋" w:eastAsia="仿宋" w:cs="宋体"/>
          <w:bCs/>
          <w:sz w:val="24"/>
        </w:rPr>
        <w:t>2</w:t>
      </w:r>
      <w:r>
        <w:rPr>
          <w:rFonts w:hint="eastAsia" w:ascii="仿宋" w:hAnsi="仿宋" w:eastAsia="仿宋" w:cs="宋体"/>
          <w:bCs/>
          <w:sz w:val="24"/>
        </w:rPr>
        <w:t>）平均修复时间</w:t>
      </w:r>
      <w:r>
        <w:rPr>
          <w:rFonts w:ascii="仿宋" w:hAnsi="仿宋" w:eastAsia="仿宋" w:cs="宋体"/>
          <w:bCs/>
          <w:sz w:val="24"/>
        </w:rPr>
        <w:t>(MTTR) &lt;= 50</w:t>
      </w:r>
      <w:r>
        <w:rPr>
          <w:rFonts w:hint="eastAsia" w:ascii="仿宋" w:hAnsi="仿宋" w:eastAsia="仿宋" w:cs="宋体"/>
          <w:bCs/>
          <w:sz w:val="24"/>
        </w:rPr>
        <w:t>分钟</w:t>
      </w:r>
      <w:r>
        <w:rPr>
          <w:rFonts w:ascii="仿宋" w:hAnsi="仿宋" w:eastAsia="仿宋" w:cs="宋体"/>
          <w:bCs/>
          <w:sz w:val="24"/>
        </w:rPr>
        <w:t>/</w:t>
      </w:r>
      <w:r>
        <w:rPr>
          <w:rFonts w:hint="eastAsia" w:ascii="仿宋" w:hAnsi="仿宋" w:eastAsia="仿宋" w:cs="宋体"/>
          <w:bCs/>
          <w:sz w:val="24"/>
        </w:rPr>
        <w:t>每年。</w:t>
      </w:r>
    </w:p>
    <w:p w14:paraId="57FC5A4E">
      <w:pPr>
        <w:pStyle w:val="5"/>
        <w:tabs>
          <w:tab w:val="left" w:pos="720"/>
        </w:tabs>
        <w:spacing w:after="156"/>
        <w:rPr>
          <w:rFonts w:ascii="仿宋" w:hAnsi="仿宋" w:eastAsia="仿宋"/>
        </w:rPr>
      </w:pPr>
      <w:bookmarkStart w:id="40" w:name="_Toc4032"/>
      <w:r>
        <w:rPr>
          <w:rFonts w:hint="eastAsia" w:ascii="仿宋" w:hAnsi="仿宋" w:eastAsia="仿宋"/>
        </w:rPr>
        <w:t>3.</w:t>
      </w:r>
      <w:r>
        <w:rPr>
          <w:rFonts w:ascii="仿宋" w:hAnsi="仿宋" w:eastAsia="仿宋"/>
        </w:rPr>
        <w:t>2</w:t>
      </w:r>
      <w:r>
        <w:rPr>
          <w:rFonts w:hint="eastAsia" w:ascii="仿宋" w:hAnsi="仿宋" w:eastAsia="仿宋"/>
        </w:rPr>
        <w:t>.5保密性要求</w:t>
      </w:r>
      <w:bookmarkEnd w:id="40"/>
    </w:p>
    <w:p w14:paraId="07213F8D">
      <w:pPr>
        <w:adjustRightInd w:val="0"/>
        <w:snapToGrid w:val="0"/>
        <w:spacing w:after="156"/>
        <w:ind w:firstLine="567"/>
        <w:rPr>
          <w:rFonts w:ascii="仿宋" w:hAnsi="仿宋" w:eastAsia="仿宋" w:cs="宋体"/>
          <w:bCs/>
          <w:sz w:val="24"/>
        </w:rPr>
      </w:pPr>
      <w:r>
        <w:rPr>
          <w:rFonts w:hint="eastAsia" w:ascii="仿宋" w:hAnsi="仿宋" w:eastAsia="仿宋" w:cs="宋体"/>
          <w:bCs/>
          <w:sz w:val="24"/>
        </w:rPr>
        <w:t>平台承建方未经需求方书面许可，不得将本文件的任何内容透露给除建设方以外的第三方。由承建方提供业务或内容的，承建方应与建设方签订信息安全承诺保证书，明确承建方的信息安全责任。</w:t>
      </w:r>
    </w:p>
    <w:p w14:paraId="218FB634">
      <w:pPr>
        <w:pStyle w:val="5"/>
        <w:tabs>
          <w:tab w:val="left" w:pos="720"/>
        </w:tabs>
        <w:spacing w:after="156"/>
        <w:rPr>
          <w:rFonts w:ascii="仿宋" w:hAnsi="仿宋" w:eastAsia="仿宋"/>
        </w:rPr>
      </w:pPr>
      <w:bookmarkStart w:id="41" w:name="_Toc32663"/>
      <w:r>
        <w:rPr>
          <w:rFonts w:hint="eastAsia" w:ascii="仿宋" w:hAnsi="仿宋" w:eastAsia="仿宋"/>
        </w:rPr>
        <w:t>3.</w:t>
      </w:r>
      <w:r>
        <w:rPr>
          <w:rFonts w:ascii="仿宋" w:hAnsi="仿宋" w:eastAsia="仿宋"/>
        </w:rPr>
        <w:t>2</w:t>
      </w:r>
      <w:r>
        <w:rPr>
          <w:rFonts w:hint="eastAsia" w:ascii="仿宋" w:hAnsi="仿宋" w:eastAsia="仿宋"/>
        </w:rPr>
        <w:t>.6第三方软件要求</w:t>
      </w:r>
      <w:bookmarkEnd w:id="41"/>
    </w:p>
    <w:p w14:paraId="214DA24A">
      <w:pPr>
        <w:adjustRightInd w:val="0"/>
        <w:snapToGrid w:val="0"/>
        <w:spacing w:after="156"/>
        <w:ind w:firstLine="567"/>
        <w:rPr>
          <w:rFonts w:ascii="仿宋" w:hAnsi="仿宋" w:eastAsia="仿宋" w:cs="宋体"/>
          <w:bCs/>
          <w:sz w:val="24"/>
        </w:rPr>
      </w:pPr>
      <w:r>
        <w:rPr>
          <w:rFonts w:hint="eastAsia" w:ascii="仿宋" w:hAnsi="仿宋" w:eastAsia="仿宋" w:cs="宋体"/>
          <w:bCs/>
          <w:sz w:val="24"/>
        </w:rPr>
        <w:t>平台所涉及的第三方软件必须要求正版授权，涉及任何盗版或者侵权行为责任由承建方承担。</w:t>
      </w:r>
    </w:p>
    <w:p w14:paraId="3A57A99B">
      <w:pPr>
        <w:pStyle w:val="5"/>
        <w:tabs>
          <w:tab w:val="left" w:pos="720"/>
        </w:tabs>
        <w:spacing w:after="156"/>
        <w:rPr>
          <w:rFonts w:ascii="仿宋" w:hAnsi="仿宋" w:eastAsia="仿宋"/>
        </w:rPr>
      </w:pPr>
      <w:bookmarkStart w:id="42" w:name="_Toc2108"/>
      <w:r>
        <w:rPr>
          <w:rFonts w:hint="eastAsia" w:ascii="仿宋" w:hAnsi="仿宋" w:eastAsia="仿宋"/>
        </w:rPr>
        <w:t>3.</w:t>
      </w:r>
      <w:r>
        <w:rPr>
          <w:rFonts w:ascii="仿宋" w:hAnsi="仿宋" w:eastAsia="仿宋"/>
        </w:rPr>
        <w:t>2</w:t>
      </w:r>
      <w:r>
        <w:rPr>
          <w:rFonts w:hint="eastAsia" w:ascii="仿宋" w:hAnsi="仿宋" w:eastAsia="仿宋"/>
        </w:rPr>
        <w:t>.7网络服务要求</w:t>
      </w:r>
      <w:bookmarkEnd w:id="42"/>
    </w:p>
    <w:p w14:paraId="34155C78">
      <w:pPr>
        <w:adjustRightInd w:val="0"/>
        <w:snapToGrid w:val="0"/>
        <w:spacing w:after="156"/>
        <w:ind w:firstLine="420"/>
        <w:rPr>
          <w:rFonts w:ascii="仿宋" w:hAnsi="仿宋" w:eastAsia="仿宋" w:cs="宋体"/>
          <w:bCs/>
          <w:sz w:val="24"/>
        </w:rPr>
      </w:pPr>
      <w:r>
        <w:rPr>
          <w:rFonts w:hint="eastAsia" w:ascii="仿宋" w:hAnsi="仿宋" w:eastAsia="仿宋" w:cs="宋体"/>
          <w:bCs/>
          <w:sz w:val="24"/>
        </w:rPr>
        <w:t>本期项目不涉及硬件扩容，软件系统需要满足等保、国家及行业相关技术规范等的网络安全要求，需要定期对存在的安全漏洞进行整改及修复。</w:t>
      </w:r>
    </w:p>
    <w:p w14:paraId="24877057">
      <w:pPr>
        <w:pStyle w:val="5"/>
        <w:tabs>
          <w:tab w:val="left" w:pos="720"/>
        </w:tabs>
        <w:spacing w:after="156"/>
        <w:rPr>
          <w:rFonts w:ascii="仿宋" w:hAnsi="仿宋" w:eastAsia="仿宋"/>
        </w:rPr>
      </w:pPr>
      <w:bookmarkStart w:id="43" w:name="_Toc32260"/>
      <w:r>
        <w:rPr>
          <w:rFonts w:hint="eastAsia" w:ascii="仿宋" w:hAnsi="仿宋" w:eastAsia="仿宋"/>
        </w:rPr>
        <w:t>3.</w:t>
      </w:r>
      <w:r>
        <w:rPr>
          <w:rFonts w:ascii="仿宋" w:hAnsi="仿宋" w:eastAsia="仿宋"/>
        </w:rPr>
        <w:t>2</w:t>
      </w:r>
      <w:r>
        <w:rPr>
          <w:rFonts w:hint="eastAsia" w:ascii="仿宋" w:hAnsi="仿宋" w:eastAsia="仿宋"/>
        </w:rPr>
        <w:t>.</w:t>
      </w:r>
      <w:r>
        <w:rPr>
          <w:rFonts w:ascii="仿宋" w:hAnsi="仿宋" w:eastAsia="仿宋"/>
        </w:rPr>
        <w:t>8</w:t>
      </w:r>
      <w:r>
        <w:rPr>
          <w:rFonts w:hint="eastAsia" w:ascii="仿宋" w:hAnsi="仿宋" w:eastAsia="仿宋"/>
        </w:rPr>
        <w:t>售后服务要求</w:t>
      </w:r>
      <w:bookmarkEnd w:id="43"/>
    </w:p>
    <w:p w14:paraId="288AED59">
      <w:pPr>
        <w:adjustRightInd w:val="0"/>
        <w:snapToGrid w:val="0"/>
        <w:spacing w:after="156"/>
        <w:ind w:firstLine="420"/>
        <w:rPr>
          <w:rFonts w:ascii="仿宋" w:hAnsi="仿宋" w:eastAsia="仿宋" w:cs="宋体"/>
          <w:bCs/>
          <w:sz w:val="24"/>
        </w:rPr>
      </w:pPr>
      <w:r>
        <w:rPr>
          <w:rFonts w:hint="eastAsia" w:ascii="仿宋" w:hAnsi="仿宋" w:eastAsia="仿宋" w:cs="宋体"/>
          <w:bCs/>
          <w:sz w:val="24"/>
        </w:rPr>
        <w:t>项目在终验后免费质保期为12个月，自买卖双方共同签署验收（终验）文件之日起计算。在质保期内，厂家提供技术支持、运维支持、包括日常巡检、以及重大节日巡检，定期出具巡检报告。</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onstantia">
    <w:panose1 w:val="02030602050306030303"/>
    <w:charset w:val="00"/>
    <w:family w:val="roman"/>
    <w:pitch w:val="default"/>
    <w:sig w:usb0="A00002EF" w:usb1="4000204B" w:usb2="00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27A3E">
    <w:pPr>
      <w:spacing w:line="237" w:lineRule="exact"/>
      <w:rPr>
        <w:rFonts w:ascii="Constantia" w:hAnsi="Constantia" w:eastAsia="Constantia" w:cs="Constantia"/>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118A8D">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F118A8D">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FA055">
    <w:pPr>
      <w:spacing w:before="36" w:line="19" w:lineRule="exact"/>
      <w:ind w:firstLine="283" w:firstLineChars="13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4E4E29"/>
    <w:multiLevelType w:val="singleLevel"/>
    <w:tmpl w:val="804E4E29"/>
    <w:lvl w:ilvl="0" w:tentative="0">
      <w:start w:val="0"/>
      <w:numFmt w:val="bullet"/>
      <w:lvlText w:val="•"/>
      <w:lvlJc w:val="left"/>
      <w:rPr>
        <w:rFonts w:hint="default"/>
        <w:color w:val="auto"/>
      </w:rPr>
    </w:lvl>
  </w:abstractNum>
  <w:abstractNum w:abstractNumId="1">
    <w:nsid w:val="813A4B87"/>
    <w:multiLevelType w:val="singleLevel"/>
    <w:tmpl w:val="813A4B87"/>
    <w:lvl w:ilvl="0" w:tentative="0">
      <w:start w:val="0"/>
      <w:numFmt w:val="bullet"/>
      <w:lvlText w:val="•"/>
      <w:lvlJc w:val="left"/>
      <w:rPr>
        <w:rFonts w:hint="default"/>
        <w:color w:val="auto"/>
      </w:rPr>
    </w:lvl>
  </w:abstractNum>
  <w:abstractNum w:abstractNumId="2">
    <w:nsid w:val="825EC3C5"/>
    <w:multiLevelType w:val="singleLevel"/>
    <w:tmpl w:val="825EC3C5"/>
    <w:lvl w:ilvl="0" w:tentative="0">
      <w:start w:val="1"/>
      <w:numFmt w:val="decimal"/>
      <w:lvlText w:val="%1."/>
      <w:lvlJc w:val="left"/>
      <w:rPr>
        <w:rFonts w:hint="default"/>
        <w:color w:val="auto"/>
      </w:rPr>
    </w:lvl>
  </w:abstractNum>
  <w:abstractNum w:abstractNumId="3">
    <w:nsid w:val="845B5372"/>
    <w:multiLevelType w:val="singleLevel"/>
    <w:tmpl w:val="845B5372"/>
    <w:lvl w:ilvl="0" w:tentative="0">
      <w:start w:val="0"/>
      <w:numFmt w:val="bullet"/>
      <w:lvlText w:val="•"/>
      <w:lvlJc w:val="left"/>
      <w:rPr>
        <w:rFonts w:hint="default"/>
        <w:color w:val="auto"/>
      </w:rPr>
    </w:lvl>
  </w:abstractNum>
  <w:abstractNum w:abstractNumId="4">
    <w:nsid w:val="8461FADE"/>
    <w:multiLevelType w:val="singleLevel"/>
    <w:tmpl w:val="8461FADE"/>
    <w:lvl w:ilvl="0" w:tentative="0">
      <w:start w:val="0"/>
      <w:numFmt w:val="bullet"/>
      <w:lvlText w:val="￮"/>
      <w:lvlJc w:val="left"/>
      <w:rPr>
        <w:rFonts w:hint="default"/>
        <w:color w:val="auto"/>
      </w:rPr>
    </w:lvl>
  </w:abstractNum>
  <w:abstractNum w:abstractNumId="5">
    <w:nsid w:val="84994F45"/>
    <w:multiLevelType w:val="singleLevel"/>
    <w:tmpl w:val="84994F45"/>
    <w:lvl w:ilvl="0" w:tentative="0">
      <w:start w:val="0"/>
      <w:numFmt w:val="bullet"/>
      <w:lvlText w:val="•"/>
      <w:lvlJc w:val="left"/>
      <w:rPr>
        <w:rFonts w:hint="default"/>
        <w:color w:val="auto"/>
      </w:rPr>
    </w:lvl>
  </w:abstractNum>
  <w:abstractNum w:abstractNumId="6">
    <w:nsid w:val="883B3669"/>
    <w:multiLevelType w:val="singleLevel"/>
    <w:tmpl w:val="883B3669"/>
    <w:lvl w:ilvl="0" w:tentative="0">
      <w:start w:val="0"/>
      <w:numFmt w:val="bullet"/>
      <w:lvlText w:val="•"/>
      <w:lvlJc w:val="left"/>
      <w:rPr>
        <w:rFonts w:hint="default"/>
        <w:color w:val="auto"/>
      </w:rPr>
    </w:lvl>
  </w:abstractNum>
  <w:abstractNum w:abstractNumId="7">
    <w:nsid w:val="8CAEB125"/>
    <w:multiLevelType w:val="singleLevel"/>
    <w:tmpl w:val="8CAEB125"/>
    <w:lvl w:ilvl="0" w:tentative="0">
      <w:start w:val="4"/>
      <w:numFmt w:val="decimal"/>
      <w:lvlText w:val="%1."/>
      <w:lvlJc w:val="left"/>
      <w:rPr>
        <w:rFonts w:hint="default"/>
        <w:color w:val="auto"/>
      </w:rPr>
    </w:lvl>
  </w:abstractNum>
  <w:abstractNum w:abstractNumId="8">
    <w:nsid w:val="9017BA21"/>
    <w:multiLevelType w:val="singleLevel"/>
    <w:tmpl w:val="9017BA21"/>
    <w:lvl w:ilvl="0" w:tentative="0">
      <w:start w:val="0"/>
      <w:numFmt w:val="bullet"/>
      <w:lvlText w:val="•"/>
      <w:lvlJc w:val="left"/>
      <w:rPr>
        <w:rFonts w:hint="default"/>
        <w:color w:val="auto"/>
      </w:rPr>
    </w:lvl>
  </w:abstractNum>
  <w:abstractNum w:abstractNumId="9">
    <w:nsid w:val="91995D4F"/>
    <w:multiLevelType w:val="singleLevel"/>
    <w:tmpl w:val="91995D4F"/>
    <w:lvl w:ilvl="0" w:tentative="0">
      <w:start w:val="1"/>
      <w:numFmt w:val="decimal"/>
      <w:lvlText w:val="%1."/>
      <w:lvlJc w:val="left"/>
      <w:rPr>
        <w:rFonts w:hint="default"/>
        <w:color w:val="auto"/>
      </w:rPr>
    </w:lvl>
  </w:abstractNum>
  <w:abstractNum w:abstractNumId="10">
    <w:nsid w:val="91B69C97"/>
    <w:multiLevelType w:val="singleLevel"/>
    <w:tmpl w:val="91B69C97"/>
    <w:lvl w:ilvl="0" w:tentative="0">
      <w:start w:val="0"/>
      <w:numFmt w:val="bullet"/>
      <w:lvlText w:val="￮"/>
      <w:lvlJc w:val="left"/>
      <w:rPr>
        <w:rFonts w:hint="default"/>
        <w:color w:val="auto"/>
      </w:rPr>
    </w:lvl>
  </w:abstractNum>
  <w:abstractNum w:abstractNumId="11">
    <w:nsid w:val="9239341B"/>
    <w:multiLevelType w:val="singleLevel"/>
    <w:tmpl w:val="9239341B"/>
    <w:lvl w:ilvl="0" w:tentative="0">
      <w:start w:val="0"/>
      <w:numFmt w:val="bullet"/>
      <w:lvlText w:val="•"/>
      <w:lvlJc w:val="left"/>
      <w:rPr>
        <w:rFonts w:hint="default"/>
        <w:color w:val="auto"/>
      </w:rPr>
    </w:lvl>
  </w:abstractNum>
  <w:abstractNum w:abstractNumId="12">
    <w:nsid w:val="9288B902"/>
    <w:multiLevelType w:val="singleLevel"/>
    <w:tmpl w:val="9288B902"/>
    <w:lvl w:ilvl="0" w:tentative="0">
      <w:start w:val="1"/>
      <w:numFmt w:val="decimal"/>
      <w:lvlText w:val="%1."/>
      <w:lvlJc w:val="left"/>
      <w:rPr>
        <w:rFonts w:hint="default"/>
        <w:color w:val="auto"/>
      </w:rPr>
    </w:lvl>
  </w:abstractNum>
  <w:abstractNum w:abstractNumId="13">
    <w:nsid w:val="98CD717A"/>
    <w:multiLevelType w:val="singleLevel"/>
    <w:tmpl w:val="98CD717A"/>
    <w:lvl w:ilvl="0" w:tentative="0">
      <w:start w:val="0"/>
      <w:numFmt w:val="bullet"/>
      <w:lvlText w:val="•"/>
      <w:lvlJc w:val="left"/>
      <w:rPr>
        <w:rFonts w:hint="default"/>
        <w:color w:val="auto"/>
      </w:rPr>
    </w:lvl>
  </w:abstractNum>
  <w:abstractNum w:abstractNumId="14">
    <w:nsid w:val="9ACF65A0"/>
    <w:multiLevelType w:val="singleLevel"/>
    <w:tmpl w:val="9ACF65A0"/>
    <w:lvl w:ilvl="0" w:tentative="0">
      <w:start w:val="1"/>
      <w:numFmt w:val="decimal"/>
      <w:lvlText w:val="%1."/>
      <w:lvlJc w:val="left"/>
      <w:rPr>
        <w:rFonts w:hint="default"/>
        <w:color w:val="auto"/>
      </w:rPr>
    </w:lvl>
  </w:abstractNum>
  <w:abstractNum w:abstractNumId="15">
    <w:nsid w:val="9B1F845E"/>
    <w:multiLevelType w:val="singleLevel"/>
    <w:tmpl w:val="9B1F845E"/>
    <w:lvl w:ilvl="0" w:tentative="0">
      <w:start w:val="0"/>
      <w:numFmt w:val="bullet"/>
      <w:lvlText w:val="•"/>
      <w:lvlJc w:val="left"/>
      <w:rPr>
        <w:rFonts w:hint="default"/>
        <w:color w:val="auto"/>
      </w:rPr>
    </w:lvl>
  </w:abstractNum>
  <w:abstractNum w:abstractNumId="16">
    <w:nsid w:val="9C11E984"/>
    <w:multiLevelType w:val="singleLevel"/>
    <w:tmpl w:val="9C11E984"/>
    <w:lvl w:ilvl="0" w:tentative="0">
      <w:start w:val="0"/>
      <w:numFmt w:val="bullet"/>
      <w:lvlText w:val="•"/>
      <w:lvlJc w:val="left"/>
      <w:rPr>
        <w:rFonts w:hint="default"/>
        <w:color w:val="auto"/>
      </w:rPr>
    </w:lvl>
  </w:abstractNum>
  <w:abstractNum w:abstractNumId="17">
    <w:nsid w:val="9C8AC8EF"/>
    <w:multiLevelType w:val="singleLevel"/>
    <w:tmpl w:val="9C8AC8EF"/>
    <w:lvl w:ilvl="0" w:tentative="0">
      <w:start w:val="0"/>
      <w:numFmt w:val="bullet"/>
      <w:lvlText w:val="•"/>
      <w:lvlJc w:val="left"/>
      <w:rPr>
        <w:rFonts w:hint="default"/>
        <w:color w:val="auto"/>
      </w:rPr>
    </w:lvl>
  </w:abstractNum>
  <w:abstractNum w:abstractNumId="18">
    <w:nsid w:val="9CD0C84A"/>
    <w:multiLevelType w:val="singleLevel"/>
    <w:tmpl w:val="9CD0C84A"/>
    <w:lvl w:ilvl="0" w:tentative="0">
      <w:start w:val="0"/>
      <w:numFmt w:val="bullet"/>
      <w:lvlText w:val="•"/>
      <w:lvlJc w:val="left"/>
      <w:rPr>
        <w:rFonts w:hint="default"/>
        <w:color w:val="auto"/>
      </w:rPr>
    </w:lvl>
  </w:abstractNum>
  <w:abstractNum w:abstractNumId="19">
    <w:nsid w:val="9D5D7490"/>
    <w:multiLevelType w:val="singleLevel"/>
    <w:tmpl w:val="9D5D7490"/>
    <w:lvl w:ilvl="0" w:tentative="0">
      <w:start w:val="0"/>
      <w:numFmt w:val="bullet"/>
      <w:lvlText w:val="•"/>
      <w:lvlJc w:val="left"/>
      <w:rPr>
        <w:rFonts w:hint="default"/>
        <w:color w:val="auto"/>
      </w:rPr>
    </w:lvl>
  </w:abstractNum>
  <w:abstractNum w:abstractNumId="20">
    <w:nsid w:val="9D9F4F4D"/>
    <w:multiLevelType w:val="singleLevel"/>
    <w:tmpl w:val="9D9F4F4D"/>
    <w:lvl w:ilvl="0" w:tentative="0">
      <w:start w:val="2"/>
      <w:numFmt w:val="decimal"/>
      <w:lvlText w:val="%1."/>
      <w:lvlJc w:val="left"/>
      <w:rPr>
        <w:rFonts w:hint="default"/>
        <w:color w:val="auto"/>
      </w:rPr>
    </w:lvl>
  </w:abstractNum>
  <w:abstractNum w:abstractNumId="21">
    <w:nsid w:val="9F81B9F9"/>
    <w:multiLevelType w:val="singleLevel"/>
    <w:tmpl w:val="9F81B9F9"/>
    <w:lvl w:ilvl="0" w:tentative="0">
      <w:start w:val="0"/>
      <w:numFmt w:val="bullet"/>
      <w:lvlText w:val="•"/>
      <w:lvlJc w:val="left"/>
      <w:rPr>
        <w:rFonts w:hint="default"/>
        <w:color w:val="auto"/>
      </w:rPr>
    </w:lvl>
  </w:abstractNum>
  <w:abstractNum w:abstractNumId="22">
    <w:nsid w:val="9F91FE98"/>
    <w:multiLevelType w:val="singleLevel"/>
    <w:tmpl w:val="9F91FE98"/>
    <w:lvl w:ilvl="0" w:tentative="0">
      <w:start w:val="0"/>
      <w:numFmt w:val="bullet"/>
      <w:lvlText w:val="•"/>
      <w:lvlJc w:val="left"/>
      <w:rPr>
        <w:rFonts w:hint="default"/>
        <w:color w:val="auto"/>
      </w:rPr>
    </w:lvl>
  </w:abstractNum>
  <w:abstractNum w:abstractNumId="23">
    <w:nsid w:val="A0C93552"/>
    <w:multiLevelType w:val="singleLevel"/>
    <w:tmpl w:val="A0C93552"/>
    <w:lvl w:ilvl="0" w:tentative="0">
      <w:start w:val="0"/>
      <w:numFmt w:val="bullet"/>
      <w:lvlText w:val="•"/>
      <w:lvlJc w:val="left"/>
      <w:rPr>
        <w:rFonts w:hint="default"/>
        <w:color w:val="auto"/>
      </w:rPr>
    </w:lvl>
  </w:abstractNum>
  <w:abstractNum w:abstractNumId="24">
    <w:nsid w:val="A0F05207"/>
    <w:multiLevelType w:val="singleLevel"/>
    <w:tmpl w:val="A0F05207"/>
    <w:lvl w:ilvl="0" w:tentative="0">
      <w:start w:val="0"/>
      <w:numFmt w:val="bullet"/>
      <w:lvlText w:val="•"/>
      <w:lvlJc w:val="left"/>
      <w:rPr>
        <w:rFonts w:hint="default"/>
        <w:color w:val="auto"/>
      </w:rPr>
    </w:lvl>
  </w:abstractNum>
  <w:abstractNum w:abstractNumId="25">
    <w:nsid w:val="A9AC3AA7"/>
    <w:multiLevelType w:val="singleLevel"/>
    <w:tmpl w:val="A9AC3AA7"/>
    <w:lvl w:ilvl="0" w:tentative="0">
      <w:start w:val="0"/>
      <w:numFmt w:val="bullet"/>
      <w:lvlText w:val="•"/>
      <w:lvlJc w:val="left"/>
      <w:rPr>
        <w:rFonts w:hint="default"/>
        <w:color w:val="auto"/>
      </w:rPr>
    </w:lvl>
  </w:abstractNum>
  <w:abstractNum w:abstractNumId="26">
    <w:nsid w:val="AAF3F3FA"/>
    <w:multiLevelType w:val="singleLevel"/>
    <w:tmpl w:val="AAF3F3FA"/>
    <w:lvl w:ilvl="0" w:tentative="0">
      <w:start w:val="0"/>
      <w:numFmt w:val="bullet"/>
      <w:lvlText w:val="￮"/>
      <w:lvlJc w:val="left"/>
      <w:rPr>
        <w:rFonts w:hint="default"/>
        <w:color w:val="auto"/>
      </w:rPr>
    </w:lvl>
  </w:abstractNum>
  <w:abstractNum w:abstractNumId="27">
    <w:nsid w:val="B0082E4F"/>
    <w:multiLevelType w:val="singleLevel"/>
    <w:tmpl w:val="B0082E4F"/>
    <w:lvl w:ilvl="0" w:tentative="0">
      <w:start w:val="0"/>
      <w:numFmt w:val="bullet"/>
      <w:lvlText w:val="•"/>
      <w:lvlJc w:val="left"/>
      <w:rPr>
        <w:rFonts w:hint="default"/>
        <w:color w:val="auto"/>
      </w:rPr>
    </w:lvl>
  </w:abstractNum>
  <w:abstractNum w:abstractNumId="28">
    <w:nsid w:val="B0F1ACD9"/>
    <w:multiLevelType w:val="singleLevel"/>
    <w:tmpl w:val="B0F1ACD9"/>
    <w:lvl w:ilvl="0" w:tentative="0">
      <w:start w:val="2"/>
      <w:numFmt w:val="decimal"/>
      <w:lvlText w:val="%1."/>
      <w:lvlJc w:val="left"/>
      <w:rPr>
        <w:rFonts w:hint="default"/>
        <w:color w:val="auto"/>
      </w:rPr>
    </w:lvl>
  </w:abstractNum>
  <w:abstractNum w:abstractNumId="29">
    <w:nsid w:val="B15ABE86"/>
    <w:multiLevelType w:val="singleLevel"/>
    <w:tmpl w:val="B15ABE86"/>
    <w:lvl w:ilvl="0" w:tentative="0">
      <w:start w:val="0"/>
      <w:numFmt w:val="bullet"/>
      <w:lvlText w:val="•"/>
      <w:lvlJc w:val="left"/>
      <w:rPr>
        <w:rFonts w:hint="default"/>
        <w:color w:val="auto"/>
      </w:rPr>
    </w:lvl>
  </w:abstractNum>
  <w:abstractNum w:abstractNumId="30">
    <w:nsid w:val="B23A94A9"/>
    <w:multiLevelType w:val="singleLevel"/>
    <w:tmpl w:val="B23A94A9"/>
    <w:lvl w:ilvl="0" w:tentative="0">
      <w:start w:val="0"/>
      <w:numFmt w:val="bullet"/>
      <w:lvlText w:val="￮"/>
      <w:lvlJc w:val="left"/>
      <w:rPr>
        <w:rFonts w:hint="default"/>
        <w:color w:val="auto"/>
      </w:rPr>
    </w:lvl>
  </w:abstractNum>
  <w:abstractNum w:abstractNumId="31">
    <w:nsid w:val="B53F3350"/>
    <w:multiLevelType w:val="singleLevel"/>
    <w:tmpl w:val="B53F3350"/>
    <w:lvl w:ilvl="0" w:tentative="0">
      <w:start w:val="0"/>
      <w:numFmt w:val="bullet"/>
      <w:lvlText w:val="￮"/>
      <w:lvlJc w:val="left"/>
      <w:rPr>
        <w:rFonts w:hint="default"/>
        <w:color w:val="auto"/>
      </w:rPr>
    </w:lvl>
  </w:abstractNum>
  <w:abstractNum w:abstractNumId="32">
    <w:nsid w:val="B5E306ED"/>
    <w:multiLevelType w:val="singleLevel"/>
    <w:tmpl w:val="B5E306ED"/>
    <w:lvl w:ilvl="0" w:tentative="0">
      <w:start w:val="1"/>
      <w:numFmt w:val="decimal"/>
      <w:lvlText w:val="%1."/>
      <w:lvlJc w:val="left"/>
      <w:rPr>
        <w:rFonts w:hint="default"/>
        <w:color w:val="auto"/>
      </w:rPr>
    </w:lvl>
  </w:abstractNum>
  <w:abstractNum w:abstractNumId="33">
    <w:nsid w:val="B8CEF35B"/>
    <w:multiLevelType w:val="singleLevel"/>
    <w:tmpl w:val="B8CEF35B"/>
    <w:lvl w:ilvl="0" w:tentative="0">
      <w:start w:val="2"/>
      <w:numFmt w:val="decimal"/>
      <w:lvlText w:val="%1."/>
      <w:lvlJc w:val="left"/>
      <w:rPr>
        <w:rFonts w:hint="default"/>
        <w:color w:val="auto"/>
      </w:rPr>
    </w:lvl>
  </w:abstractNum>
  <w:abstractNum w:abstractNumId="34">
    <w:nsid w:val="B99465BD"/>
    <w:multiLevelType w:val="singleLevel"/>
    <w:tmpl w:val="B99465BD"/>
    <w:lvl w:ilvl="0" w:tentative="0">
      <w:start w:val="0"/>
      <w:numFmt w:val="bullet"/>
      <w:lvlText w:val="•"/>
      <w:lvlJc w:val="left"/>
      <w:rPr>
        <w:rFonts w:hint="default"/>
        <w:color w:val="auto"/>
      </w:rPr>
    </w:lvl>
  </w:abstractNum>
  <w:abstractNum w:abstractNumId="35">
    <w:nsid w:val="BA550FDB"/>
    <w:multiLevelType w:val="singleLevel"/>
    <w:tmpl w:val="BA550FDB"/>
    <w:lvl w:ilvl="0" w:tentative="0">
      <w:start w:val="3"/>
      <w:numFmt w:val="decimal"/>
      <w:lvlText w:val="%1."/>
      <w:lvlJc w:val="left"/>
      <w:rPr>
        <w:rFonts w:hint="default"/>
        <w:color w:val="auto"/>
      </w:rPr>
    </w:lvl>
  </w:abstractNum>
  <w:abstractNum w:abstractNumId="36">
    <w:nsid w:val="BB64CFA9"/>
    <w:multiLevelType w:val="singleLevel"/>
    <w:tmpl w:val="BB64CFA9"/>
    <w:lvl w:ilvl="0" w:tentative="0">
      <w:start w:val="0"/>
      <w:numFmt w:val="bullet"/>
      <w:lvlText w:val="•"/>
      <w:lvlJc w:val="left"/>
      <w:rPr>
        <w:rFonts w:hint="default"/>
        <w:color w:val="auto"/>
      </w:rPr>
    </w:lvl>
  </w:abstractNum>
  <w:abstractNum w:abstractNumId="37">
    <w:nsid w:val="BCECA0B4"/>
    <w:multiLevelType w:val="singleLevel"/>
    <w:tmpl w:val="BCECA0B4"/>
    <w:lvl w:ilvl="0" w:tentative="0">
      <w:start w:val="0"/>
      <w:numFmt w:val="bullet"/>
      <w:lvlText w:val="•"/>
      <w:lvlJc w:val="left"/>
      <w:rPr>
        <w:rFonts w:hint="default"/>
        <w:color w:val="auto"/>
      </w:rPr>
    </w:lvl>
  </w:abstractNum>
  <w:abstractNum w:abstractNumId="38">
    <w:nsid w:val="BDA1395C"/>
    <w:multiLevelType w:val="singleLevel"/>
    <w:tmpl w:val="BDA1395C"/>
    <w:lvl w:ilvl="0" w:tentative="0">
      <w:start w:val="0"/>
      <w:numFmt w:val="bullet"/>
      <w:lvlText w:val="•"/>
      <w:lvlJc w:val="left"/>
      <w:rPr>
        <w:rFonts w:hint="default"/>
        <w:color w:val="auto"/>
      </w:rPr>
    </w:lvl>
  </w:abstractNum>
  <w:abstractNum w:abstractNumId="39">
    <w:nsid w:val="BE8A4F4C"/>
    <w:multiLevelType w:val="singleLevel"/>
    <w:tmpl w:val="BE8A4F4C"/>
    <w:lvl w:ilvl="0" w:tentative="0">
      <w:start w:val="0"/>
      <w:numFmt w:val="bullet"/>
      <w:lvlText w:val="￮"/>
      <w:lvlJc w:val="left"/>
      <w:rPr>
        <w:rFonts w:hint="default"/>
        <w:color w:val="auto"/>
      </w:rPr>
    </w:lvl>
  </w:abstractNum>
  <w:abstractNum w:abstractNumId="40">
    <w:nsid w:val="BE923771"/>
    <w:multiLevelType w:val="singleLevel"/>
    <w:tmpl w:val="BE923771"/>
    <w:lvl w:ilvl="0" w:tentative="0">
      <w:start w:val="0"/>
      <w:numFmt w:val="bullet"/>
      <w:lvlText w:val="￮"/>
      <w:lvlJc w:val="left"/>
      <w:rPr>
        <w:rFonts w:hint="default"/>
        <w:color w:val="auto"/>
      </w:rPr>
    </w:lvl>
  </w:abstractNum>
  <w:abstractNum w:abstractNumId="41">
    <w:nsid w:val="BF205925"/>
    <w:multiLevelType w:val="singleLevel"/>
    <w:tmpl w:val="BF205925"/>
    <w:lvl w:ilvl="0" w:tentative="0">
      <w:start w:val="2"/>
      <w:numFmt w:val="decimal"/>
      <w:lvlText w:val="%1."/>
      <w:lvlJc w:val="left"/>
      <w:rPr>
        <w:rFonts w:hint="default"/>
        <w:color w:val="auto"/>
      </w:rPr>
    </w:lvl>
  </w:abstractNum>
  <w:abstractNum w:abstractNumId="42">
    <w:nsid w:val="BF50FE6B"/>
    <w:multiLevelType w:val="singleLevel"/>
    <w:tmpl w:val="BF50FE6B"/>
    <w:lvl w:ilvl="0" w:tentative="0">
      <w:start w:val="0"/>
      <w:numFmt w:val="bullet"/>
      <w:lvlText w:val="•"/>
      <w:lvlJc w:val="left"/>
      <w:rPr>
        <w:rFonts w:hint="default"/>
        <w:color w:val="auto"/>
      </w:rPr>
    </w:lvl>
  </w:abstractNum>
  <w:abstractNum w:abstractNumId="43">
    <w:nsid w:val="C0915F4F"/>
    <w:multiLevelType w:val="singleLevel"/>
    <w:tmpl w:val="C0915F4F"/>
    <w:lvl w:ilvl="0" w:tentative="0">
      <w:start w:val="0"/>
      <w:numFmt w:val="bullet"/>
      <w:lvlText w:val="￮"/>
      <w:lvlJc w:val="left"/>
      <w:rPr>
        <w:rFonts w:hint="default"/>
        <w:color w:val="auto"/>
      </w:rPr>
    </w:lvl>
  </w:abstractNum>
  <w:abstractNum w:abstractNumId="44">
    <w:nsid w:val="C4E0D24A"/>
    <w:multiLevelType w:val="singleLevel"/>
    <w:tmpl w:val="C4E0D24A"/>
    <w:lvl w:ilvl="0" w:tentative="0">
      <w:start w:val="0"/>
      <w:numFmt w:val="bullet"/>
      <w:lvlText w:val="•"/>
      <w:lvlJc w:val="left"/>
      <w:rPr>
        <w:color w:val="3370FF"/>
      </w:rPr>
    </w:lvl>
  </w:abstractNum>
  <w:abstractNum w:abstractNumId="45">
    <w:nsid w:val="C8879AEF"/>
    <w:multiLevelType w:val="singleLevel"/>
    <w:tmpl w:val="C8879AEF"/>
    <w:lvl w:ilvl="0" w:tentative="0">
      <w:start w:val="0"/>
      <w:numFmt w:val="bullet"/>
      <w:lvlText w:val="•"/>
      <w:lvlJc w:val="left"/>
      <w:rPr>
        <w:rFonts w:hint="default"/>
        <w:color w:val="auto"/>
      </w:rPr>
    </w:lvl>
  </w:abstractNum>
  <w:abstractNum w:abstractNumId="46">
    <w:nsid w:val="C90D1B09"/>
    <w:multiLevelType w:val="singleLevel"/>
    <w:tmpl w:val="C90D1B09"/>
    <w:lvl w:ilvl="0" w:tentative="0">
      <w:start w:val="0"/>
      <w:numFmt w:val="bullet"/>
      <w:lvlText w:val="￮"/>
      <w:lvlJc w:val="left"/>
      <w:rPr>
        <w:rFonts w:hint="default"/>
        <w:color w:val="auto"/>
      </w:rPr>
    </w:lvl>
  </w:abstractNum>
  <w:abstractNum w:abstractNumId="47">
    <w:nsid w:val="CF092B84"/>
    <w:multiLevelType w:val="singleLevel"/>
    <w:tmpl w:val="CF092B84"/>
    <w:lvl w:ilvl="0" w:tentative="0">
      <w:start w:val="0"/>
      <w:numFmt w:val="bullet"/>
      <w:lvlText w:val="•"/>
      <w:lvlJc w:val="left"/>
      <w:rPr>
        <w:rFonts w:hint="default"/>
        <w:color w:val="auto"/>
      </w:rPr>
    </w:lvl>
  </w:abstractNum>
  <w:abstractNum w:abstractNumId="48">
    <w:nsid w:val="D1EB1714"/>
    <w:multiLevelType w:val="singleLevel"/>
    <w:tmpl w:val="D1EB1714"/>
    <w:lvl w:ilvl="0" w:tentative="0">
      <w:start w:val="0"/>
      <w:numFmt w:val="bullet"/>
      <w:lvlText w:val="•"/>
      <w:lvlJc w:val="left"/>
      <w:rPr>
        <w:rFonts w:hint="default"/>
        <w:color w:val="auto"/>
      </w:rPr>
    </w:lvl>
  </w:abstractNum>
  <w:abstractNum w:abstractNumId="49">
    <w:nsid w:val="D7D140E4"/>
    <w:multiLevelType w:val="singleLevel"/>
    <w:tmpl w:val="D7D140E4"/>
    <w:lvl w:ilvl="0" w:tentative="0">
      <w:start w:val="0"/>
      <w:numFmt w:val="bullet"/>
      <w:lvlText w:val="￮"/>
      <w:lvlJc w:val="left"/>
      <w:rPr>
        <w:rFonts w:hint="default"/>
        <w:color w:val="auto"/>
      </w:rPr>
    </w:lvl>
  </w:abstractNum>
  <w:abstractNum w:abstractNumId="50">
    <w:nsid w:val="D7F9FE59"/>
    <w:multiLevelType w:val="singleLevel"/>
    <w:tmpl w:val="D7F9FE59"/>
    <w:lvl w:ilvl="0" w:tentative="0">
      <w:start w:val="0"/>
      <w:numFmt w:val="bullet"/>
      <w:lvlText w:val="•"/>
      <w:lvlJc w:val="left"/>
      <w:rPr>
        <w:rFonts w:hint="default"/>
        <w:color w:val="auto"/>
      </w:rPr>
    </w:lvl>
  </w:abstractNum>
  <w:abstractNum w:abstractNumId="51">
    <w:nsid w:val="DCBA6B53"/>
    <w:multiLevelType w:val="singleLevel"/>
    <w:tmpl w:val="DCBA6B53"/>
    <w:lvl w:ilvl="0" w:tentative="0">
      <w:start w:val="0"/>
      <w:numFmt w:val="bullet"/>
      <w:lvlText w:val="•"/>
      <w:lvlJc w:val="left"/>
      <w:rPr>
        <w:rFonts w:hint="default"/>
        <w:color w:val="auto"/>
      </w:rPr>
    </w:lvl>
  </w:abstractNum>
  <w:abstractNum w:abstractNumId="52">
    <w:nsid w:val="E0294EC7"/>
    <w:multiLevelType w:val="singleLevel"/>
    <w:tmpl w:val="E0294EC7"/>
    <w:lvl w:ilvl="0" w:tentative="0">
      <w:start w:val="0"/>
      <w:numFmt w:val="bullet"/>
      <w:lvlText w:val="•"/>
      <w:lvlJc w:val="left"/>
      <w:rPr>
        <w:rFonts w:hint="default"/>
        <w:color w:val="auto"/>
      </w:rPr>
    </w:lvl>
  </w:abstractNum>
  <w:abstractNum w:abstractNumId="53">
    <w:nsid w:val="E093A4B0"/>
    <w:multiLevelType w:val="singleLevel"/>
    <w:tmpl w:val="E093A4B0"/>
    <w:lvl w:ilvl="0" w:tentative="0">
      <w:start w:val="2"/>
      <w:numFmt w:val="decimal"/>
      <w:lvlText w:val="%1."/>
      <w:lvlJc w:val="left"/>
      <w:rPr>
        <w:rFonts w:hint="default"/>
        <w:color w:val="auto"/>
      </w:rPr>
    </w:lvl>
  </w:abstractNum>
  <w:abstractNum w:abstractNumId="54">
    <w:nsid w:val="E504947C"/>
    <w:multiLevelType w:val="singleLevel"/>
    <w:tmpl w:val="E504947C"/>
    <w:lvl w:ilvl="0" w:tentative="0">
      <w:start w:val="0"/>
      <w:numFmt w:val="bullet"/>
      <w:lvlText w:val="•"/>
      <w:lvlJc w:val="left"/>
      <w:rPr>
        <w:rFonts w:hint="default"/>
        <w:color w:val="auto"/>
      </w:rPr>
    </w:lvl>
  </w:abstractNum>
  <w:abstractNum w:abstractNumId="55">
    <w:nsid w:val="F0E89278"/>
    <w:multiLevelType w:val="singleLevel"/>
    <w:tmpl w:val="F0E89278"/>
    <w:lvl w:ilvl="0" w:tentative="0">
      <w:start w:val="0"/>
      <w:numFmt w:val="bullet"/>
      <w:lvlText w:val="￮"/>
      <w:lvlJc w:val="left"/>
      <w:rPr>
        <w:rFonts w:hint="default"/>
        <w:color w:val="auto"/>
      </w:rPr>
    </w:lvl>
  </w:abstractNum>
  <w:abstractNum w:abstractNumId="56">
    <w:nsid w:val="F3A33954"/>
    <w:multiLevelType w:val="singleLevel"/>
    <w:tmpl w:val="F3A33954"/>
    <w:lvl w:ilvl="0" w:tentative="0">
      <w:start w:val="0"/>
      <w:numFmt w:val="bullet"/>
      <w:lvlText w:val="￮"/>
      <w:lvlJc w:val="left"/>
      <w:rPr>
        <w:rFonts w:hint="default"/>
        <w:color w:val="auto"/>
      </w:rPr>
    </w:lvl>
  </w:abstractNum>
  <w:abstractNum w:abstractNumId="57">
    <w:nsid w:val="F4A942FE"/>
    <w:multiLevelType w:val="singleLevel"/>
    <w:tmpl w:val="F4A942FE"/>
    <w:lvl w:ilvl="0" w:tentative="0">
      <w:start w:val="0"/>
      <w:numFmt w:val="bullet"/>
      <w:lvlText w:val="￮"/>
      <w:lvlJc w:val="left"/>
      <w:rPr>
        <w:rFonts w:hint="default"/>
        <w:color w:val="auto"/>
      </w:rPr>
    </w:lvl>
  </w:abstractNum>
  <w:abstractNum w:abstractNumId="58">
    <w:nsid w:val="F4B5D9F5"/>
    <w:multiLevelType w:val="singleLevel"/>
    <w:tmpl w:val="F4B5D9F5"/>
    <w:lvl w:ilvl="0" w:tentative="0">
      <w:start w:val="3"/>
      <w:numFmt w:val="decimal"/>
      <w:lvlText w:val="%1."/>
      <w:lvlJc w:val="left"/>
      <w:rPr>
        <w:rFonts w:hint="default"/>
        <w:color w:val="auto"/>
      </w:rPr>
    </w:lvl>
  </w:abstractNum>
  <w:abstractNum w:abstractNumId="59">
    <w:nsid w:val="F585BF25"/>
    <w:multiLevelType w:val="singleLevel"/>
    <w:tmpl w:val="F585BF25"/>
    <w:lvl w:ilvl="0" w:tentative="0">
      <w:start w:val="2"/>
      <w:numFmt w:val="decimal"/>
      <w:lvlText w:val="%1."/>
      <w:lvlJc w:val="left"/>
      <w:rPr>
        <w:rFonts w:hint="default"/>
        <w:color w:val="auto"/>
      </w:rPr>
    </w:lvl>
  </w:abstractNum>
  <w:abstractNum w:abstractNumId="60">
    <w:nsid w:val="F689643B"/>
    <w:multiLevelType w:val="singleLevel"/>
    <w:tmpl w:val="F689643B"/>
    <w:lvl w:ilvl="0" w:tentative="0">
      <w:start w:val="0"/>
      <w:numFmt w:val="bullet"/>
      <w:lvlText w:val="•"/>
      <w:lvlJc w:val="left"/>
      <w:rPr>
        <w:rFonts w:hint="default"/>
        <w:color w:val="auto"/>
      </w:rPr>
    </w:lvl>
  </w:abstractNum>
  <w:abstractNum w:abstractNumId="61">
    <w:nsid w:val="F7735DC9"/>
    <w:multiLevelType w:val="singleLevel"/>
    <w:tmpl w:val="F7735DC9"/>
    <w:lvl w:ilvl="0" w:tentative="0">
      <w:start w:val="0"/>
      <w:numFmt w:val="bullet"/>
      <w:lvlText w:val="￮"/>
      <w:lvlJc w:val="left"/>
      <w:rPr>
        <w:rFonts w:hint="default"/>
        <w:color w:val="auto"/>
      </w:rPr>
    </w:lvl>
  </w:abstractNum>
  <w:abstractNum w:abstractNumId="62">
    <w:nsid w:val="FEC2EA36"/>
    <w:multiLevelType w:val="singleLevel"/>
    <w:tmpl w:val="FEC2EA36"/>
    <w:lvl w:ilvl="0" w:tentative="0">
      <w:start w:val="0"/>
      <w:numFmt w:val="bullet"/>
      <w:lvlText w:val="•"/>
      <w:lvlJc w:val="left"/>
      <w:rPr>
        <w:rFonts w:hint="default"/>
        <w:color w:val="auto"/>
      </w:rPr>
    </w:lvl>
  </w:abstractNum>
  <w:abstractNum w:abstractNumId="63">
    <w:nsid w:val="0053208E"/>
    <w:multiLevelType w:val="singleLevel"/>
    <w:tmpl w:val="0053208E"/>
    <w:lvl w:ilvl="0" w:tentative="0">
      <w:start w:val="1"/>
      <w:numFmt w:val="decimal"/>
      <w:lvlText w:val="%1."/>
      <w:lvlJc w:val="left"/>
      <w:rPr>
        <w:rFonts w:hint="default"/>
        <w:color w:val="auto"/>
      </w:rPr>
    </w:lvl>
  </w:abstractNum>
  <w:abstractNum w:abstractNumId="64">
    <w:nsid w:val="01836A6D"/>
    <w:multiLevelType w:val="singleLevel"/>
    <w:tmpl w:val="01836A6D"/>
    <w:lvl w:ilvl="0" w:tentative="0">
      <w:start w:val="0"/>
      <w:numFmt w:val="bullet"/>
      <w:lvlText w:val="•"/>
      <w:lvlJc w:val="left"/>
      <w:rPr>
        <w:rFonts w:hint="default"/>
        <w:color w:val="auto"/>
      </w:rPr>
    </w:lvl>
  </w:abstractNum>
  <w:abstractNum w:abstractNumId="65">
    <w:nsid w:val="0248C179"/>
    <w:multiLevelType w:val="singleLevel"/>
    <w:tmpl w:val="0248C179"/>
    <w:lvl w:ilvl="0" w:tentative="0">
      <w:start w:val="0"/>
      <w:numFmt w:val="bullet"/>
      <w:lvlText w:val="•"/>
      <w:lvlJc w:val="left"/>
      <w:rPr>
        <w:rFonts w:hint="default"/>
        <w:color w:val="auto"/>
      </w:rPr>
    </w:lvl>
  </w:abstractNum>
  <w:abstractNum w:abstractNumId="66">
    <w:nsid w:val="0258E135"/>
    <w:multiLevelType w:val="singleLevel"/>
    <w:tmpl w:val="0258E135"/>
    <w:lvl w:ilvl="0" w:tentative="0">
      <w:start w:val="0"/>
      <w:numFmt w:val="bullet"/>
      <w:lvlText w:val="•"/>
      <w:lvlJc w:val="left"/>
      <w:rPr>
        <w:rFonts w:hint="default"/>
        <w:color w:val="auto"/>
      </w:rPr>
    </w:lvl>
  </w:abstractNum>
  <w:abstractNum w:abstractNumId="67">
    <w:nsid w:val="03A63A41"/>
    <w:multiLevelType w:val="singleLevel"/>
    <w:tmpl w:val="03A63A41"/>
    <w:lvl w:ilvl="0" w:tentative="0">
      <w:start w:val="0"/>
      <w:numFmt w:val="bullet"/>
      <w:lvlText w:val="•"/>
      <w:lvlJc w:val="left"/>
      <w:rPr>
        <w:rFonts w:hint="default"/>
        <w:color w:val="auto"/>
      </w:rPr>
    </w:lvl>
  </w:abstractNum>
  <w:abstractNum w:abstractNumId="68">
    <w:nsid w:val="03C240C0"/>
    <w:multiLevelType w:val="singleLevel"/>
    <w:tmpl w:val="03C240C0"/>
    <w:lvl w:ilvl="0" w:tentative="0">
      <w:start w:val="0"/>
      <w:numFmt w:val="bullet"/>
      <w:lvlText w:val="•"/>
      <w:lvlJc w:val="left"/>
      <w:rPr>
        <w:rFonts w:hint="default"/>
        <w:color w:val="auto"/>
      </w:rPr>
    </w:lvl>
  </w:abstractNum>
  <w:abstractNum w:abstractNumId="69">
    <w:nsid w:val="03D62ECE"/>
    <w:multiLevelType w:val="singleLevel"/>
    <w:tmpl w:val="03D62ECE"/>
    <w:lvl w:ilvl="0" w:tentative="0">
      <w:start w:val="0"/>
      <w:numFmt w:val="bullet"/>
      <w:lvlText w:val="•"/>
      <w:lvlJc w:val="left"/>
      <w:rPr>
        <w:rFonts w:hint="default"/>
        <w:color w:val="auto"/>
      </w:rPr>
    </w:lvl>
  </w:abstractNum>
  <w:abstractNum w:abstractNumId="70">
    <w:nsid w:val="0709FD3E"/>
    <w:multiLevelType w:val="singleLevel"/>
    <w:tmpl w:val="0709FD3E"/>
    <w:lvl w:ilvl="0" w:tentative="0">
      <w:start w:val="1"/>
      <w:numFmt w:val="decimal"/>
      <w:lvlText w:val="%1."/>
      <w:lvlJc w:val="left"/>
      <w:rPr>
        <w:rFonts w:hint="default"/>
        <w:color w:val="auto"/>
      </w:rPr>
    </w:lvl>
  </w:abstractNum>
  <w:abstractNum w:abstractNumId="71">
    <w:nsid w:val="0CCB9E98"/>
    <w:multiLevelType w:val="singleLevel"/>
    <w:tmpl w:val="0CCB9E98"/>
    <w:lvl w:ilvl="0" w:tentative="0">
      <w:start w:val="0"/>
      <w:numFmt w:val="bullet"/>
      <w:lvlText w:val="•"/>
      <w:lvlJc w:val="left"/>
      <w:rPr>
        <w:rFonts w:hint="default"/>
        <w:color w:val="auto"/>
      </w:rPr>
    </w:lvl>
  </w:abstractNum>
  <w:abstractNum w:abstractNumId="72">
    <w:nsid w:val="0CEF100B"/>
    <w:multiLevelType w:val="singleLevel"/>
    <w:tmpl w:val="0CEF100B"/>
    <w:lvl w:ilvl="0" w:tentative="0">
      <w:start w:val="0"/>
      <w:numFmt w:val="bullet"/>
      <w:lvlText w:val="•"/>
      <w:lvlJc w:val="left"/>
      <w:rPr>
        <w:rFonts w:hint="default"/>
        <w:color w:val="auto"/>
      </w:rPr>
    </w:lvl>
  </w:abstractNum>
  <w:abstractNum w:abstractNumId="73">
    <w:nsid w:val="0E640482"/>
    <w:multiLevelType w:val="singleLevel"/>
    <w:tmpl w:val="0E640482"/>
    <w:lvl w:ilvl="0" w:tentative="0">
      <w:start w:val="0"/>
      <w:numFmt w:val="bullet"/>
      <w:lvlText w:val="•"/>
      <w:lvlJc w:val="left"/>
      <w:rPr>
        <w:rFonts w:hint="default"/>
        <w:color w:val="auto"/>
      </w:rPr>
    </w:lvl>
  </w:abstractNum>
  <w:abstractNum w:abstractNumId="74">
    <w:nsid w:val="0F929F01"/>
    <w:multiLevelType w:val="singleLevel"/>
    <w:tmpl w:val="0F929F01"/>
    <w:lvl w:ilvl="0" w:tentative="0">
      <w:start w:val="0"/>
      <w:numFmt w:val="bullet"/>
      <w:lvlText w:val="•"/>
      <w:lvlJc w:val="left"/>
      <w:rPr>
        <w:rFonts w:hint="default"/>
        <w:color w:val="auto"/>
      </w:rPr>
    </w:lvl>
  </w:abstractNum>
  <w:abstractNum w:abstractNumId="75">
    <w:nsid w:val="0F9F9CCA"/>
    <w:multiLevelType w:val="singleLevel"/>
    <w:tmpl w:val="0F9F9CCA"/>
    <w:lvl w:ilvl="0" w:tentative="0">
      <w:start w:val="0"/>
      <w:numFmt w:val="bullet"/>
      <w:lvlText w:val="￮"/>
      <w:lvlJc w:val="left"/>
      <w:rPr>
        <w:rFonts w:hint="default"/>
        <w:color w:val="auto"/>
      </w:rPr>
    </w:lvl>
  </w:abstractNum>
  <w:abstractNum w:abstractNumId="76">
    <w:nsid w:val="10D591E5"/>
    <w:multiLevelType w:val="singleLevel"/>
    <w:tmpl w:val="10D591E5"/>
    <w:lvl w:ilvl="0" w:tentative="0">
      <w:start w:val="0"/>
      <w:numFmt w:val="bullet"/>
      <w:lvlText w:val="•"/>
      <w:lvlJc w:val="left"/>
      <w:rPr>
        <w:rFonts w:hint="default"/>
        <w:color w:val="auto"/>
      </w:rPr>
    </w:lvl>
  </w:abstractNum>
  <w:abstractNum w:abstractNumId="77">
    <w:nsid w:val="12EADF99"/>
    <w:multiLevelType w:val="singleLevel"/>
    <w:tmpl w:val="12EADF99"/>
    <w:lvl w:ilvl="0" w:tentative="0">
      <w:start w:val="0"/>
      <w:numFmt w:val="bullet"/>
      <w:lvlText w:val="￮"/>
      <w:lvlJc w:val="left"/>
      <w:rPr>
        <w:rFonts w:hint="default"/>
        <w:color w:val="auto"/>
      </w:rPr>
    </w:lvl>
  </w:abstractNum>
  <w:abstractNum w:abstractNumId="78">
    <w:nsid w:val="13660E3F"/>
    <w:multiLevelType w:val="singleLevel"/>
    <w:tmpl w:val="13660E3F"/>
    <w:lvl w:ilvl="0" w:tentative="0">
      <w:start w:val="1"/>
      <w:numFmt w:val="decimal"/>
      <w:lvlText w:val="%1."/>
      <w:lvlJc w:val="left"/>
      <w:rPr>
        <w:rFonts w:hint="default"/>
        <w:color w:val="auto"/>
      </w:rPr>
    </w:lvl>
  </w:abstractNum>
  <w:abstractNum w:abstractNumId="79">
    <w:nsid w:val="1450273B"/>
    <w:multiLevelType w:val="singleLevel"/>
    <w:tmpl w:val="1450273B"/>
    <w:lvl w:ilvl="0" w:tentative="0">
      <w:start w:val="0"/>
      <w:numFmt w:val="bullet"/>
      <w:lvlText w:val="￮"/>
      <w:lvlJc w:val="left"/>
      <w:rPr>
        <w:rFonts w:hint="default"/>
        <w:color w:val="auto"/>
      </w:rPr>
    </w:lvl>
  </w:abstractNum>
  <w:abstractNum w:abstractNumId="80">
    <w:nsid w:val="18F74015"/>
    <w:multiLevelType w:val="singleLevel"/>
    <w:tmpl w:val="18F74015"/>
    <w:lvl w:ilvl="0" w:tentative="0">
      <w:start w:val="0"/>
      <w:numFmt w:val="bullet"/>
      <w:lvlText w:val="•"/>
      <w:lvlJc w:val="left"/>
      <w:rPr>
        <w:rFonts w:hint="default"/>
        <w:color w:val="auto"/>
      </w:rPr>
    </w:lvl>
  </w:abstractNum>
  <w:abstractNum w:abstractNumId="81">
    <w:nsid w:val="1ACDE60F"/>
    <w:multiLevelType w:val="singleLevel"/>
    <w:tmpl w:val="1ACDE60F"/>
    <w:lvl w:ilvl="0" w:tentative="0">
      <w:start w:val="0"/>
      <w:numFmt w:val="bullet"/>
      <w:lvlText w:val="•"/>
      <w:lvlJc w:val="left"/>
      <w:rPr>
        <w:rFonts w:hint="default"/>
        <w:color w:val="auto"/>
      </w:rPr>
    </w:lvl>
  </w:abstractNum>
  <w:abstractNum w:abstractNumId="82">
    <w:nsid w:val="1AD50295"/>
    <w:multiLevelType w:val="singleLevel"/>
    <w:tmpl w:val="1AD50295"/>
    <w:lvl w:ilvl="0" w:tentative="0">
      <w:start w:val="0"/>
      <w:numFmt w:val="bullet"/>
      <w:lvlText w:val="•"/>
      <w:lvlJc w:val="left"/>
      <w:rPr>
        <w:rFonts w:hint="default"/>
        <w:color w:val="auto"/>
      </w:rPr>
    </w:lvl>
  </w:abstractNum>
  <w:abstractNum w:abstractNumId="83">
    <w:nsid w:val="1BCBBCF0"/>
    <w:multiLevelType w:val="singleLevel"/>
    <w:tmpl w:val="1BCBBCF0"/>
    <w:lvl w:ilvl="0" w:tentative="0">
      <w:start w:val="0"/>
      <w:numFmt w:val="bullet"/>
      <w:lvlText w:val="•"/>
      <w:lvlJc w:val="left"/>
      <w:rPr>
        <w:rFonts w:hint="default"/>
        <w:color w:val="auto"/>
      </w:rPr>
    </w:lvl>
  </w:abstractNum>
  <w:abstractNum w:abstractNumId="84">
    <w:nsid w:val="1C01D09A"/>
    <w:multiLevelType w:val="singleLevel"/>
    <w:tmpl w:val="1C01D09A"/>
    <w:lvl w:ilvl="0" w:tentative="0">
      <w:start w:val="0"/>
      <w:numFmt w:val="bullet"/>
      <w:lvlText w:val="•"/>
      <w:lvlJc w:val="left"/>
      <w:rPr>
        <w:rFonts w:hint="default"/>
        <w:color w:val="auto"/>
      </w:rPr>
    </w:lvl>
  </w:abstractNum>
  <w:abstractNum w:abstractNumId="85">
    <w:nsid w:val="1C257C7B"/>
    <w:multiLevelType w:val="singleLevel"/>
    <w:tmpl w:val="1C257C7B"/>
    <w:lvl w:ilvl="0" w:tentative="0">
      <w:start w:val="0"/>
      <w:numFmt w:val="bullet"/>
      <w:lvlText w:val="￮"/>
      <w:lvlJc w:val="left"/>
      <w:rPr>
        <w:rFonts w:hint="default"/>
        <w:color w:val="auto"/>
      </w:rPr>
    </w:lvl>
  </w:abstractNum>
  <w:abstractNum w:abstractNumId="86">
    <w:nsid w:val="21B3B1B1"/>
    <w:multiLevelType w:val="singleLevel"/>
    <w:tmpl w:val="21B3B1B1"/>
    <w:lvl w:ilvl="0" w:tentative="0">
      <w:start w:val="0"/>
      <w:numFmt w:val="bullet"/>
      <w:lvlText w:val="•"/>
      <w:lvlJc w:val="left"/>
      <w:rPr>
        <w:rFonts w:hint="default"/>
        <w:color w:val="auto"/>
      </w:rPr>
    </w:lvl>
  </w:abstractNum>
  <w:abstractNum w:abstractNumId="87">
    <w:nsid w:val="23E97754"/>
    <w:multiLevelType w:val="singleLevel"/>
    <w:tmpl w:val="23E97754"/>
    <w:lvl w:ilvl="0" w:tentative="0">
      <w:start w:val="0"/>
      <w:numFmt w:val="bullet"/>
      <w:lvlText w:val="•"/>
      <w:lvlJc w:val="left"/>
      <w:rPr>
        <w:rFonts w:hint="default"/>
        <w:color w:val="auto"/>
      </w:rPr>
    </w:lvl>
  </w:abstractNum>
  <w:abstractNum w:abstractNumId="88">
    <w:nsid w:val="243FCF68"/>
    <w:multiLevelType w:val="singleLevel"/>
    <w:tmpl w:val="243FCF68"/>
    <w:lvl w:ilvl="0" w:tentative="0">
      <w:start w:val="0"/>
      <w:numFmt w:val="bullet"/>
      <w:lvlText w:val="•"/>
      <w:lvlJc w:val="left"/>
      <w:rPr>
        <w:rFonts w:hint="default"/>
        <w:color w:val="auto"/>
      </w:rPr>
    </w:lvl>
  </w:abstractNum>
  <w:abstractNum w:abstractNumId="89">
    <w:nsid w:val="2470EC97"/>
    <w:multiLevelType w:val="singleLevel"/>
    <w:tmpl w:val="2470EC97"/>
    <w:lvl w:ilvl="0" w:tentative="0">
      <w:start w:val="0"/>
      <w:numFmt w:val="bullet"/>
      <w:lvlText w:val="•"/>
      <w:lvlJc w:val="left"/>
      <w:rPr>
        <w:rFonts w:hint="default"/>
        <w:color w:val="auto"/>
      </w:rPr>
    </w:lvl>
  </w:abstractNum>
  <w:abstractNum w:abstractNumId="90">
    <w:nsid w:val="25B654F3"/>
    <w:multiLevelType w:val="singleLevel"/>
    <w:tmpl w:val="25B654F3"/>
    <w:lvl w:ilvl="0" w:tentative="0">
      <w:start w:val="0"/>
      <w:numFmt w:val="bullet"/>
      <w:lvlText w:val="•"/>
      <w:lvlJc w:val="left"/>
      <w:rPr>
        <w:rFonts w:hint="default"/>
        <w:color w:val="auto"/>
      </w:rPr>
    </w:lvl>
  </w:abstractNum>
  <w:abstractNum w:abstractNumId="91">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92">
    <w:nsid w:val="2A8F537B"/>
    <w:multiLevelType w:val="singleLevel"/>
    <w:tmpl w:val="2A8F537B"/>
    <w:lvl w:ilvl="0" w:tentative="0">
      <w:start w:val="2"/>
      <w:numFmt w:val="decimal"/>
      <w:lvlText w:val="%1."/>
      <w:lvlJc w:val="left"/>
      <w:rPr>
        <w:rFonts w:hint="default"/>
        <w:color w:val="auto"/>
      </w:rPr>
    </w:lvl>
  </w:abstractNum>
  <w:abstractNum w:abstractNumId="93">
    <w:nsid w:val="30A0AC00"/>
    <w:multiLevelType w:val="singleLevel"/>
    <w:tmpl w:val="30A0AC00"/>
    <w:lvl w:ilvl="0" w:tentative="0">
      <w:start w:val="2"/>
      <w:numFmt w:val="decimal"/>
      <w:lvlText w:val="%1."/>
      <w:lvlJc w:val="left"/>
      <w:rPr>
        <w:rFonts w:hint="default"/>
        <w:color w:val="auto"/>
      </w:rPr>
    </w:lvl>
  </w:abstractNum>
  <w:abstractNum w:abstractNumId="94">
    <w:nsid w:val="30FC5B15"/>
    <w:multiLevelType w:val="singleLevel"/>
    <w:tmpl w:val="30FC5B15"/>
    <w:lvl w:ilvl="0" w:tentative="0">
      <w:start w:val="0"/>
      <w:numFmt w:val="bullet"/>
      <w:lvlText w:val="•"/>
      <w:lvlJc w:val="left"/>
      <w:rPr>
        <w:rFonts w:hint="default"/>
        <w:color w:val="auto"/>
      </w:rPr>
    </w:lvl>
  </w:abstractNum>
  <w:abstractNum w:abstractNumId="95">
    <w:nsid w:val="322D85CA"/>
    <w:multiLevelType w:val="singleLevel"/>
    <w:tmpl w:val="322D85CA"/>
    <w:lvl w:ilvl="0" w:tentative="0">
      <w:start w:val="0"/>
      <w:numFmt w:val="bullet"/>
      <w:lvlText w:val="•"/>
      <w:lvlJc w:val="left"/>
      <w:rPr>
        <w:rFonts w:hint="default"/>
        <w:color w:val="auto"/>
      </w:rPr>
    </w:lvl>
  </w:abstractNum>
  <w:abstractNum w:abstractNumId="96">
    <w:nsid w:val="32A7AF2D"/>
    <w:multiLevelType w:val="singleLevel"/>
    <w:tmpl w:val="32A7AF2D"/>
    <w:lvl w:ilvl="0" w:tentative="0">
      <w:start w:val="0"/>
      <w:numFmt w:val="bullet"/>
      <w:lvlText w:val="￮"/>
      <w:lvlJc w:val="left"/>
      <w:rPr>
        <w:rFonts w:hint="default"/>
        <w:color w:val="auto"/>
      </w:rPr>
    </w:lvl>
  </w:abstractNum>
  <w:abstractNum w:abstractNumId="97">
    <w:nsid w:val="35E83B33"/>
    <w:multiLevelType w:val="singleLevel"/>
    <w:tmpl w:val="35E83B33"/>
    <w:lvl w:ilvl="0" w:tentative="0">
      <w:start w:val="0"/>
      <w:numFmt w:val="bullet"/>
      <w:lvlText w:val="￮"/>
      <w:lvlJc w:val="left"/>
      <w:rPr>
        <w:rFonts w:hint="default"/>
        <w:color w:val="auto"/>
      </w:rPr>
    </w:lvl>
  </w:abstractNum>
  <w:abstractNum w:abstractNumId="98">
    <w:nsid w:val="3664A4D1"/>
    <w:multiLevelType w:val="singleLevel"/>
    <w:tmpl w:val="3664A4D1"/>
    <w:lvl w:ilvl="0" w:tentative="0">
      <w:start w:val="0"/>
      <w:numFmt w:val="bullet"/>
      <w:lvlText w:val="•"/>
      <w:lvlJc w:val="left"/>
      <w:rPr>
        <w:rFonts w:hint="default"/>
        <w:color w:val="auto"/>
      </w:rPr>
    </w:lvl>
  </w:abstractNum>
  <w:abstractNum w:abstractNumId="99">
    <w:nsid w:val="39A0D9AC"/>
    <w:multiLevelType w:val="singleLevel"/>
    <w:tmpl w:val="39A0D9AC"/>
    <w:lvl w:ilvl="0" w:tentative="0">
      <w:start w:val="0"/>
      <w:numFmt w:val="bullet"/>
      <w:lvlText w:val="•"/>
      <w:lvlJc w:val="left"/>
      <w:rPr>
        <w:rFonts w:hint="default"/>
        <w:color w:val="auto"/>
      </w:rPr>
    </w:lvl>
  </w:abstractNum>
  <w:abstractNum w:abstractNumId="100">
    <w:nsid w:val="3B8127DF"/>
    <w:multiLevelType w:val="singleLevel"/>
    <w:tmpl w:val="3B8127DF"/>
    <w:lvl w:ilvl="0" w:tentative="0">
      <w:start w:val="0"/>
      <w:numFmt w:val="bullet"/>
      <w:lvlText w:val="•"/>
      <w:lvlJc w:val="left"/>
      <w:rPr>
        <w:rFonts w:hint="default"/>
        <w:color w:val="auto"/>
      </w:rPr>
    </w:lvl>
  </w:abstractNum>
  <w:abstractNum w:abstractNumId="101">
    <w:nsid w:val="40B249F9"/>
    <w:multiLevelType w:val="singleLevel"/>
    <w:tmpl w:val="40B249F9"/>
    <w:lvl w:ilvl="0" w:tentative="0">
      <w:start w:val="0"/>
      <w:numFmt w:val="bullet"/>
      <w:lvlText w:val="￮"/>
      <w:lvlJc w:val="left"/>
      <w:rPr>
        <w:rFonts w:hint="default"/>
        <w:color w:val="auto"/>
      </w:rPr>
    </w:lvl>
  </w:abstractNum>
  <w:abstractNum w:abstractNumId="102">
    <w:nsid w:val="46A08BB8"/>
    <w:multiLevelType w:val="singleLevel"/>
    <w:tmpl w:val="46A08BB8"/>
    <w:lvl w:ilvl="0" w:tentative="0">
      <w:start w:val="0"/>
      <w:numFmt w:val="bullet"/>
      <w:lvlText w:val="•"/>
      <w:lvlJc w:val="left"/>
      <w:rPr>
        <w:rFonts w:hint="default"/>
        <w:color w:val="auto"/>
      </w:rPr>
    </w:lvl>
  </w:abstractNum>
  <w:abstractNum w:abstractNumId="103">
    <w:nsid w:val="4A51D704"/>
    <w:multiLevelType w:val="singleLevel"/>
    <w:tmpl w:val="4A51D704"/>
    <w:lvl w:ilvl="0" w:tentative="0">
      <w:start w:val="0"/>
      <w:numFmt w:val="bullet"/>
      <w:lvlText w:val="•"/>
      <w:lvlJc w:val="left"/>
      <w:rPr>
        <w:rFonts w:hint="default"/>
        <w:color w:val="auto"/>
      </w:rPr>
    </w:lvl>
  </w:abstractNum>
  <w:abstractNum w:abstractNumId="104">
    <w:nsid w:val="4C1BAE26"/>
    <w:multiLevelType w:val="singleLevel"/>
    <w:tmpl w:val="4C1BAE26"/>
    <w:lvl w:ilvl="0" w:tentative="0">
      <w:start w:val="0"/>
      <w:numFmt w:val="bullet"/>
      <w:lvlText w:val="•"/>
      <w:lvlJc w:val="left"/>
      <w:rPr>
        <w:rFonts w:hint="default"/>
        <w:color w:val="auto"/>
      </w:rPr>
    </w:lvl>
  </w:abstractNum>
  <w:abstractNum w:abstractNumId="105">
    <w:nsid w:val="4C3D7A74"/>
    <w:multiLevelType w:val="singleLevel"/>
    <w:tmpl w:val="4C3D7A74"/>
    <w:lvl w:ilvl="0" w:tentative="0">
      <w:start w:val="0"/>
      <w:numFmt w:val="bullet"/>
      <w:lvlText w:val="•"/>
      <w:lvlJc w:val="left"/>
      <w:rPr>
        <w:rFonts w:hint="default"/>
        <w:color w:val="auto"/>
      </w:rPr>
    </w:lvl>
  </w:abstractNum>
  <w:abstractNum w:abstractNumId="106">
    <w:nsid w:val="4CD1E351"/>
    <w:multiLevelType w:val="singleLevel"/>
    <w:tmpl w:val="4CD1E351"/>
    <w:lvl w:ilvl="0" w:tentative="0">
      <w:start w:val="3"/>
      <w:numFmt w:val="decimal"/>
      <w:lvlText w:val="%1."/>
      <w:lvlJc w:val="left"/>
      <w:rPr>
        <w:rFonts w:hint="default"/>
        <w:color w:val="auto"/>
      </w:rPr>
    </w:lvl>
  </w:abstractNum>
  <w:abstractNum w:abstractNumId="107">
    <w:nsid w:val="4D4DC07F"/>
    <w:multiLevelType w:val="singleLevel"/>
    <w:tmpl w:val="4D4DC07F"/>
    <w:lvl w:ilvl="0" w:tentative="0">
      <w:start w:val="0"/>
      <w:numFmt w:val="bullet"/>
      <w:lvlText w:val="•"/>
      <w:lvlJc w:val="left"/>
      <w:rPr>
        <w:rFonts w:hint="default"/>
        <w:color w:val="auto"/>
      </w:rPr>
    </w:lvl>
  </w:abstractNum>
  <w:abstractNum w:abstractNumId="108">
    <w:nsid w:val="4D94DA66"/>
    <w:multiLevelType w:val="singleLevel"/>
    <w:tmpl w:val="4D94DA66"/>
    <w:lvl w:ilvl="0" w:tentative="0">
      <w:start w:val="0"/>
      <w:numFmt w:val="bullet"/>
      <w:lvlText w:val="￮"/>
      <w:lvlJc w:val="left"/>
      <w:rPr>
        <w:rFonts w:hint="default"/>
        <w:color w:val="auto"/>
      </w:rPr>
    </w:lvl>
  </w:abstractNum>
  <w:abstractNum w:abstractNumId="109">
    <w:nsid w:val="4E709187"/>
    <w:multiLevelType w:val="singleLevel"/>
    <w:tmpl w:val="4E709187"/>
    <w:lvl w:ilvl="0" w:tentative="0">
      <w:start w:val="0"/>
      <w:numFmt w:val="bullet"/>
      <w:lvlText w:val="•"/>
      <w:lvlJc w:val="left"/>
      <w:rPr>
        <w:rFonts w:hint="default"/>
        <w:color w:val="auto"/>
      </w:rPr>
    </w:lvl>
  </w:abstractNum>
  <w:abstractNum w:abstractNumId="110">
    <w:nsid w:val="4EA76503"/>
    <w:multiLevelType w:val="singleLevel"/>
    <w:tmpl w:val="4EA76503"/>
    <w:lvl w:ilvl="0" w:tentative="0">
      <w:start w:val="0"/>
      <w:numFmt w:val="bullet"/>
      <w:lvlText w:val="•"/>
      <w:lvlJc w:val="left"/>
      <w:rPr>
        <w:rFonts w:hint="default"/>
        <w:color w:val="auto"/>
      </w:rPr>
    </w:lvl>
  </w:abstractNum>
  <w:abstractNum w:abstractNumId="111">
    <w:nsid w:val="54701CA1"/>
    <w:multiLevelType w:val="singleLevel"/>
    <w:tmpl w:val="54701CA1"/>
    <w:lvl w:ilvl="0" w:tentative="0">
      <w:start w:val="2"/>
      <w:numFmt w:val="decimal"/>
      <w:lvlText w:val="%1."/>
      <w:lvlJc w:val="left"/>
      <w:rPr>
        <w:rFonts w:hint="default"/>
        <w:color w:val="auto"/>
      </w:rPr>
    </w:lvl>
  </w:abstractNum>
  <w:abstractNum w:abstractNumId="112">
    <w:nsid w:val="58765686"/>
    <w:multiLevelType w:val="singleLevel"/>
    <w:tmpl w:val="58765686"/>
    <w:lvl w:ilvl="0" w:tentative="0">
      <w:start w:val="0"/>
      <w:numFmt w:val="bullet"/>
      <w:lvlText w:val="￮"/>
      <w:lvlJc w:val="left"/>
      <w:rPr>
        <w:rFonts w:hint="default"/>
        <w:color w:val="auto"/>
      </w:rPr>
    </w:lvl>
  </w:abstractNum>
  <w:abstractNum w:abstractNumId="113">
    <w:nsid w:val="598DAF6D"/>
    <w:multiLevelType w:val="singleLevel"/>
    <w:tmpl w:val="598DAF6D"/>
    <w:lvl w:ilvl="0" w:tentative="0">
      <w:start w:val="0"/>
      <w:numFmt w:val="bullet"/>
      <w:lvlText w:val="•"/>
      <w:lvlJc w:val="left"/>
      <w:rPr>
        <w:rFonts w:hint="default"/>
        <w:color w:val="auto"/>
      </w:rPr>
    </w:lvl>
  </w:abstractNum>
  <w:abstractNum w:abstractNumId="114">
    <w:nsid w:val="59ADCABA"/>
    <w:multiLevelType w:val="singleLevel"/>
    <w:tmpl w:val="59ADCABA"/>
    <w:lvl w:ilvl="0" w:tentative="0">
      <w:start w:val="0"/>
      <w:numFmt w:val="bullet"/>
      <w:lvlText w:val="•"/>
      <w:lvlJc w:val="left"/>
      <w:rPr>
        <w:rFonts w:hint="default"/>
        <w:color w:val="auto"/>
      </w:rPr>
    </w:lvl>
  </w:abstractNum>
  <w:abstractNum w:abstractNumId="115">
    <w:nsid w:val="59EEFD2A"/>
    <w:multiLevelType w:val="singleLevel"/>
    <w:tmpl w:val="59EEFD2A"/>
    <w:lvl w:ilvl="0" w:tentative="0">
      <w:start w:val="0"/>
      <w:numFmt w:val="bullet"/>
      <w:lvlText w:val="•"/>
      <w:lvlJc w:val="left"/>
      <w:rPr>
        <w:rFonts w:hint="default"/>
        <w:color w:val="auto"/>
      </w:rPr>
    </w:lvl>
  </w:abstractNum>
  <w:abstractNum w:abstractNumId="116">
    <w:nsid w:val="5A241D34"/>
    <w:multiLevelType w:val="singleLevel"/>
    <w:tmpl w:val="5A241D34"/>
    <w:lvl w:ilvl="0" w:tentative="0">
      <w:start w:val="0"/>
      <w:numFmt w:val="bullet"/>
      <w:lvlText w:val="•"/>
      <w:lvlJc w:val="left"/>
      <w:rPr>
        <w:rFonts w:hint="default"/>
        <w:color w:val="auto"/>
      </w:rPr>
    </w:lvl>
  </w:abstractNum>
  <w:abstractNum w:abstractNumId="117">
    <w:nsid w:val="5E29AB5A"/>
    <w:multiLevelType w:val="singleLevel"/>
    <w:tmpl w:val="5E29AB5A"/>
    <w:lvl w:ilvl="0" w:tentative="0">
      <w:start w:val="3"/>
      <w:numFmt w:val="decimal"/>
      <w:lvlText w:val="%1."/>
      <w:lvlJc w:val="left"/>
      <w:rPr>
        <w:rFonts w:hint="default"/>
        <w:color w:val="auto"/>
      </w:rPr>
    </w:lvl>
  </w:abstractNum>
  <w:abstractNum w:abstractNumId="118">
    <w:nsid w:val="5FCE4367"/>
    <w:multiLevelType w:val="singleLevel"/>
    <w:tmpl w:val="5FCE4367"/>
    <w:lvl w:ilvl="0" w:tentative="0">
      <w:start w:val="0"/>
      <w:numFmt w:val="bullet"/>
      <w:lvlText w:val="￮"/>
      <w:lvlJc w:val="left"/>
      <w:rPr>
        <w:rFonts w:hint="default"/>
        <w:color w:val="auto"/>
      </w:rPr>
    </w:lvl>
  </w:abstractNum>
  <w:abstractNum w:abstractNumId="119">
    <w:nsid w:val="5FFFB1A7"/>
    <w:multiLevelType w:val="singleLevel"/>
    <w:tmpl w:val="5FFFB1A7"/>
    <w:lvl w:ilvl="0" w:tentative="0">
      <w:start w:val="0"/>
      <w:numFmt w:val="bullet"/>
      <w:lvlText w:val="•"/>
      <w:lvlJc w:val="left"/>
      <w:rPr>
        <w:rFonts w:hint="default"/>
        <w:color w:val="auto"/>
      </w:rPr>
    </w:lvl>
  </w:abstractNum>
  <w:abstractNum w:abstractNumId="120">
    <w:nsid w:val="60382F6E"/>
    <w:multiLevelType w:val="singleLevel"/>
    <w:tmpl w:val="60382F6E"/>
    <w:lvl w:ilvl="0" w:tentative="0">
      <w:start w:val="1"/>
      <w:numFmt w:val="decimal"/>
      <w:lvlText w:val="%1."/>
      <w:lvlJc w:val="left"/>
      <w:rPr>
        <w:rFonts w:hint="default"/>
        <w:color w:val="auto"/>
      </w:rPr>
    </w:lvl>
  </w:abstractNum>
  <w:abstractNum w:abstractNumId="121">
    <w:nsid w:val="610EFE5C"/>
    <w:multiLevelType w:val="singleLevel"/>
    <w:tmpl w:val="610EFE5C"/>
    <w:lvl w:ilvl="0" w:tentative="0">
      <w:start w:val="0"/>
      <w:numFmt w:val="bullet"/>
      <w:lvlText w:val="•"/>
      <w:lvlJc w:val="left"/>
      <w:rPr>
        <w:rFonts w:hint="default"/>
        <w:color w:val="auto"/>
      </w:rPr>
    </w:lvl>
  </w:abstractNum>
  <w:abstractNum w:abstractNumId="122">
    <w:nsid w:val="629F7852"/>
    <w:multiLevelType w:val="singleLevel"/>
    <w:tmpl w:val="629F7852"/>
    <w:lvl w:ilvl="0" w:tentative="0">
      <w:start w:val="0"/>
      <w:numFmt w:val="bullet"/>
      <w:lvlText w:val="￮"/>
      <w:lvlJc w:val="left"/>
      <w:rPr>
        <w:rFonts w:hint="default"/>
        <w:color w:val="auto"/>
      </w:rPr>
    </w:lvl>
  </w:abstractNum>
  <w:abstractNum w:abstractNumId="123">
    <w:nsid w:val="65CD0074"/>
    <w:multiLevelType w:val="singleLevel"/>
    <w:tmpl w:val="65CD0074"/>
    <w:lvl w:ilvl="0" w:tentative="0">
      <w:start w:val="5"/>
      <w:numFmt w:val="decimal"/>
      <w:lvlText w:val="%1."/>
      <w:lvlJc w:val="left"/>
      <w:rPr>
        <w:rFonts w:hint="default"/>
        <w:color w:val="auto"/>
      </w:rPr>
    </w:lvl>
  </w:abstractNum>
  <w:abstractNum w:abstractNumId="124">
    <w:nsid w:val="68B298F7"/>
    <w:multiLevelType w:val="singleLevel"/>
    <w:tmpl w:val="68B298F7"/>
    <w:lvl w:ilvl="0" w:tentative="0">
      <w:start w:val="1"/>
      <w:numFmt w:val="decimal"/>
      <w:lvlText w:val="%1."/>
      <w:lvlJc w:val="left"/>
      <w:rPr>
        <w:rFonts w:hint="default"/>
        <w:color w:val="auto"/>
      </w:rPr>
    </w:lvl>
  </w:abstractNum>
  <w:abstractNum w:abstractNumId="125">
    <w:nsid w:val="700FDCEF"/>
    <w:multiLevelType w:val="singleLevel"/>
    <w:tmpl w:val="700FDCEF"/>
    <w:lvl w:ilvl="0" w:tentative="0">
      <w:start w:val="0"/>
      <w:numFmt w:val="bullet"/>
      <w:lvlText w:val="•"/>
      <w:lvlJc w:val="left"/>
      <w:rPr>
        <w:rFonts w:hint="default"/>
        <w:color w:val="auto"/>
      </w:rPr>
    </w:lvl>
  </w:abstractNum>
  <w:abstractNum w:abstractNumId="126">
    <w:nsid w:val="72183CF9"/>
    <w:multiLevelType w:val="singleLevel"/>
    <w:tmpl w:val="72183CF9"/>
    <w:lvl w:ilvl="0" w:tentative="0">
      <w:start w:val="0"/>
      <w:numFmt w:val="bullet"/>
      <w:lvlText w:val="•"/>
      <w:lvlJc w:val="left"/>
      <w:rPr>
        <w:rFonts w:hint="default"/>
        <w:color w:val="auto"/>
      </w:rPr>
    </w:lvl>
  </w:abstractNum>
  <w:abstractNum w:abstractNumId="127">
    <w:nsid w:val="74C28B35"/>
    <w:multiLevelType w:val="singleLevel"/>
    <w:tmpl w:val="74C28B35"/>
    <w:lvl w:ilvl="0" w:tentative="0">
      <w:start w:val="0"/>
      <w:numFmt w:val="bullet"/>
      <w:lvlText w:val="•"/>
      <w:lvlJc w:val="left"/>
      <w:rPr>
        <w:rFonts w:hint="default"/>
        <w:color w:val="auto"/>
      </w:rPr>
    </w:lvl>
  </w:abstractNum>
  <w:abstractNum w:abstractNumId="128">
    <w:nsid w:val="77ECEA79"/>
    <w:multiLevelType w:val="singleLevel"/>
    <w:tmpl w:val="77ECEA79"/>
    <w:lvl w:ilvl="0" w:tentative="0">
      <w:start w:val="0"/>
      <w:numFmt w:val="bullet"/>
      <w:lvlText w:val="•"/>
      <w:lvlJc w:val="left"/>
      <w:rPr>
        <w:rFonts w:hint="default"/>
        <w:color w:val="auto"/>
      </w:rPr>
    </w:lvl>
  </w:abstractNum>
  <w:abstractNum w:abstractNumId="129">
    <w:nsid w:val="79AA4FA4"/>
    <w:multiLevelType w:val="singleLevel"/>
    <w:tmpl w:val="79AA4FA4"/>
    <w:lvl w:ilvl="0" w:tentative="0">
      <w:start w:val="0"/>
      <w:numFmt w:val="bullet"/>
      <w:lvlText w:val="•"/>
      <w:lvlJc w:val="left"/>
      <w:rPr>
        <w:rFonts w:hint="default"/>
        <w:color w:val="auto"/>
      </w:rPr>
    </w:lvl>
  </w:abstractNum>
  <w:abstractNum w:abstractNumId="130">
    <w:nsid w:val="7C246926"/>
    <w:multiLevelType w:val="singleLevel"/>
    <w:tmpl w:val="7C246926"/>
    <w:lvl w:ilvl="0" w:tentative="0">
      <w:start w:val="0"/>
      <w:numFmt w:val="bullet"/>
      <w:lvlText w:val="•"/>
      <w:lvlJc w:val="left"/>
      <w:rPr>
        <w:rFonts w:hint="default"/>
        <w:color w:val="auto"/>
      </w:rPr>
    </w:lvl>
  </w:abstractNum>
  <w:abstractNum w:abstractNumId="131">
    <w:nsid w:val="7DEC2089"/>
    <w:multiLevelType w:val="singleLevel"/>
    <w:tmpl w:val="7DEC2089"/>
    <w:lvl w:ilvl="0" w:tentative="0">
      <w:start w:val="0"/>
      <w:numFmt w:val="bullet"/>
      <w:lvlText w:val="￮"/>
      <w:lvlJc w:val="left"/>
      <w:rPr>
        <w:rFonts w:hint="default"/>
        <w:color w:val="auto"/>
      </w:rPr>
    </w:lvl>
  </w:abstractNum>
  <w:num w:numId="1">
    <w:abstractNumId w:val="91"/>
  </w:num>
  <w:num w:numId="2">
    <w:abstractNumId w:val="63"/>
  </w:num>
  <w:num w:numId="3">
    <w:abstractNumId w:val="47"/>
  </w:num>
  <w:num w:numId="4">
    <w:abstractNumId w:val="114"/>
  </w:num>
  <w:num w:numId="5">
    <w:abstractNumId w:val="41"/>
  </w:num>
  <w:num w:numId="6">
    <w:abstractNumId w:val="32"/>
  </w:num>
  <w:num w:numId="7">
    <w:abstractNumId w:val="69"/>
  </w:num>
  <w:num w:numId="8">
    <w:abstractNumId w:val="90"/>
  </w:num>
  <w:num w:numId="9">
    <w:abstractNumId w:val="126"/>
  </w:num>
  <w:num w:numId="10">
    <w:abstractNumId w:val="65"/>
  </w:num>
  <w:num w:numId="11">
    <w:abstractNumId w:val="11"/>
  </w:num>
  <w:num w:numId="12">
    <w:abstractNumId w:val="92"/>
  </w:num>
  <w:num w:numId="13">
    <w:abstractNumId w:val="116"/>
  </w:num>
  <w:num w:numId="14">
    <w:abstractNumId w:val="45"/>
  </w:num>
  <w:num w:numId="15">
    <w:abstractNumId w:val="107"/>
  </w:num>
  <w:num w:numId="16">
    <w:abstractNumId w:val="58"/>
  </w:num>
  <w:num w:numId="17">
    <w:abstractNumId w:val="89"/>
  </w:num>
  <w:num w:numId="18">
    <w:abstractNumId w:val="51"/>
  </w:num>
  <w:num w:numId="19">
    <w:abstractNumId w:val="50"/>
  </w:num>
  <w:num w:numId="20">
    <w:abstractNumId w:val="17"/>
  </w:num>
  <w:num w:numId="21">
    <w:abstractNumId w:val="104"/>
  </w:num>
  <w:num w:numId="22">
    <w:abstractNumId w:val="120"/>
  </w:num>
  <w:num w:numId="23">
    <w:abstractNumId w:val="73"/>
  </w:num>
  <w:num w:numId="24">
    <w:abstractNumId w:val="102"/>
  </w:num>
  <w:num w:numId="25">
    <w:abstractNumId w:val="28"/>
  </w:num>
  <w:num w:numId="26">
    <w:abstractNumId w:val="130"/>
  </w:num>
  <w:num w:numId="27">
    <w:abstractNumId w:val="128"/>
  </w:num>
  <w:num w:numId="28">
    <w:abstractNumId w:val="40"/>
  </w:num>
  <w:num w:numId="29">
    <w:abstractNumId w:val="122"/>
  </w:num>
  <w:num w:numId="30">
    <w:abstractNumId w:val="12"/>
  </w:num>
  <w:num w:numId="31">
    <w:abstractNumId w:val="99"/>
  </w:num>
  <w:num w:numId="32">
    <w:abstractNumId w:val="4"/>
  </w:num>
  <w:num w:numId="33">
    <w:abstractNumId w:val="112"/>
  </w:num>
  <w:num w:numId="34">
    <w:abstractNumId w:val="131"/>
  </w:num>
  <w:num w:numId="35">
    <w:abstractNumId w:val="1"/>
  </w:num>
  <w:num w:numId="36">
    <w:abstractNumId w:val="88"/>
  </w:num>
  <w:num w:numId="37">
    <w:abstractNumId w:val="108"/>
  </w:num>
  <w:num w:numId="38">
    <w:abstractNumId w:val="61"/>
  </w:num>
  <w:num w:numId="39">
    <w:abstractNumId w:val="53"/>
  </w:num>
  <w:num w:numId="40">
    <w:abstractNumId w:val="94"/>
  </w:num>
  <w:num w:numId="41">
    <w:abstractNumId w:val="129"/>
  </w:num>
  <w:num w:numId="42">
    <w:abstractNumId w:val="36"/>
  </w:num>
  <w:num w:numId="43">
    <w:abstractNumId w:val="9"/>
  </w:num>
  <w:num w:numId="44">
    <w:abstractNumId w:val="33"/>
  </w:num>
  <w:num w:numId="45">
    <w:abstractNumId w:val="117"/>
  </w:num>
  <w:num w:numId="46">
    <w:abstractNumId w:val="3"/>
  </w:num>
  <w:num w:numId="47">
    <w:abstractNumId w:val="81"/>
  </w:num>
  <w:num w:numId="48">
    <w:abstractNumId w:val="7"/>
  </w:num>
  <w:num w:numId="49">
    <w:abstractNumId w:val="119"/>
  </w:num>
  <w:num w:numId="50">
    <w:abstractNumId w:val="127"/>
  </w:num>
  <w:num w:numId="51">
    <w:abstractNumId w:val="105"/>
  </w:num>
  <w:num w:numId="52">
    <w:abstractNumId w:val="95"/>
  </w:num>
  <w:num w:numId="53">
    <w:abstractNumId w:val="123"/>
  </w:num>
  <w:num w:numId="54">
    <w:abstractNumId w:val="70"/>
  </w:num>
  <w:num w:numId="55">
    <w:abstractNumId w:val="72"/>
  </w:num>
  <w:num w:numId="56">
    <w:abstractNumId w:val="49"/>
  </w:num>
  <w:num w:numId="57">
    <w:abstractNumId w:val="96"/>
  </w:num>
  <w:num w:numId="58">
    <w:abstractNumId w:val="85"/>
  </w:num>
  <w:num w:numId="59">
    <w:abstractNumId w:val="55"/>
  </w:num>
  <w:num w:numId="60">
    <w:abstractNumId w:val="87"/>
  </w:num>
  <w:num w:numId="61">
    <w:abstractNumId w:val="31"/>
  </w:num>
  <w:num w:numId="62">
    <w:abstractNumId w:val="101"/>
  </w:num>
  <w:num w:numId="63">
    <w:abstractNumId w:val="75"/>
  </w:num>
  <w:num w:numId="64">
    <w:abstractNumId w:val="97"/>
  </w:num>
  <w:num w:numId="65">
    <w:abstractNumId w:val="67"/>
  </w:num>
  <w:num w:numId="66">
    <w:abstractNumId w:val="43"/>
  </w:num>
  <w:num w:numId="67">
    <w:abstractNumId w:val="77"/>
  </w:num>
  <w:num w:numId="68">
    <w:abstractNumId w:val="30"/>
  </w:num>
  <w:num w:numId="69">
    <w:abstractNumId w:val="100"/>
  </w:num>
  <w:num w:numId="70">
    <w:abstractNumId w:val="24"/>
  </w:num>
  <w:num w:numId="71">
    <w:abstractNumId w:val="60"/>
  </w:num>
  <w:num w:numId="72">
    <w:abstractNumId w:val="93"/>
  </w:num>
  <w:num w:numId="73">
    <w:abstractNumId w:val="62"/>
  </w:num>
  <w:num w:numId="74">
    <w:abstractNumId w:val="80"/>
  </w:num>
  <w:num w:numId="75">
    <w:abstractNumId w:val="125"/>
  </w:num>
  <w:num w:numId="76">
    <w:abstractNumId w:val="54"/>
  </w:num>
  <w:num w:numId="77">
    <w:abstractNumId w:val="44"/>
  </w:num>
  <w:num w:numId="78">
    <w:abstractNumId w:val="23"/>
  </w:num>
  <w:num w:numId="79">
    <w:abstractNumId w:val="14"/>
  </w:num>
  <w:num w:numId="80">
    <w:abstractNumId w:val="115"/>
  </w:num>
  <w:num w:numId="81">
    <w:abstractNumId w:val="38"/>
  </w:num>
  <w:num w:numId="82">
    <w:abstractNumId w:val="19"/>
  </w:num>
  <w:num w:numId="83">
    <w:abstractNumId w:val="26"/>
  </w:num>
  <w:num w:numId="84">
    <w:abstractNumId w:val="10"/>
  </w:num>
  <w:num w:numId="85">
    <w:abstractNumId w:val="83"/>
  </w:num>
  <w:num w:numId="86">
    <w:abstractNumId w:val="39"/>
  </w:num>
  <w:num w:numId="87">
    <w:abstractNumId w:val="79"/>
  </w:num>
  <w:num w:numId="88">
    <w:abstractNumId w:val="48"/>
  </w:num>
  <w:num w:numId="89">
    <w:abstractNumId w:val="124"/>
  </w:num>
  <w:num w:numId="90">
    <w:abstractNumId w:val="0"/>
  </w:num>
  <w:num w:numId="91">
    <w:abstractNumId w:val="37"/>
  </w:num>
  <w:num w:numId="92">
    <w:abstractNumId w:val="59"/>
  </w:num>
  <w:num w:numId="93">
    <w:abstractNumId w:val="106"/>
  </w:num>
  <w:num w:numId="94">
    <w:abstractNumId w:val="76"/>
  </w:num>
  <w:num w:numId="95">
    <w:abstractNumId w:val="16"/>
  </w:num>
  <w:num w:numId="96">
    <w:abstractNumId w:val="52"/>
  </w:num>
  <w:num w:numId="97">
    <w:abstractNumId w:val="82"/>
  </w:num>
  <w:num w:numId="98">
    <w:abstractNumId w:val="103"/>
  </w:num>
  <w:num w:numId="99">
    <w:abstractNumId w:val="25"/>
  </w:num>
  <w:num w:numId="100">
    <w:abstractNumId w:val="121"/>
  </w:num>
  <w:num w:numId="101">
    <w:abstractNumId w:val="2"/>
  </w:num>
  <w:num w:numId="102">
    <w:abstractNumId w:val="6"/>
  </w:num>
  <w:num w:numId="103">
    <w:abstractNumId w:val="64"/>
  </w:num>
  <w:num w:numId="104">
    <w:abstractNumId w:val="21"/>
  </w:num>
  <w:num w:numId="105">
    <w:abstractNumId w:val="42"/>
  </w:num>
  <w:num w:numId="106">
    <w:abstractNumId w:val="46"/>
  </w:num>
  <w:num w:numId="107">
    <w:abstractNumId w:val="57"/>
  </w:num>
  <w:num w:numId="108">
    <w:abstractNumId w:val="118"/>
  </w:num>
  <w:num w:numId="109">
    <w:abstractNumId w:val="56"/>
  </w:num>
  <w:num w:numId="110">
    <w:abstractNumId w:val="111"/>
  </w:num>
  <w:num w:numId="111">
    <w:abstractNumId w:val="86"/>
  </w:num>
  <w:num w:numId="112">
    <w:abstractNumId w:val="13"/>
  </w:num>
  <w:num w:numId="113">
    <w:abstractNumId w:val="68"/>
  </w:num>
  <w:num w:numId="114">
    <w:abstractNumId w:val="84"/>
  </w:num>
  <w:num w:numId="115">
    <w:abstractNumId w:val="5"/>
  </w:num>
  <w:num w:numId="116">
    <w:abstractNumId w:val="27"/>
  </w:num>
  <w:num w:numId="117">
    <w:abstractNumId w:val="78"/>
  </w:num>
  <w:num w:numId="118">
    <w:abstractNumId w:val="110"/>
  </w:num>
  <w:num w:numId="119">
    <w:abstractNumId w:val="34"/>
  </w:num>
  <w:num w:numId="120">
    <w:abstractNumId w:val="20"/>
  </w:num>
  <w:num w:numId="121">
    <w:abstractNumId w:val="35"/>
  </w:num>
  <w:num w:numId="122">
    <w:abstractNumId w:val="29"/>
  </w:num>
  <w:num w:numId="123">
    <w:abstractNumId w:val="71"/>
  </w:num>
  <w:num w:numId="124">
    <w:abstractNumId w:val="74"/>
  </w:num>
  <w:num w:numId="125">
    <w:abstractNumId w:val="98"/>
  </w:num>
  <w:num w:numId="126">
    <w:abstractNumId w:val="66"/>
  </w:num>
  <w:num w:numId="127">
    <w:abstractNumId w:val="15"/>
  </w:num>
  <w:num w:numId="128">
    <w:abstractNumId w:val="113"/>
  </w:num>
  <w:num w:numId="129">
    <w:abstractNumId w:val="22"/>
  </w:num>
  <w:num w:numId="130">
    <w:abstractNumId w:val="8"/>
  </w:num>
  <w:num w:numId="131">
    <w:abstractNumId w:val="109"/>
  </w:num>
  <w:num w:numId="1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kNmU4ZTA0YjI0Zjg3NjA5OWQ4ZDUyMWVkYjZkNzIifQ=="/>
  </w:docVars>
  <w:rsids>
    <w:rsidRoot w:val="42DF5541"/>
    <w:rsid w:val="000360AF"/>
    <w:rsid w:val="00061306"/>
    <w:rsid w:val="001021BD"/>
    <w:rsid w:val="00181628"/>
    <w:rsid w:val="005D06D5"/>
    <w:rsid w:val="00A85A21"/>
    <w:rsid w:val="00BA0B02"/>
    <w:rsid w:val="00E94336"/>
    <w:rsid w:val="02766317"/>
    <w:rsid w:val="0931222F"/>
    <w:rsid w:val="0E2736B1"/>
    <w:rsid w:val="165F7EEA"/>
    <w:rsid w:val="20657B7D"/>
    <w:rsid w:val="24453EB9"/>
    <w:rsid w:val="39F534BE"/>
    <w:rsid w:val="3AF74E73"/>
    <w:rsid w:val="3B3D6F2F"/>
    <w:rsid w:val="3CD41F44"/>
    <w:rsid w:val="3E747048"/>
    <w:rsid w:val="3EAE23E6"/>
    <w:rsid w:val="42DF5541"/>
    <w:rsid w:val="459577D8"/>
    <w:rsid w:val="52691F60"/>
    <w:rsid w:val="542B15F4"/>
    <w:rsid w:val="54332825"/>
    <w:rsid w:val="585D3481"/>
    <w:rsid w:val="5C327A9E"/>
    <w:rsid w:val="691A342D"/>
    <w:rsid w:val="69A84119"/>
    <w:rsid w:val="6A002D52"/>
    <w:rsid w:val="6AAB43CE"/>
    <w:rsid w:val="7B5B7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3"/>
    <w:qFormat/>
    <w:uiPriority w:val="0"/>
    <w:pPr>
      <w:keepNext/>
      <w:keepLines/>
      <w:pageBreakBefore/>
      <w:numPr>
        <w:ilvl w:val="0"/>
        <w:numId w:val="1"/>
      </w:numPr>
      <w:spacing w:before="340" w:afterLines="50" w:line="578" w:lineRule="auto"/>
      <w:outlineLvl w:val="0"/>
    </w:pPr>
    <w:rPr>
      <w:rFonts w:eastAsia="黑体" w:cs="Times New Roman"/>
      <w:b/>
      <w:bCs/>
      <w:spacing w:val="20"/>
      <w:kern w:val="44"/>
      <w:sz w:val="36"/>
      <w:szCs w:val="44"/>
    </w:rPr>
  </w:style>
  <w:style w:type="paragraph" w:styleId="4">
    <w:name w:val="heading 2"/>
    <w:basedOn w:val="1"/>
    <w:next w:val="3"/>
    <w:unhideWhenUsed/>
    <w:qFormat/>
    <w:uiPriority w:val="9"/>
    <w:pPr>
      <w:keepNext/>
      <w:keepLines/>
      <w:spacing w:before="160" w:after="80"/>
      <w:outlineLvl w:val="1"/>
    </w:pPr>
    <w:rPr>
      <w:rFonts w:asciiTheme="majorHAnsi" w:hAnsiTheme="majorHAnsi" w:eastAsiaTheme="majorEastAsia" w:cstheme="majorBidi"/>
      <w:color w:val="2E54A1" w:themeColor="accent1" w:themeShade="BF"/>
      <w:sz w:val="32"/>
      <w:szCs w:val="32"/>
    </w:rPr>
  </w:style>
  <w:style w:type="paragraph" w:styleId="5">
    <w:name w:val="heading 3"/>
    <w:basedOn w:val="1"/>
    <w:next w:val="1"/>
    <w:unhideWhenUsed/>
    <w:qFormat/>
    <w:uiPriority w:val="9"/>
    <w:pPr>
      <w:keepNext/>
      <w:keepLines/>
      <w:spacing w:before="160" w:after="80"/>
      <w:outlineLvl w:val="2"/>
    </w:pPr>
    <w:rPr>
      <w:rFonts w:eastAsiaTheme="majorEastAsia" w:cstheme="majorBidi"/>
      <w:color w:val="2E54A1" w:themeColor="accent1" w:themeShade="BF"/>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afterLines="50" w:line="360" w:lineRule="auto"/>
      <w:ind w:firstLine="420" w:firstLineChars="200"/>
    </w:pPr>
    <w:rPr>
      <w:rFonts w:ascii="Times New Roman" w:hAnsi="Times New Roman" w:eastAsia="宋体" w:cs="Times New Roman"/>
      <w:szCs w:val="24"/>
    </w:rPr>
  </w:style>
  <w:style w:type="paragraph" w:styleId="6">
    <w:name w:val="annotation text"/>
    <w:basedOn w:val="1"/>
    <w:qFormat/>
    <w:uiPriority w:val="0"/>
    <w:pPr>
      <w:jc w:val="left"/>
    </w:pPr>
  </w:style>
  <w:style w:type="paragraph" w:styleId="7">
    <w:name w:val="Body Text"/>
    <w:basedOn w:val="1"/>
    <w:qFormat/>
    <w:uiPriority w:val="0"/>
    <w:pPr>
      <w:spacing w:before="180" w:after="180"/>
    </w:pPr>
  </w:style>
  <w:style w:type="paragraph" w:styleId="8">
    <w:name w:val="footer"/>
    <w:basedOn w:val="1"/>
    <w:unhideWhenUsed/>
    <w:qFormat/>
    <w:uiPriority w:val="99"/>
    <w:pPr>
      <w:tabs>
        <w:tab w:val="center" w:pos="4153"/>
        <w:tab w:val="right" w:pos="8306"/>
      </w:tabs>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rFonts w:cs="Times New Roman"/>
      <w:kern w:val="0"/>
      <w:sz w:val="24"/>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List Paragraph"/>
    <w:basedOn w:val="1"/>
    <w:qFormat/>
    <w:uiPriority w:val="34"/>
    <w:pPr>
      <w:ind w:firstLine="420" w:firstLineChars="200"/>
    </w:pPr>
  </w:style>
  <w:style w:type="paragraph" w:customStyle="1" w:styleId="15">
    <w:name w:val="Compact"/>
    <w:basedOn w:val="7"/>
    <w:qFormat/>
    <w:uiPriority w:val="0"/>
    <w:pPr>
      <w:spacing w:before="36" w:after="36"/>
    </w:pPr>
  </w:style>
  <w:style w:type="paragraph" w:customStyle="1" w:styleId="16">
    <w:name w:val="First Paragraph"/>
    <w:basedOn w:val="7"/>
    <w:next w:val="7"/>
    <w:qFormat/>
    <w:uiPriority w:val="0"/>
  </w:style>
  <w:style w:type="character" w:customStyle="1" w:styleId="17">
    <w:name w:val="页眉 Char"/>
    <w:basedOn w:val="13"/>
    <w:link w:val="9"/>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9988</Words>
  <Characters>10379</Characters>
  <Lines>5</Lines>
  <Paragraphs>1</Paragraphs>
  <TotalTime>3</TotalTime>
  <ScaleCrop>false</ScaleCrop>
  <LinksUpToDate>false</LinksUpToDate>
  <CharactersWithSpaces>10530</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2025-06-09T09:12:00Z</dcterms:created>
  <dc:creator>MEEFOND</dc:creator>
  <cp:lastModifiedBy>gc</cp:lastModifiedBy>
  <dcterms:modified xsi:type="dcterms:W3CDTF">2026-03-11T06:54:46Z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A42795E3D2AB47A2808C6FB7EF0B8680_11</vt:lpwstr>
  </property>
  <property fmtid="{D5CDD505-2E9C-101B-9397-08002B2CF9AE}" pid="4" name="KSOTemplateDocerSaveRecord">
    <vt:lpwstr>eyJoZGlkIjoiMzJjZWZkNmZmNGY0MGQ2MjExODA1MmQ4ZjQ2MTIyOWEiLCJ1c2VySWQiOiI2MjU5ODg1NTIifQ==</vt:lpwstr>
  </property>
</Properties>
</file>