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F3BBC">
      <w:pPr>
        <w:keepNext/>
        <w:keepLines/>
        <w:pageBreakBefore/>
        <w:tabs>
          <w:tab w:val="left" w:pos="432"/>
        </w:tabs>
        <w:spacing w:after="156" w:afterLines="50" w:line="360" w:lineRule="auto"/>
        <w:ind w:left="432" w:hanging="432"/>
        <w:outlineLvl w:val="0"/>
        <w:rPr>
          <w:rFonts w:ascii="仿宋" w:hAnsi="仿宋" w:eastAsia="仿宋" w:cs="Times New Roman"/>
          <w:b/>
          <w:bCs/>
          <w:spacing w:val="20"/>
          <w:kern w:val="44"/>
          <w:sz w:val="24"/>
          <w:szCs w:val="24"/>
        </w:rPr>
      </w:pPr>
      <w:bookmarkStart w:id="0" w:name="_Toc4648"/>
      <w:r>
        <w:rPr>
          <w:rFonts w:hint="eastAsia" w:ascii="仿宋" w:hAnsi="仿宋" w:eastAsia="仿宋" w:cs="Times New Roman"/>
          <w:b/>
          <w:bCs/>
          <w:spacing w:val="20"/>
          <w:kern w:val="44"/>
          <w:sz w:val="24"/>
          <w:szCs w:val="24"/>
        </w:rPr>
        <w:t>一、项目背景</w:t>
      </w:r>
      <w:bookmarkEnd w:id="0"/>
    </w:p>
    <w:p w14:paraId="7126AF3C">
      <w:pPr>
        <w:spacing w:line="360" w:lineRule="auto"/>
        <w:ind w:firstLine="480" w:firstLineChars="200"/>
        <w:rPr>
          <w:rFonts w:ascii="仿宋" w:hAnsi="仿宋" w:eastAsia="仿宋" w:cs="Times New Roman"/>
          <w:sz w:val="24"/>
          <w:szCs w:val="24"/>
        </w:rPr>
      </w:pPr>
      <w:r>
        <w:rPr>
          <w:rFonts w:hint="eastAsia" w:ascii="仿宋" w:hAnsi="仿宋" w:eastAsia="仿宋" w:cs="Times New Roman"/>
          <w:sz w:val="24"/>
          <w:szCs w:val="24"/>
          <w:lang w:eastAsia="zh-CN"/>
        </w:rPr>
        <w:t>招标人</w:t>
      </w:r>
      <w:r>
        <w:rPr>
          <w:rFonts w:hint="eastAsia" w:ascii="仿宋" w:hAnsi="仿宋" w:eastAsia="仿宋" w:cs="Times New Roman"/>
          <w:sz w:val="24"/>
          <w:szCs w:val="24"/>
        </w:rPr>
        <w:t xml:space="preserve">于2022年采购了一套WAF系统，为保障WAF系统的正常运行和持续提供IPTV业务的安全防护，计划采购1年7*24小时维保服务。 </w:t>
      </w:r>
    </w:p>
    <w:p w14:paraId="255CFFAE">
      <w:pPr>
        <w:keepNext/>
        <w:keepLines/>
        <w:tabs>
          <w:tab w:val="left" w:pos="432"/>
        </w:tabs>
        <w:spacing w:before="156" w:beforeLines="50" w:after="156" w:afterLines="50" w:line="360" w:lineRule="auto"/>
        <w:ind w:left="431" w:hanging="431"/>
        <w:outlineLvl w:val="0"/>
        <w:rPr>
          <w:rFonts w:ascii="仿宋" w:hAnsi="仿宋" w:eastAsia="仿宋" w:cs="Times New Roman"/>
          <w:b/>
          <w:bCs/>
          <w:spacing w:val="20"/>
          <w:kern w:val="44"/>
          <w:sz w:val="24"/>
          <w:szCs w:val="24"/>
        </w:rPr>
      </w:pPr>
      <w:bookmarkStart w:id="1" w:name="_Toc31415"/>
      <w:r>
        <w:rPr>
          <w:rFonts w:hint="eastAsia" w:ascii="仿宋" w:hAnsi="仿宋" w:eastAsia="仿宋" w:cs="Times New Roman"/>
          <w:b/>
          <w:bCs/>
          <w:spacing w:val="20"/>
          <w:kern w:val="44"/>
          <w:sz w:val="24"/>
          <w:szCs w:val="24"/>
        </w:rPr>
        <w:t>二、服务时间</w:t>
      </w:r>
      <w:bookmarkEnd w:id="1"/>
    </w:p>
    <w:p w14:paraId="790DC18B">
      <w:pPr>
        <w:spacing w:after="156" w:line="360" w:lineRule="auto"/>
        <w:ind w:firstLine="420"/>
        <w:rPr>
          <w:rFonts w:ascii="仿宋" w:hAnsi="仿宋" w:eastAsia="仿宋" w:cs="Times New Roman"/>
          <w:kern w:val="0"/>
          <w:sz w:val="24"/>
          <w:szCs w:val="24"/>
        </w:rPr>
      </w:pPr>
      <w:r>
        <w:rPr>
          <w:rFonts w:hint="eastAsia" w:ascii="仿宋" w:hAnsi="仿宋" w:eastAsia="仿宋" w:cs="Times New Roman"/>
          <w:kern w:val="0"/>
          <w:sz w:val="24"/>
          <w:szCs w:val="24"/>
        </w:rPr>
        <w:t>服务期：项目维保周期从签订合同起算1年，具体生效时间以WAF系统原维保实际到期日(实际到期日以“维保覆盖说明”表格中“原维保到期日期”为准)次日开始生效，如合同签订日期晚于WAF系统原维保实际到期日期，则以合同签订日期的次日作为WAF系统维保服务的起始日期。</w:t>
      </w:r>
    </w:p>
    <w:p w14:paraId="24462EB3">
      <w:pPr>
        <w:keepNext/>
        <w:keepLines/>
        <w:tabs>
          <w:tab w:val="left" w:pos="432"/>
        </w:tabs>
        <w:spacing w:before="156" w:beforeLines="50" w:after="156" w:afterLines="50" w:line="360" w:lineRule="auto"/>
        <w:ind w:left="431" w:hanging="431"/>
        <w:outlineLvl w:val="0"/>
        <w:rPr>
          <w:rFonts w:ascii="仿宋" w:hAnsi="仿宋" w:eastAsia="仿宋" w:cs="Times New Roman"/>
          <w:b/>
          <w:bCs/>
          <w:spacing w:val="20"/>
          <w:kern w:val="44"/>
          <w:sz w:val="24"/>
          <w:szCs w:val="24"/>
        </w:rPr>
      </w:pPr>
      <w:bookmarkStart w:id="2" w:name="_Toc24107"/>
      <w:r>
        <w:rPr>
          <w:rFonts w:hint="eastAsia" w:ascii="仿宋" w:hAnsi="仿宋" w:eastAsia="仿宋" w:cs="Times New Roman"/>
          <w:b/>
          <w:bCs/>
          <w:spacing w:val="20"/>
          <w:kern w:val="44"/>
          <w:sz w:val="24"/>
          <w:szCs w:val="24"/>
        </w:rPr>
        <w:t>三、维保覆盖说明</w:t>
      </w:r>
      <w:bookmarkEnd w:id="2"/>
    </w:p>
    <w:p w14:paraId="4D8AFB7F">
      <w:pPr>
        <w:spacing w:after="156" w:afterLines="50" w:line="360" w:lineRule="auto"/>
        <w:ind w:firstLine="480" w:firstLineChars="200"/>
        <w:rPr>
          <w:rFonts w:ascii="仿宋" w:hAnsi="仿宋" w:eastAsia="仿宋" w:cs="Times New Roman"/>
          <w:sz w:val="24"/>
          <w:szCs w:val="24"/>
        </w:rPr>
      </w:pPr>
      <w:r>
        <w:rPr>
          <w:rFonts w:hint="eastAsia" w:ascii="仿宋" w:hAnsi="仿宋" w:eastAsia="仿宋" w:cs="Times New Roman"/>
          <w:sz w:val="24"/>
          <w:szCs w:val="24"/>
        </w:rPr>
        <w:t>本次维保采购覆盖的清单如下：</w:t>
      </w:r>
    </w:p>
    <w:tbl>
      <w:tblPr>
        <w:tblStyle w:val="4"/>
        <w:tblW w:w="11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937"/>
        <w:gridCol w:w="712"/>
        <w:gridCol w:w="709"/>
        <w:gridCol w:w="6804"/>
        <w:gridCol w:w="1134"/>
      </w:tblGrid>
      <w:tr w14:paraId="4860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6" w:type="dxa"/>
            <w:vAlign w:val="center"/>
          </w:tcPr>
          <w:p w14:paraId="570B6280">
            <w:pPr>
              <w:spacing w:after="156" w:afterLines="50" w:line="360" w:lineRule="auto"/>
              <w:jc w:val="center"/>
              <w:rPr>
                <w:rFonts w:ascii="仿宋" w:hAnsi="仿宋" w:eastAsia="仿宋" w:cs="Times New Roman"/>
                <w:b/>
                <w:bCs/>
                <w:sz w:val="24"/>
                <w:szCs w:val="24"/>
              </w:rPr>
            </w:pPr>
            <w:r>
              <w:rPr>
                <w:rFonts w:hint="eastAsia" w:ascii="仿宋" w:hAnsi="仿宋" w:eastAsia="仿宋" w:cs="Times New Roman"/>
                <w:b/>
                <w:bCs/>
                <w:sz w:val="24"/>
                <w:szCs w:val="24"/>
              </w:rPr>
              <w:t>序号</w:t>
            </w:r>
          </w:p>
        </w:tc>
        <w:tc>
          <w:tcPr>
            <w:tcW w:w="937" w:type="dxa"/>
            <w:vAlign w:val="center"/>
          </w:tcPr>
          <w:p w14:paraId="3F458DBF">
            <w:pPr>
              <w:spacing w:after="156" w:afterLines="50" w:line="360" w:lineRule="auto"/>
              <w:jc w:val="center"/>
              <w:rPr>
                <w:rFonts w:ascii="仿宋" w:hAnsi="仿宋" w:eastAsia="仿宋" w:cs="Times New Roman"/>
                <w:b/>
                <w:bCs/>
                <w:sz w:val="24"/>
                <w:szCs w:val="24"/>
              </w:rPr>
            </w:pPr>
            <w:r>
              <w:rPr>
                <w:rFonts w:hint="eastAsia" w:ascii="仿宋" w:hAnsi="仿宋" w:eastAsia="仿宋" w:cs="Times New Roman"/>
                <w:b/>
                <w:bCs/>
                <w:sz w:val="24"/>
                <w:szCs w:val="24"/>
              </w:rPr>
              <w:t>名称</w:t>
            </w:r>
          </w:p>
        </w:tc>
        <w:tc>
          <w:tcPr>
            <w:tcW w:w="712" w:type="dxa"/>
            <w:vAlign w:val="center"/>
          </w:tcPr>
          <w:p w14:paraId="30271278">
            <w:pPr>
              <w:spacing w:after="156" w:afterLines="50" w:line="360" w:lineRule="auto"/>
              <w:jc w:val="center"/>
              <w:rPr>
                <w:rFonts w:ascii="仿宋" w:hAnsi="仿宋" w:eastAsia="仿宋" w:cs="Times New Roman"/>
                <w:b/>
                <w:bCs/>
                <w:sz w:val="24"/>
                <w:szCs w:val="24"/>
              </w:rPr>
            </w:pPr>
            <w:r>
              <w:rPr>
                <w:rFonts w:hint="eastAsia" w:ascii="仿宋" w:hAnsi="仿宋" w:eastAsia="仿宋" w:cs="Times New Roman"/>
                <w:b/>
                <w:bCs/>
                <w:sz w:val="24"/>
                <w:szCs w:val="24"/>
              </w:rPr>
              <w:t>数量</w:t>
            </w:r>
          </w:p>
        </w:tc>
        <w:tc>
          <w:tcPr>
            <w:tcW w:w="709" w:type="dxa"/>
            <w:vAlign w:val="center"/>
          </w:tcPr>
          <w:p w14:paraId="1842E2B4">
            <w:pPr>
              <w:spacing w:after="156" w:afterLines="50" w:line="360" w:lineRule="auto"/>
              <w:jc w:val="center"/>
              <w:rPr>
                <w:rFonts w:ascii="仿宋" w:hAnsi="仿宋" w:eastAsia="仿宋" w:cs="Times New Roman"/>
                <w:b/>
                <w:bCs/>
                <w:sz w:val="24"/>
                <w:szCs w:val="24"/>
              </w:rPr>
            </w:pPr>
            <w:r>
              <w:rPr>
                <w:rFonts w:hint="eastAsia" w:ascii="仿宋" w:hAnsi="仿宋" w:eastAsia="仿宋" w:cs="Times New Roman"/>
                <w:b/>
                <w:bCs/>
                <w:sz w:val="24"/>
                <w:szCs w:val="24"/>
              </w:rPr>
              <w:t>单位</w:t>
            </w:r>
          </w:p>
        </w:tc>
        <w:tc>
          <w:tcPr>
            <w:tcW w:w="6804" w:type="dxa"/>
            <w:vAlign w:val="center"/>
          </w:tcPr>
          <w:p w14:paraId="0115A827">
            <w:pPr>
              <w:spacing w:after="156" w:afterLines="50" w:line="360" w:lineRule="auto"/>
              <w:jc w:val="center"/>
              <w:rPr>
                <w:rFonts w:ascii="仿宋" w:hAnsi="仿宋" w:eastAsia="仿宋" w:cs="Times New Roman"/>
                <w:b/>
                <w:bCs/>
                <w:sz w:val="24"/>
                <w:szCs w:val="24"/>
              </w:rPr>
            </w:pPr>
            <w:r>
              <w:rPr>
                <w:rFonts w:hint="eastAsia" w:ascii="仿宋" w:hAnsi="仿宋" w:eastAsia="仿宋" w:cs="Times New Roman"/>
                <w:b/>
                <w:bCs/>
                <w:sz w:val="24"/>
                <w:szCs w:val="24"/>
              </w:rPr>
              <w:t>维保服务内容</w:t>
            </w:r>
          </w:p>
        </w:tc>
        <w:tc>
          <w:tcPr>
            <w:tcW w:w="1134" w:type="dxa"/>
            <w:vAlign w:val="center"/>
          </w:tcPr>
          <w:p w14:paraId="2C794E5F">
            <w:pPr>
              <w:spacing w:after="156" w:afterLines="50" w:line="360" w:lineRule="auto"/>
              <w:jc w:val="center"/>
              <w:rPr>
                <w:rFonts w:ascii="仿宋" w:hAnsi="仿宋" w:eastAsia="仿宋" w:cs="Times New Roman"/>
                <w:b/>
                <w:bCs/>
                <w:sz w:val="24"/>
                <w:szCs w:val="24"/>
              </w:rPr>
            </w:pPr>
            <w:r>
              <w:rPr>
                <w:rFonts w:hint="eastAsia" w:ascii="仿宋" w:hAnsi="仿宋" w:eastAsia="仿宋" w:cs="Times New Roman"/>
                <w:b/>
                <w:bCs/>
                <w:sz w:val="24"/>
                <w:szCs w:val="24"/>
              </w:rPr>
              <w:t>原维保到期日期</w:t>
            </w:r>
          </w:p>
        </w:tc>
      </w:tr>
      <w:tr w14:paraId="30BD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vAlign w:val="center"/>
          </w:tcPr>
          <w:p w14:paraId="0EAF036F">
            <w:pPr>
              <w:spacing w:after="156" w:afterLines="50" w:line="360" w:lineRule="auto"/>
              <w:jc w:val="center"/>
              <w:rPr>
                <w:rFonts w:ascii="仿宋" w:hAnsi="仿宋" w:eastAsia="仿宋" w:cs="Times New Roman"/>
                <w:sz w:val="24"/>
                <w:szCs w:val="24"/>
              </w:rPr>
            </w:pPr>
            <w:r>
              <w:rPr>
                <w:rFonts w:hint="eastAsia" w:ascii="仿宋" w:hAnsi="仿宋" w:eastAsia="仿宋" w:cs="Times New Roman"/>
                <w:sz w:val="24"/>
                <w:szCs w:val="24"/>
              </w:rPr>
              <w:t>1</w:t>
            </w:r>
          </w:p>
        </w:tc>
        <w:tc>
          <w:tcPr>
            <w:tcW w:w="937" w:type="dxa"/>
            <w:vAlign w:val="center"/>
          </w:tcPr>
          <w:p w14:paraId="79CE71EA">
            <w:pPr>
              <w:spacing w:after="156" w:afterLines="50" w:line="360" w:lineRule="auto"/>
              <w:rPr>
                <w:rFonts w:ascii="仿宋" w:hAnsi="仿宋" w:eastAsia="仿宋" w:cs="Times New Roman"/>
                <w:sz w:val="24"/>
                <w:szCs w:val="24"/>
              </w:rPr>
            </w:pPr>
            <w:r>
              <w:rPr>
                <w:rFonts w:hint="eastAsia" w:ascii="仿宋" w:hAnsi="仿宋" w:eastAsia="仿宋" w:cs="Times New Roman"/>
                <w:sz w:val="24"/>
                <w:szCs w:val="24"/>
              </w:rPr>
              <w:t>长亭雷池WAF系统维保服务</w:t>
            </w:r>
          </w:p>
        </w:tc>
        <w:tc>
          <w:tcPr>
            <w:tcW w:w="712" w:type="dxa"/>
            <w:vAlign w:val="center"/>
          </w:tcPr>
          <w:p w14:paraId="6BDCE217">
            <w:pPr>
              <w:spacing w:after="156" w:afterLines="50" w:line="360" w:lineRule="auto"/>
              <w:jc w:val="center"/>
              <w:rPr>
                <w:rFonts w:ascii="仿宋" w:hAnsi="仿宋" w:eastAsia="仿宋" w:cs="Times New Roman"/>
                <w:sz w:val="24"/>
                <w:szCs w:val="24"/>
              </w:rPr>
            </w:pPr>
            <w:r>
              <w:rPr>
                <w:rFonts w:hint="eastAsia" w:ascii="仿宋" w:hAnsi="仿宋" w:eastAsia="仿宋" w:cs="Times New Roman"/>
                <w:sz w:val="24"/>
                <w:szCs w:val="24"/>
              </w:rPr>
              <w:t>1</w:t>
            </w:r>
          </w:p>
        </w:tc>
        <w:tc>
          <w:tcPr>
            <w:tcW w:w="709" w:type="dxa"/>
            <w:vAlign w:val="center"/>
          </w:tcPr>
          <w:p w14:paraId="7ADC5A8F">
            <w:pPr>
              <w:spacing w:after="156" w:afterLines="50" w:line="360" w:lineRule="auto"/>
              <w:jc w:val="center"/>
              <w:rPr>
                <w:rFonts w:ascii="仿宋" w:hAnsi="仿宋" w:eastAsia="仿宋" w:cs="Times New Roman"/>
                <w:sz w:val="24"/>
                <w:szCs w:val="24"/>
              </w:rPr>
            </w:pPr>
            <w:r>
              <w:rPr>
                <w:rFonts w:hint="eastAsia" w:ascii="仿宋" w:hAnsi="仿宋" w:eastAsia="仿宋" w:cs="Times New Roman"/>
                <w:sz w:val="24"/>
                <w:szCs w:val="24"/>
              </w:rPr>
              <w:t>年</w:t>
            </w:r>
          </w:p>
        </w:tc>
        <w:tc>
          <w:tcPr>
            <w:tcW w:w="6804" w:type="dxa"/>
            <w:vAlign w:val="center"/>
          </w:tcPr>
          <w:tbl>
            <w:tblPr>
              <w:tblStyle w:val="10"/>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4851"/>
            </w:tblGrid>
            <w:tr w14:paraId="0D88AC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0" w:space="0"/>
                  </w:tcBorders>
                  <w:vAlign w:val="center"/>
                </w:tcPr>
                <w:p w14:paraId="64F1BF70">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WAF系统升级服务</w:t>
                  </w:r>
                </w:p>
              </w:tc>
              <w:tc>
                <w:tcPr>
                  <w:tcW w:w="4851" w:type="dxa"/>
                  <w:tcBorders>
                    <w:right w:val="single" w:color="auto" w:sz="4" w:space="0"/>
                  </w:tcBorders>
                  <w:vAlign w:val="center"/>
                </w:tcPr>
                <w:p w14:paraId="046D3AA7">
                  <w:pPr>
                    <w:pStyle w:val="9"/>
                    <w:numPr>
                      <w:ilvl w:val="0"/>
                      <w:numId w:val="1"/>
                    </w:numPr>
                    <w:spacing w:after="156" w:line="360" w:lineRule="auto"/>
                    <w:ind w:firstLineChars="0"/>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维保期内提供长亭雷池WAF软件系统的升级更新，享受同等功能的软件升级，确保业务系统始终处于最佳稳定状态，保障设备运行环境稳定连续。更新内容包括但不限于攻击检测引擎、日志服务引擎、流量转发引擎、数据服务引擎、平台服务引擎、系统版本。</w:t>
                  </w:r>
                </w:p>
                <w:p w14:paraId="6BF2BA3C">
                  <w:pPr>
                    <w:pStyle w:val="9"/>
                    <w:numPr>
                      <w:ilvl w:val="0"/>
                      <w:numId w:val="1"/>
                    </w:numPr>
                    <w:spacing w:after="156" w:line="360" w:lineRule="auto"/>
                    <w:ind w:firstLineChars="0"/>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维保期内提供升级更新通知、作业指导、升级变更操作保障等服务，帮助</w:t>
                  </w:r>
                  <w:r>
                    <w:rPr>
                      <w:rFonts w:hint="eastAsia" w:ascii="仿宋" w:hAnsi="仿宋" w:eastAsia="仿宋" w:cs="Times New Roman"/>
                      <w:bCs/>
                      <w:snapToGrid w:val="0"/>
                      <w:kern w:val="0"/>
                      <w:sz w:val="24"/>
                      <w:szCs w:val="24"/>
                      <w:lang w:eastAsia="zh-CN"/>
                    </w:rPr>
                    <w:t>招标人</w:t>
                  </w:r>
                  <w:r>
                    <w:rPr>
                      <w:rFonts w:hint="eastAsia" w:ascii="仿宋" w:hAnsi="仿宋" w:eastAsia="仿宋" w:cs="Times New Roman"/>
                      <w:bCs/>
                      <w:snapToGrid w:val="0"/>
                      <w:kern w:val="0"/>
                      <w:sz w:val="24"/>
                      <w:szCs w:val="24"/>
                    </w:rPr>
                    <w:t>快速、规范地完成产品升级变更。</w:t>
                  </w:r>
                </w:p>
                <w:p w14:paraId="253EE808">
                  <w:pPr>
                    <w:pStyle w:val="9"/>
                    <w:numPr>
                      <w:ilvl w:val="0"/>
                      <w:numId w:val="1"/>
                    </w:numPr>
                    <w:spacing w:after="156" w:line="360" w:lineRule="auto"/>
                    <w:ind w:firstLineChars="0"/>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无论是否在维保期内，</w:t>
                  </w:r>
                  <w:r>
                    <w:rPr>
                      <w:rFonts w:hint="eastAsia" w:ascii="仿宋" w:hAnsi="仿宋" w:eastAsia="仿宋" w:cs="Times New Roman"/>
                      <w:bCs/>
                      <w:snapToGrid w:val="0"/>
                      <w:kern w:val="0"/>
                      <w:sz w:val="24"/>
                      <w:szCs w:val="24"/>
                      <w:lang w:eastAsia="zh-CN"/>
                    </w:rPr>
                    <w:t>中标人</w:t>
                  </w:r>
                  <w:r>
                    <w:rPr>
                      <w:rFonts w:hint="eastAsia" w:ascii="仿宋" w:hAnsi="仿宋" w:eastAsia="仿宋" w:cs="Times New Roman"/>
                      <w:bCs/>
                      <w:snapToGrid w:val="0"/>
                      <w:kern w:val="0"/>
                      <w:sz w:val="24"/>
                      <w:szCs w:val="24"/>
                    </w:rPr>
                    <w:t>都应及时消除系统软件设计和实施上的缺陷。</w:t>
                  </w:r>
                </w:p>
              </w:tc>
            </w:tr>
            <w:tr w14:paraId="207873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4" w:space="0"/>
                  </w:tcBorders>
                  <w:vAlign w:val="center"/>
                </w:tcPr>
                <w:p w14:paraId="462A6DB1">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故障排除服务</w:t>
                  </w:r>
                </w:p>
              </w:tc>
              <w:tc>
                <w:tcPr>
                  <w:tcW w:w="4851" w:type="dxa"/>
                  <w:tcBorders>
                    <w:right w:val="single" w:color="auto" w:sz="4" w:space="0"/>
                  </w:tcBorders>
                  <w:vAlign w:val="center"/>
                </w:tcPr>
                <w:p w14:paraId="1C9B9BFD">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在WAF系统出现故障后，</w:t>
                  </w:r>
                  <w:r>
                    <w:rPr>
                      <w:rFonts w:hint="eastAsia" w:ascii="仿宋" w:hAnsi="仿宋" w:eastAsia="仿宋" w:cs="Times New Roman"/>
                      <w:bCs/>
                      <w:snapToGrid w:val="0"/>
                      <w:kern w:val="0"/>
                      <w:sz w:val="24"/>
                      <w:szCs w:val="24"/>
                      <w:lang w:eastAsia="zh-CN"/>
                    </w:rPr>
                    <w:t>中标人</w:t>
                  </w:r>
                  <w:r>
                    <w:rPr>
                      <w:rFonts w:hint="eastAsia" w:ascii="仿宋" w:hAnsi="仿宋" w:eastAsia="仿宋" w:cs="Times New Roman"/>
                      <w:bCs/>
                      <w:snapToGrid w:val="0"/>
                      <w:kern w:val="0"/>
                      <w:sz w:val="24"/>
                      <w:szCs w:val="24"/>
                    </w:rPr>
                    <w:t>工程师需在30分钟内响应，及时提供解决方案。对于影响重大，棘手的故障，由</w:t>
                  </w:r>
                  <w:r>
                    <w:rPr>
                      <w:rFonts w:hint="eastAsia" w:ascii="仿宋" w:hAnsi="仿宋" w:eastAsia="仿宋" w:cs="Times New Roman"/>
                      <w:bCs/>
                      <w:snapToGrid w:val="0"/>
                      <w:kern w:val="0"/>
                      <w:sz w:val="24"/>
                      <w:szCs w:val="24"/>
                      <w:lang w:eastAsia="zh-CN"/>
                    </w:rPr>
                    <w:t>中标人</w:t>
                  </w:r>
                  <w:r>
                    <w:rPr>
                      <w:rFonts w:hint="eastAsia" w:ascii="仿宋" w:hAnsi="仿宋" w:eastAsia="仿宋" w:cs="Times New Roman"/>
                      <w:bCs/>
                      <w:snapToGrid w:val="0"/>
                      <w:kern w:val="0"/>
                      <w:sz w:val="24"/>
                      <w:szCs w:val="24"/>
                    </w:rPr>
                    <w:t>资深工程师远程处理。如果必须由</w:t>
                  </w:r>
                  <w:r>
                    <w:rPr>
                      <w:rFonts w:hint="eastAsia" w:ascii="仿宋" w:hAnsi="仿宋" w:eastAsia="仿宋" w:cs="Times New Roman"/>
                      <w:bCs/>
                      <w:snapToGrid w:val="0"/>
                      <w:kern w:val="0"/>
                      <w:sz w:val="24"/>
                      <w:szCs w:val="24"/>
                      <w:lang w:eastAsia="zh-CN"/>
                    </w:rPr>
                    <w:t>中标人</w:t>
                  </w:r>
                  <w:r>
                    <w:rPr>
                      <w:rFonts w:hint="eastAsia" w:ascii="仿宋" w:hAnsi="仿宋" w:eastAsia="仿宋" w:cs="Times New Roman"/>
                      <w:bCs/>
                      <w:snapToGrid w:val="0"/>
                      <w:kern w:val="0"/>
                      <w:sz w:val="24"/>
                      <w:szCs w:val="24"/>
                    </w:rPr>
                    <w:t>进行现场故障处理才能恢复系统正常的，</w:t>
                  </w:r>
                  <w:r>
                    <w:rPr>
                      <w:rFonts w:hint="eastAsia" w:ascii="仿宋" w:hAnsi="仿宋" w:eastAsia="仿宋" w:cs="Times New Roman"/>
                      <w:bCs/>
                      <w:snapToGrid w:val="0"/>
                      <w:kern w:val="0"/>
                      <w:sz w:val="24"/>
                      <w:szCs w:val="24"/>
                      <w:lang w:eastAsia="zh-CN"/>
                    </w:rPr>
                    <w:t>中标人</w:t>
                  </w:r>
                  <w:r>
                    <w:rPr>
                      <w:rFonts w:hint="eastAsia" w:ascii="仿宋" w:hAnsi="仿宋" w:eastAsia="仿宋" w:cs="Times New Roman"/>
                      <w:bCs/>
                      <w:snapToGrid w:val="0"/>
                      <w:kern w:val="0"/>
                      <w:sz w:val="24"/>
                      <w:szCs w:val="24"/>
                    </w:rPr>
                    <w:t>须立即派遣项目技术人员用最快捷的交通工具前往现场。</w:t>
                  </w:r>
                </w:p>
                <w:p w14:paraId="22E64697">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一般故障在8小时内解决，严重故障和重大故障在12小时内解决，恢复系统正常。</w:t>
                  </w:r>
                </w:p>
                <w:p w14:paraId="0447052B">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在解决问题后，</w:t>
                  </w:r>
                  <w:r>
                    <w:rPr>
                      <w:rFonts w:hint="eastAsia" w:ascii="仿宋" w:hAnsi="仿宋" w:eastAsia="仿宋" w:cs="Times New Roman"/>
                      <w:bCs/>
                      <w:snapToGrid w:val="0"/>
                      <w:kern w:val="0"/>
                      <w:sz w:val="24"/>
                      <w:szCs w:val="24"/>
                      <w:lang w:eastAsia="zh-CN"/>
                    </w:rPr>
                    <w:t>中标人</w:t>
                  </w:r>
                  <w:r>
                    <w:rPr>
                      <w:rFonts w:hint="eastAsia" w:ascii="仿宋" w:hAnsi="仿宋" w:eastAsia="仿宋" w:cs="Times New Roman"/>
                      <w:bCs/>
                      <w:snapToGrid w:val="0"/>
                      <w:kern w:val="0"/>
                      <w:sz w:val="24"/>
                      <w:szCs w:val="24"/>
                    </w:rPr>
                    <w:t>应以书面方式详细说明导致故障的原由及解决问题时所要采取的措施。</w:t>
                  </w:r>
                </w:p>
              </w:tc>
            </w:tr>
            <w:tr w14:paraId="67FE61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4" w:space="0"/>
                  </w:tcBorders>
                  <w:vAlign w:val="center"/>
                </w:tcPr>
                <w:p w14:paraId="6D77B260">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巡检服务</w:t>
                  </w:r>
                </w:p>
              </w:tc>
              <w:tc>
                <w:tcPr>
                  <w:tcW w:w="4851" w:type="dxa"/>
                  <w:tcBorders>
                    <w:right w:val="single" w:color="auto" w:sz="4" w:space="0"/>
                  </w:tcBorders>
                  <w:vAlign w:val="center"/>
                </w:tcPr>
                <w:p w14:paraId="1BB89FA4">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提供巡检服务不少于4次/年。</w:t>
                  </w:r>
                </w:p>
              </w:tc>
            </w:tr>
            <w:tr w14:paraId="2DE1EE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4" w:space="0"/>
                  </w:tcBorders>
                  <w:vAlign w:val="center"/>
                </w:tcPr>
                <w:p w14:paraId="5DEFF8EC">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重要节日保障支撑服务</w:t>
                  </w:r>
                </w:p>
              </w:tc>
              <w:tc>
                <w:tcPr>
                  <w:tcW w:w="4851" w:type="dxa"/>
                  <w:tcBorders>
                    <w:right w:val="single" w:color="auto" w:sz="4" w:space="0"/>
                  </w:tcBorders>
                  <w:vAlign w:val="center"/>
                </w:tcPr>
                <w:p w14:paraId="29244EEC">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提供特殊时段（如：两会期间、春节、劳动节、国庆节、年终、系统停机维护及用户认为必须的重要时段）的专人远程技术保障。</w:t>
                  </w:r>
                </w:p>
              </w:tc>
            </w:tr>
          </w:tbl>
          <w:p w14:paraId="142AEB51">
            <w:pPr>
              <w:spacing w:after="156" w:line="360" w:lineRule="auto"/>
              <w:rPr>
                <w:rFonts w:ascii="仿宋" w:hAnsi="仿宋" w:eastAsia="仿宋" w:cs="Times New Roman"/>
                <w:bCs/>
                <w:snapToGrid w:val="0"/>
                <w:kern w:val="0"/>
                <w:sz w:val="24"/>
                <w:szCs w:val="24"/>
              </w:rPr>
            </w:pPr>
          </w:p>
        </w:tc>
        <w:tc>
          <w:tcPr>
            <w:tcW w:w="1134" w:type="dxa"/>
            <w:vAlign w:val="center"/>
          </w:tcPr>
          <w:p w14:paraId="6D1F1AF1">
            <w:pPr>
              <w:spacing w:after="156" w:line="360" w:lineRule="auto"/>
              <w:rPr>
                <w:rFonts w:ascii="仿宋" w:hAnsi="仿宋" w:eastAsia="仿宋" w:cs="Times New Roman"/>
                <w:bCs/>
                <w:snapToGrid w:val="0"/>
                <w:kern w:val="0"/>
                <w:sz w:val="24"/>
                <w:szCs w:val="24"/>
              </w:rPr>
            </w:pPr>
            <w:r>
              <w:rPr>
                <w:rFonts w:hint="eastAsia" w:ascii="仿宋" w:hAnsi="仿宋" w:eastAsia="仿宋" w:cs="Times New Roman"/>
                <w:bCs/>
                <w:snapToGrid w:val="0"/>
                <w:kern w:val="0"/>
                <w:sz w:val="24"/>
                <w:szCs w:val="24"/>
              </w:rPr>
              <w:t>2027年1月18日</w:t>
            </w:r>
          </w:p>
        </w:tc>
      </w:tr>
    </w:tbl>
    <w:p w14:paraId="4297E027">
      <w:pPr>
        <w:spacing w:after="156" w:afterLines="50" w:line="360" w:lineRule="auto"/>
        <w:rPr>
          <w:rFonts w:hint="eastAsia" w:ascii="仿宋" w:hAnsi="仿宋" w:eastAsia="仿宋" w:cs="Times New Roman"/>
          <w:sz w:val="24"/>
          <w:szCs w:val="24"/>
        </w:rPr>
      </w:pPr>
    </w:p>
    <w:p w14:paraId="36E3CB06">
      <w:pPr>
        <w:keepNext/>
        <w:keepLines/>
        <w:tabs>
          <w:tab w:val="left" w:pos="432"/>
        </w:tabs>
        <w:spacing w:before="156" w:beforeLines="50" w:after="156" w:afterLines="50" w:line="360" w:lineRule="auto"/>
        <w:ind w:left="431" w:hanging="431"/>
        <w:outlineLvl w:val="0"/>
        <w:rPr>
          <w:rFonts w:ascii="仿宋" w:hAnsi="仿宋" w:eastAsia="仿宋" w:cs="Times New Roman"/>
          <w:b/>
          <w:bCs/>
          <w:spacing w:val="20"/>
          <w:kern w:val="44"/>
          <w:sz w:val="24"/>
          <w:szCs w:val="24"/>
        </w:rPr>
      </w:pPr>
      <w:r>
        <w:rPr>
          <w:rFonts w:hint="eastAsia" w:ascii="仿宋" w:hAnsi="仿宋" w:eastAsia="仿宋" w:cs="Times New Roman"/>
          <w:b/>
          <w:bCs/>
          <w:spacing w:val="20"/>
          <w:kern w:val="44"/>
          <w:sz w:val="24"/>
          <w:szCs w:val="24"/>
          <w:lang w:val="en-US" w:eastAsia="zh-CN"/>
        </w:rPr>
        <w:t>四</w:t>
      </w:r>
      <w:bookmarkStart w:id="3" w:name="_GoBack"/>
      <w:bookmarkEnd w:id="3"/>
      <w:r>
        <w:rPr>
          <w:rFonts w:hint="eastAsia" w:ascii="仿宋" w:hAnsi="仿宋" w:eastAsia="仿宋" w:cs="Times New Roman"/>
          <w:b/>
          <w:bCs/>
          <w:spacing w:val="20"/>
          <w:kern w:val="44"/>
          <w:sz w:val="24"/>
          <w:szCs w:val="24"/>
        </w:rPr>
        <w:t>、付款方式</w:t>
      </w:r>
    </w:p>
    <w:p w14:paraId="4E0001ED">
      <w:pPr>
        <w:spacing w:after="156" w:line="360" w:lineRule="auto"/>
        <w:ind w:firstLine="420"/>
        <w:rPr>
          <w:rFonts w:ascii="仿宋" w:hAnsi="仿宋" w:eastAsia="仿宋"/>
          <w:sz w:val="24"/>
          <w:szCs w:val="24"/>
        </w:rPr>
      </w:pPr>
      <w:r>
        <w:rPr>
          <w:rFonts w:hint="eastAsia" w:ascii="仿宋" w:hAnsi="仿宋" w:eastAsia="仿宋"/>
          <w:sz w:val="24"/>
          <w:szCs w:val="24"/>
        </w:rPr>
        <w:t>按月/季度/年/指定周期，通过项目阶段验收或提供证明材料并根据考核评分结果，在完成该周期服务后，分期平均支付。</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1B1887"/>
    <w:multiLevelType w:val="multilevel"/>
    <w:tmpl w:val="771B188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EB"/>
    <w:rsid w:val="000C5167"/>
    <w:rsid w:val="000D75FC"/>
    <w:rsid w:val="00107AF1"/>
    <w:rsid w:val="00145DE6"/>
    <w:rsid w:val="0016702B"/>
    <w:rsid w:val="0025042C"/>
    <w:rsid w:val="002853AF"/>
    <w:rsid w:val="002A27EB"/>
    <w:rsid w:val="002C4E11"/>
    <w:rsid w:val="003D3EF8"/>
    <w:rsid w:val="005A4A0D"/>
    <w:rsid w:val="006C4A12"/>
    <w:rsid w:val="0084061A"/>
    <w:rsid w:val="0087489C"/>
    <w:rsid w:val="008944EB"/>
    <w:rsid w:val="008A702C"/>
    <w:rsid w:val="00A10008"/>
    <w:rsid w:val="00A22FE6"/>
    <w:rsid w:val="00C25E16"/>
    <w:rsid w:val="00F40CA4"/>
    <w:rsid w:val="00F80ACA"/>
    <w:rsid w:val="00FA3198"/>
    <w:rsid w:val="00FD53B7"/>
    <w:rsid w:val="1F6B7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autoRedefine/>
    <w:qFormat/>
    <w:uiPriority w:val="34"/>
    <w:pPr>
      <w:ind w:firstLine="420" w:firstLineChars="200"/>
    </w:pPr>
  </w:style>
  <w:style w:type="table" w:customStyle="1" w:styleId="10">
    <w:name w:val="网格型1"/>
    <w:basedOn w:val="4"/>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791</Words>
  <Characters>824</Characters>
  <Lines>6</Lines>
  <Paragraphs>1</Paragraphs>
  <TotalTime>68</TotalTime>
  <ScaleCrop>false</ScaleCrop>
  <LinksUpToDate>false</LinksUpToDate>
  <CharactersWithSpaces>825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2026-07-22T05:02:00Z</dcterms:created>
  <dc:creator>蔡志朋</dc:creator>
  <cp:lastModifiedBy>gc</cp:lastModifiedBy>
  <dcterms:modified xsi:type="dcterms:W3CDTF">2026-08-18T01:58:53Z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eyJoZGlkIjoiOWY3NzVhODk5MjBlMWY2OGFmMmY1M2E0MmM2ZTJkYjAiLCJ1c2VySWQiOiI2MjU5ODg1NTIifQ==</vt:lpwstr>
  </property>
  <property fmtid="{D5CDD505-2E9C-101B-9397-08002B2CF9AE}" pid="3" name="KSOProductBuildVer">
    <vt:lpwstr>2052-12.1.0.28022</vt:lpwstr>
  </property>
  <property fmtid="{D5CDD505-2E9C-101B-9397-08002B2CF9AE}" pid="4" name="ICV">
    <vt:lpwstr>6B0D7A478C54497E9E39A53691E016AE_12</vt:lpwstr>
  </property>
</Properties>
</file>