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59FD06">
      <w:pPr>
        <w:spacing w:after="209" w:afterLines="67"/>
        <w:rPr>
          <w:rFonts w:asciiTheme="minorEastAsia" w:hAnsiTheme="minorEastAsia" w:cstheme="minorEastAsia"/>
          <w:sz w:val="28"/>
          <w:szCs w:val="28"/>
        </w:rPr>
      </w:pPr>
      <w:r>
        <w:rPr>
          <w:rFonts w:hint="eastAsia" w:asciiTheme="minorEastAsia" w:hAnsiTheme="minorEastAsia" w:cstheme="minorEastAsia"/>
          <w:sz w:val="28"/>
          <w:szCs w:val="28"/>
        </w:rPr>
        <w:t>附件2</w:t>
      </w:r>
    </w:p>
    <w:p w14:paraId="2F559134">
      <w:pPr>
        <w:spacing w:after="209" w:afterLines="67"/>
        <w:jc w:val="center"/>
        <w:rPr>
          <w:rFonts w:asciiTheme="minorEastAsia" w:hAnsiTheme="minorEastAsia" w:cstheme="minorEastAsia"/>
          <w:b/>
          <w:bCs/>
          <w:sz w:val="28"/>
          <w:szCs w:val="28"/>
        </w:rPr>
      </w:pPr>
      <w:r>
        <w:rPr>
          <w:rFonts w:hint="eastAsia" w:asciiTheme="minorEastAsia" w:hAnsiTheme="minorEastAsia" w:cstheme="minorEastAsia"/>
          <w:b/>
          <w:bCs/>
          <w:sz w:val="28"/>
          <w:szCs w:val="28"/>
        </w:rPr>
        <w:t>广东南方新媒体股份有限公司</w:t>
      </w:r>
    </w:p>
    <w:p w14:paraId="018D56A1">
      <w:pPr>
        <w:spacing w:after="209" w:afterLines="67"/>
        <w:jc w:val="center"/>
        <w:rPr>
          <w:rFonts w:hint="eastAsia" w:asciiTheme="minorEastAsia" w:hAnsiTheme="minorEastAsia" w:eastAsiaTheme="minorEastAsia" w:cstheme="minorEastAsia"/>
          <w:b/>
          <w:bCs/>
          <w:sz w:val="28"/>
          <w:szCs w:val="28"/>
          <w:lang w:eastAsia="zh-CN"/>
        </w:rPr>
      </w:pPr>
      <w:r>
        <w:rPr>
          <w:rFonts w:hint="eastAsia" w:asciiTheme="minorEastAsia" w:hAnsiTheme="minorEastAsia" w:cstheme="minorEastAsia"/>
          <w:b/>
          <w:bCs/>
          <w:sz w:val="28"/>
          <w:szCs w:val="28"/>
          <w:lang w:eastAsia="zh-CN"/>
        </w:rPr>
        <w:t>2026年IPTV平台WAF系统维保项目</w:t>
      </w:r>
    </w:p>
    <w:p w14:paraId="01EE8317">
      <w:pPr>
        <w:spacing w:after="209" w:afterLines="67"/>
        <w:jc w:val="center"/>
        <w:rPr>
          <w:rFonts w:asciiTheme="minorEastAsia" w:hAnsiTheme="minorEastAsia" w:cstheme="minorEastAsia"/>
          <w:b/>
          <w:bCs/>
          <w:sz w:val="24"/>
          <w:szCs w:val="24"/>
        </w:rPr>
      </w:pPr>
      <w:r>
        <w:rPr>
          <w:rFonts w:hint="eastAsia" w:asciiTheme="minorEastAsia" w:hAnsiTheme="minorEastAsia" w:cstheme="minorEastAsia"/>
          <w:b/>
          <w:bCs/>
          <w:sz w:val="28"/>
          <w:szCs w:val="28"/>
        </w:rPr>
        <w:t>市场调研报价文件格式</w:t>
      </w:r>
    </w:p>
    <w:p w14:paraId="32F95B18">
      <w:pPr>
        <w:pStyle w:val="24"/>
        <w:numPr>
          <w:ilvl w:val="0"/>
          <w:numId w:val="2"/>
        </w:numPr>
        <w:spacing w:after="209" w:afterLines="67"/>
        <w:ind w:firstLineChars="0"/>
        <w:rPr>
          <w:rFonts w:asciiTheme="minorEastAsia" w:hAnsiTheme="minorEastAsia" w:cstheme="minorEastAsia"/>
          <w:b/>
          <w:bCs/>
          <w:sz w:val="24"/>
          <w:szCs w:val="24"/>
        </w:rPr>
      </w:pPr>
      <w:r>
        <w:rPr>
          <w:rFonts w:hint="eastAsia" w:asciiTheme="minorEastAsia" w:hAnsiTheme="minorEastAsia" w:cstheme="minorEastAsia"/>
          <w:b/>
          <w:bCs/>
          <w:sz w:val="24"/>
          <w:szCs w:val="24"/>
        </w:rPr>
        <w:t>供应商信息登记表</w:t>
      </w:r>
    </w:p>
    <w:tbl>
      <w:tblPr>
        <w:tblStyle w:val="14"/>
        <w:tblW w:w="54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339"/>
        <w:gridCol w:w="918"/>
        <w:gridCol w:w="2221"/>
        <w:gridCol w:w="1242"/>
        <w:gridCol w:w="2328"/>
      </w:tblGrid>
      <w:tr w14:paraId="25482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1293" w:type="pct"/>
            <w:vAlign w:val="center"/>
          </w:tcPr>
          <w:p w14:paraId="17E6B527">
            <w:pPr>
              <w:pStyle w:val="25"/>
              <w:kinsoku w:val="0"/>
              <w:overflowPunct w:val="0"/>
              <w:spacing w:line="400" w:lineRule="exact"/>
              <w:ind w:firstLine="0" w:firstLineChars="0"/>
              <w:jc w:val="center"/>
              <w:rPr>
                <w:rFonts w:hAnsi="宋体" w:cs="仿宋"/>
              </w:rPr>
            </w:pPr>
            <w:bookmarkStart w:id="0" w:name="_Hlk199424538"/>
            <w:r>
              <w:rPr>
                <w:rFonts w:hint="eastAsia" w:hAnsi="宋体" w:cs="仿宋"/>
              </w:rPr>
              <w:t>单位名称</w:t>
            </w:r>
          </w:p>
        </w:tc>
        <w:tc>
          <w:tcPr>
            <w:tcW w:w="3706" w:type="pct"/>
            <w:gridSpan w:val="4"/>
            <w:vAlign w:val="center"/>
          </w:tcPr>
          <w:p w14:paraId="2BD31150">
            <w:pPr>
              <w:tabs>
                <w:tab w:val="left" w:pos="202"/>
              </w:tabs>
              <w:spacing w:line="400" w:lineRule="exact"/>
              <w:jc w:val="center"/>
              <w:rPr>
                <w:rFonts w:ascii="宋体" w:hAnsi="宋体" w:eastAsia="宋体" w:cs="仿宋"/>
                <w:sz w:val="24"/>
                <w:szCs w:val="24"/>
              </w:rPr>
            </w:pPr>
          </w:p>
        </w:tc>
      </w:tr>
      <w:tr w14:paraId="6B108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1293" w:type="pct"/>
            <w:vAlign w:val="center"/>
          </w:tcPr>
          <w:p w14:paraId="1E2EEB31">
            <w:pPr>
              <w:pStyle w:val="25"/>
              <w:kinsoku w:val="0"/>
              <w:overflowPunct w:val="0"/>
              <w:spacing w:line="400" w:lineRule="exact"/>
              <w:ind w:firstLine="0" w:firstLineChars="0"/>
              <w:jc w:val="center"/>
              <w:rPr>
                <w:rFonts w:hAnsi="宋体" w:cs="仿宋"/>
              </w:rPr>
            </w:pPr>
            <w:r>
              <w:rPr>
                <w:rFonts w:hint="eastAsia" w:hAnsi="宋体" w:cs="仿宋"/>
              </w:rPr>
              <w:t>注册资金</w:t>
            </w:r>
          </w:p>
        </w:tc>
        <w:tc>
          <w:tcPr>
            <w:tcW w:w="1734" w:type="pct"/>
            <w:gridSpan w:val="2"/>
            <w:vAlign w:val="center"/>
          </w:tcPr>
          <w:p w14:paraId="6D5506BE">
            <w:pPr>
              <w:spacing w:line="400" w:lineRule="exact"/>
              <w:jc w:val="center"/>
              <w:rPr>
                <w:rFonts w:ascii="宋体" w:hAnsi="宋体" w:eastAsia="宋体" w:cs="仿宋"/>
                <w:sz w:val="24"/>
                <w:szCs w:val="24"/>
              </w:rPr>
            </w:pPr>
            <w:r>
              <w:rPr>
                <w:rFonts w:hint="eastAsia" w:ascii="宋体" w:hAnsi="宋体" w:eastAsia="宋体" w:cs="仿宋"/>
                <w:sz w:val="24"/>
                <w:szCs w:val="24"/>
              </w:rPr>
              <w:t>万元</w:t>
            </w:r>
          </w:p>
        </w:tc>
        <w:tc>
          <w:tcPr>
            <w:tcW w:w="686" w:type="pct"/>
            <w:vAlign w:val="center"/>
          </w:tcPr>
          <w:p w14:paraId="03D3F920">
            <w:pPr>
              <w:pStyle w:val="25"/>
              <w:kinsoku w:val="0"/>
              <w:overflowPunct w:val="0"/>
              <w:spacing w:line="400" w:lineRule="exact"/>
              <w:ind w:firstLine="0" w:firstLineChars="0"/>
              <w:jc w:val="center"/>
              <w:rPr>
                <w:rFonts w:hAnsi="宋体" w:cs="仿宋"/>
              </w:rPr>
            </w:pPr>
            <w:r>
              <w:rPr>
                <w:rFonts w:hint="eastAsia" w:hAnsi="宋体" w:cs="仿宋"/>
              </w:rPr>
              <w:t>成立时间</w:t>
            </w:r>
          </w:p>
        </w:tc>
        <w:tc>
          <w:tcPr>
            <w:tcW w:w="1285" w:type="pct"/>
            <w:vAlign w:val="center"/>
          </w:tcPr>
          <w:p w14:paraId="63F3B563">
            <w:pPr>
              <w:spacing w:line="400" w:lineRule="exact"/>
              <w:jc w:val="center"/>
              <w:rPr>
                <w:rFonts w:ascii="宋体" w:hAnsi="宋体" w:eastAsia="宋体" w:cs="仿宋"/>
                <w:sz w:val="24"/>
                <w:szCs w:val="24"/>
              </w:rPr>
            </w:pPr>
            <w:r>
              <w:rPr>
                <w:rFonts w:hint="eastAsia" w:ascii="宋体" w:hAnsi="宋体" w:eastAsia="宋体" w:cs="仿宋"/>
                <w:sz w:val="24"/>
                <w:szCs w:val="24"/>
              </w:rPr>
              <w:t>年</w:t>
            </w:r>
            <w:r>
              <w:rPr>
                <w:rFonts w:ascii="宋体" w:hAnsi="宋体" w:eastAsia="宋体" w:cs="仿宋"/>
                <w:sz w:val="24"/>
                <w:szCs w:val="24"/>
              </w:rPr>
              <w:t xml:space="preserve">   </w:t>
            </w:r>
            <w:r>
              <w:rPr>
                <w:rFonts w:hint="eastAsia" w:ascii="宋体" w:hAnsi="宋体" w:eastAsia="宋体" w:cs="仿宋"/>
                <w:sz w:val="24"/>
                <w:szCs w:val="24"/>
              </w:rPr>
              <w:t>月</w:t>
            </w:r>
            <w:r>
              <w:rPr>
                <w:rFonts w:ascii="宋体" w:hAnsi="宋体" w:eastAsia="宋体" w:cs="仿宋"/>
                <w:sz w:val="24"/>
                <w:szCs w:val="24"/>
              </w:rPr>
              <w:t xml:space="preserve">  </w:t>
            </w:r>
            <w:r>
              <w:rPr>
                <w:rFonts w:hint="eastAsia" w:ascii="宋体" w:hAnsi="宋体" w:eastAsia="宋体" w:cs="仿宋"/>
                <w:sz w:val="24"/>
                <w:szCs w:val="24"/>
              </w:rPr>
              <w:t>日</w:t>
            </w:r>
          </w:p>
        </w:tc>
      </w:tr>
      <w:tr w14:paraId="582FA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5" w:hRule="atLeast"/>
          <w:jc w:val="center"/>
        </w:trPr>
        <w:tc>
          <w:tcPr>
            <w:tcW w:w="1293" w:type="pct"/>
            <w:vAlign w:val="center"/>
          </w:tcPr>
          <w:p w14:paraId="0C447252">
            <w:pPr>
              <w:pStyle w:val="25"/>
              <w:kinsoku w:val="0"/>
              <w:overflowPunct w:val="0"/>
              <w:spacing w:line="400" w:lineRule="exact"/>
              <w:ind w:firstLine="0" w:firstLineChars="0"/>
              <w:jc w:val="center"/>
              <w:rPr>
                <w:rFonts w:hAnsi="宋体" w:cs="仿宋"/>
              </w:rPr>
            </w:pPr>
            <w:r>
              <w:rPr>
                <w:rFonts w:hint="eastAsia" w:hAnsi="宋体" w:cs="仿宋"/>
              </w:rPr>
              <w:t>注册地址</w:t>
            </w:r>
          </w:p>
        </w:tc>
        <w:tc>
          <w:tcPr>
            <w:tcW w:w="3706" w:type="pct"/>
            <w:gridSpan w:val="4"/>
            <w:vAlign w:val="center"/>
          </w:tcPr>
          <w:p w14:paraId="5068DF5D">
            <w:pPr>
              <w:spacing w:line="400" w:lineRule="exact"/>
              <w:rPr>
                <w:rFonts w:ascii="宋体" w:hAnsi="宋体" w:eastAsia="宋体" w:cs="仿宋"/>
                <w:sz w:val="24"/>
                <w:szCs w:val="24"/>
              </w:rPr>
            </w:pPr>
          </w:p>
        </w:tc>
      </w:tr>
      <w:tr w14:paraId="5D91F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1293" w:type="pct"/>
            <w:vAlign w:val="center"/>
          </w:tcPr>
          <w:p w14:paraId="7BF79289">
            <w:pPr>
              <w:pStyle w:val="25"/>
              <w:kinsoku w:val="0"/>
              <w:overflowPunct w:val="0"/>
              <w:spacing w:line="400" w:lineRule="exact"/>
              <w:ind w:firstLine="0" w:firstLineChars="0"/>
              <w:jc w:val="center"/>
              <w:rPr>
                <w:rFonts w:hAnsi="宋体" w:cs="仿宋"/>
              </w:rPr>
            </w:pPr>
            <w:r>
              <w:rPr>
                <w:rFonts w:hint="eastAsia" w:hAnsi="宋体" w:cs="仿宋"/>
              </w:rPr>
              <w:t>邮政编码</w:t>
            </w:r>
          </w:p>
        </w:tc>
        <w:tc>
          <w:tcPr>
            <w:tcW w:w="1734" w:type="pct"/>
            <w:gridSpan w:val="2"/>
            <w:vAlign w:val="center"/>
          </w:tcPr>
          <w:p w14:paraId="7F496F9B">
            <w:pPr>
              <w:spacing w:line="400" w:lineRule="exact"/>
              <w:jc w:val="center"/>
              <w:rPr>
                <w:rFonts w:ascii="宋体" w:hAnsi="宋体" w:eastAsia="宋体" w:cs="仿宋"/>
                <w:sz w:val="24"/>
                <w:szCs w:val="24"/>
              </w:rPr>
            </w:pPr>
          </w:p>
        </w:tc>
        <w:tc>
          <w:tcPr>
            <w:tcW w:w="686" w:type="pct"/>
            <w:vAlign w:val="center"/>
          </w:tcPr>
          <w:p w14:paraId="4A930767">
            <w:pPr>
              <w:pStyle w:val="25"/>
              <w:kinsoku w:val="0"/>
              <w:overflowPunct w:val="0"/>
              <w:spacing w:line="400" w:lineRule="exact"/>
              <w:ind w:firstLine="0" w:firstLineChars="0"/>
              <w:jc w:val="center"/>
              <w:rPr>
                <w:rFonts w:hAnsi="宋体" w:cs="仿宋"/>
              </w:rPr>
            </w:pPr>
            <w:r>
              <w:rPr>
                <w:rFonts w:hint="eastAsia" w:hAnsi="宋体" w:cs="仿宋"/>
              </w:rPr>
              <w:t>员工总数</w:t>
            </w:r>
          </w:p>
        </w:tc>
        <w:tc>
          <w:tcPr>
            <w:tcW w:w="1285" w:type="pct"/>
            <w:vAlign w:val="center"/>
          </w:tcPr>
          <w:p w14:paraId="7FFF9D48">
            <w:pPr>
              <w:spacing w:line="400" w:lineRule="exact"/>
              <w:jc w:val="center"/>
              <w:rPr>
                <w:rFonts w:ascii="宋体" w:hAnsi="宋体" w:eastAsia="宋体" w:cs="仿宋"/>
                <w:sz w:val="24"/>
                <w:szCs w:val="24"/>
              </w:rPr>
            </w:pPr>
          </w:p>
        </w:tc>
      </w:tr>
      <w:tr w14:paraId="43F93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jc w:val="center"/>
        </w:trPr>
        <w:tc>
          <w:tcPr>
            <w:tcW w:w="1293" w:type="pct"/>
            <w:vMerge w:val="restart"/>
            <w:vAlign w:val="center"/>
          </w:tcPr>
          <w:p w14:paraId="2C0C4717">
            <w:pPr>
              <w:pStyle w:val="25"/>
              <w:kinsoku w:val="0"/>
              <w:overflowPunct w:val="0"/>
              <w:spacing w:line="400" w:lineRule="exact"/>
              <w:ind w:firstLine="0" w:firstLineChars="0"/>
              <w:jc w:val="center"/>
              <w:rPr>
                <w:rFonts w:hAnsi="宋体" w:cs="仿宋"/>
              </w:rPr>
            </w:pPr>
            <w:r>
              <w:rPr>
                <w:rFonts w:hint="eastAsia" w:hAnsi="宋体" w:cs="仿宋"/>
              </w:rPr>
              <w:t>联系方式</w:t>
            </w:r>
          </w:p>
        </w:tc>
        <w:tc>
          <w:tcPr>
            <w:tcW w:w="507" w:type="pct"/>
            <w:vAlign w:val="center"/>
          </w:tcPr>
          <w:p w14:paraId="6FBD2BA7">
            <w:pPr>
              <w:pStyle w:val="25"/>
              <w:kinsoku w:val="0"/>
              <w:overflowPunct w:val="0"/>
              <w:spacing w:line="400" w:lineRule="exact"/>
              <w:ind w:firstLine="0" w:firstLineChars="0"/>
              <w:jc w:val="center"/>
              <w:rPr>
                <w:rFonts w:hAnsi="宋体" w:cs="仿宋"/>
              </w:rPr>
            </w:pPr>
            <w:r>
              <w:rPr>
                <w:rFonts w:hint="eastAsia" w:hAnsi="宋体" w:cs="仿宋"/>
              </w:rPr>
              <w:t>联系人</w:t>
            </w:r>
          </w:p>
        </w:tc>
        <w:tc>
          <w:tcPr>
            <w:tcW w:w="1227" w:type="pct"/>
            <w:vAlign w:val="center"/>
          </w:tcPr>
          <w:p w14:paraId="679EB01B">
            <w:pPr>
              <w:spacing w:line="400" w:lineRule="exact"/>
              <w:jc w:val="center"/>
              <w:rPr>
                <w:rFonts w:ascii="宋体" w:hAnsi="宋体" w:eastAsia="宋体" w:cs="仿宋"/>
                <w:sz w:val="24"/>
                <w:szCs w:val="24"/>
              </w:rPr>
            </w:pPr>
          </w:p>
        </w:tc>
        <w:tc>
          <w:tcPr>
            <w:tcW w:w="686" w:type="pct"/>
            <w:vAlign w:val="center"/>
          </w:tcPr>
          <w:p w14:paraId="7D3E93BE">
            <w:pPr>
              <w:pStyle w:val="25"/>
              <w:kinsoku w:val="0"/>
              <w:overflowPunct w:val="0"/>
              <w:spacing w:line="400" w:lineRule="exact"/>
              <w:ind w:firstLine="0" w:firstLineChars="0"/>
              <w:jc w:val="center"/>
              <w:rPr>
                <w:rFonts w:hAnsi="宋体" w:cs="仿宋"/>
              </w:rPr>
            </w:pPr>
            <w:r>
              <w:rPr>
                <w:rFonts w:hint="eastAsia" w:hAnsi="宋体" w:cs="仿宋"/>
              </w:rPr>
              <w:t>电话</w:t>
            </w:r>
          </w:p>
        </w:tc>
        <w:tc>
          <w:tcPr>
            <w:tcW w:w="1285" w:type="pct"/>
            <w:vAlign w:val="center"/>
          </w:tcPr>
          <w:p w14:paraId="3F81B197">
            <w:pPr>
              <w:spacing w:line="400" w:lineRule="exact"/>
              <w:jc w:val="center"/>
              <w:rPr>
                <w:rFonts w:ascii="宋体" w:hAnsi="宋体" w:eastAsia="宋体" w:cs="仿宋"/>
                <w:sz w:val="24"/>
                <w:szCs w:val="24"/>
              </w:rPr>
            </w:pPr>
          </w:p>
        </w:tc>
      </w:tr>
      <w:tr w14:paraId="69344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jc w:val="center"/>
        </w:trPr>
        <w:tc>
          <w:tcPr>
            <w:tcW w:w="1293" w:type="pct"/>
            <w:vMerge w:val="continue"/>
            <w:vAlign w:val="center"/>
          </w:tcPr>
          <w:p w14:paraId="4CAC2963">
            <w:pPr>
              <w:spacing w:line="400" w:lineRule="exact"/>
              <w:jc w:val="center"/>
              <w:rPr>
                <w:rFonts w:ascii="宋体" w:hAnsi="宋体" w:eastAsia="宋体" w:cs="仿宋"/>
                <w:sz w:val="24"/>
                <w:szCs w:val="24"/>
              </w:rPr>
            </w:pPr>
          </w:p>
        </w:tc>
        <w:tc>
          <w:tcPr>
            <w:tcW w:w="507" w:type="pct"/>
            <w:vAlign w:val="center"/>
          </w:tcPr>
          <w:p w14:paraId="04B4BED2">
            <w:pPr>
              <w:pStyle w:val="25"/>
              <w:kinsoku w:val="0"/>
              <w:overflowPunct w:val="0"/>
              <w:spacing w:line="400" w:lineRule="exact"/>
              <w:ind w:firstLine="0" w:firstLineChars="0"/>
              <w:jc w:val="center"/>
              <w:rPr>
                <w:rFonts w:hAnsi="宋体" w:cs="仿宋"/>
              </w:rPr>
            </w:pPr>
            <w:r>
              <w:rPr>
                <w:rFonts w:hint="eastAsia" w:hAnsi="宋体" w:cs="仿宋"/>
              </w:rPr>
              <w:t>网址</w:t>
            </w:r>
          </w:p>
        </w:tc>
        <w:tc>
          <w:tcPr>
            <w:tcW w:w="1227" w:type="pct"/>
            <w:vAlign w:val="center"/>
          </w:tcPr>
          <w:p w14:paraId="505D7D5C">
            <w:pPr>
              <w:spacing w:line="400" w:lineRule="exact"/>
              <w:jc w:val="center"/>
              <w:rPr>
                <w:rFonts w:ascii="宋体" w:hAnsi="宋体" w:eastAsia="宋体" w:cs="仿宋"/>
                <w:sz w:val="24"/>
                <w:szCs w:val="24"/>
              </w:rPr>
            </w:pPr>
          </w:p>
        </w:tc>
        <w:tc>
          <w:tcPr>
            <w:tcW w:w="686" w:type="pct"/>
            <w:vAlign w:val="center"/>
          </w:tcPr>
          <w:p w14:paraId="33BCCE35">
            <w:pPr>
              <w:pStyle w:val="25"/>
              <w:kinsoku w:val="0"/>
              <w:overflowPunct w:val="0"/>
              <w:spacing w:line="400" w:lineRule="exact"/>
              <w:ind w:firstLine="0" w:firstLineChars="0"/>
              <w:jc w:val="center"/>
              <w:rPr>
                <w:rFonts w:hAnsi="宋体" w:cs="仿宋"/>
              </w:rPr>
            </w:pPr>
            <w:r>
              <w:rPr>
                <w:rFonts w:hint="eastAsia" w:hAnsi="宋体" w:cs="仿宋"/>
              </w:rPr>
              <w:t>传真/邮箱</w:t>
            </w:r>
          </w:p>
        </w:tc>
        <w:tc>
          <w:tcPr>
            <w:tcW w:w="1285" w:type="pct"/>
            <w:vAlign w:val="center"/>
          </w:tcPr>
          <w:p w14:paraId="7F18E182">
            <w:pPr>
              <w:spacing w:line="400" w:lineRule="exact"/>
              <w:jc w:val="center"/>
              <w:rPr>
                <w:rFonts w:ascii="宋体" w:hAnsi="宋体" w:eastAsia="宋体" w:cs="仿宋"/>
                <w:sz w:val="24"/>
                <w:szCs w:val="24"/>
              </w:rPr>
            </w:pPr>
          </w:p>
        </w:tc>
      </w:tr>
      <w:tr w14:paraId="1FF0B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1293" w:type="pct"/>
            <w:vAlign w:val="center"/>
          </w:tcPr>
          <w:p w14:paraId="1E42E300">
            <w:pPr>
              <w:pStyle w:val="25"/>
              <w:kinsoku w:val="0"/>
              <w:overflowPunct w:val="0"/>
              <w:spacing w:line="400" w:lineRule="exact"/>
              <w:ind w:firstLine="0" w:firstLineChars="0"/>
              <w:jc w:val="center"/>
              <w:rPr>
                <w:rFonts w:hAnsi="宋体" w:cs="仿宋"/>
              </w:rPr>
            </w:pPr>
            <w:r>
              <w:rPr>
                <w:rFonts w:hint="eastAsia" w:hAnsi="宋体" w:cs="仿宋"/>
              </w:rPr>
              <w:t>法定代表人</w:t>
            </w:r>
          </w:p>
          <w:p w14:paraId="118104B6">
            <w:pPr>
              <w:pStyle w:val="25"/>
              <w:kinsoku w:val="0"/>
              <w:overflowPunct w:val="0"/>
              <w:spacing w:line="400" w:lineRule="exact"/>
              <w:ind w:firstLine="0" w:firstLineChars="0"/>
              <w:jc w:val="center"/>
              <w:rPr>
                <w:rFonts w:hAnsi="宋体" w:cs="仿宋"/>
              </w:rPr>
            </w:pPr>
            <w:r>
              <w:rPr>
                <w:rFonts w:hint="eastAsia" w:hAnsi="宋体" w:cs="仿宋"/>
              </w:rPr>
              <w:t>（单位负责人）</w:t>
            </w:r>
          </w:p>
        </w:tc>
        <w:tc>
          <w:tcPr>
            <w:tcW w:w="507" w:type="pct"/>
            <w:vAlign w:val="center"/>
          </w:tcPr>
          <w:p w14:paraId="50D83676">
            <w:pPr>
              <w:pStyle w:val="25"/>
              <w:kinsoku w:val="0"/>
              <w:overflowPunct w:val="0"/>
              <w:spacing w:line="400" w:lineRule="exact"/>
              <w:ind w:firstLine="0" w:firstLineChars="0"/>
              <w:jc w:val="center"/>
              <w:rPr>
                <w:rFonts w:hAnsi="宋体" w:cs="仿宋"/>
              </w:rPr>
            </w:pPr>
            <w:r>
              <w:rPr>
                <w:rFonts w:hint="eastAsia" w:hAnsi="宋体" w:cs="仿宋"/>
              </w:rPr>
              <w:t>姓名</w:t>
            </w:r>
          </w:p>
        </w:tc>
        <w:tc>
          <w:tcPr>
            <w:tcW w:w="1227" w:type="pct"/>
            <w:vAlign w:val="center"/>
          </w:tcPr>
          <w:p w14:paraId="7283A6C6">
            <w:pPr>
              <w:spacing w:line="400" w:lineRule="exact"/>
              <w:jc w:val="center"/>
              <w:rPr>
                <w:rFonts w:ascii="宋体" w:hAnsi="宋体" w:eastAsia="宋体" w:cs="仿宋"/>
                <w:sz w:val="24"/>
                <w:szCs w:val="24"/>
              </w:rPr>
            </w:pPr>
          </w:p>
        </w:tc>
        <w:tc>
          <w:tcPr>
            <w:tcW w:w="686" w:type="pct"/>
            <w:vAlign w:val="center"/>
          </w:tcPr>
          <w:p w14:paraId="7C9F82B5">
            <w:pPr>
              <w:pStyle w:val="25"/>
              <w:kinsoku w:val="0"/>
              <w:overflowPunct w:val="0"/>
              <w:spacing w:line="400" w:lineRule="exact"/>
              <w:ind w:firstLine="0" w:firstLineChars="0"/>
              <w:jc w:val="center"/>
              <w:rPr>
                <w:rFonts w:hAnsi="宋体" w:cs="仿宋"/>
              </w:rPr>
            </w:pPr>
            <w:r>
              <w:rPr>
                <w:rFonts w:hint="eastAsia" w:hAnsi="宋体" w:cs="仿宋"/>
              </w:rPr>
              <w:t>电话</w:t>
            </w:r>
          </w:p>
        </w:tc>
        <w:tc>
          <w:tcPr>
            <w:tcW w:w="1285" w:type="pct"/>
            <w:vAlign w:val="center"/>
          </w:tcPr>
          <w:p w14:paraId="36609747">
            <w:pPr>
              <w:tabs>
                <w:tab w:val="left" w:pos="1426"/>
              </w:tabs>
              <w:spacing w:line="400" w:lineRule="exact"/>
              <w:jc w:val="center"/>
              <w:rPr>
                <w:rFonts w:ascii="宋体" w:hAnsi="宋体" w:eastAsia="宋体" w:cs="仿宋"/>
                <w:sz w:val="24"/>
                <w:szCs w:val="24"/>
              </w:rPr>
            </w:pPr>
          </w:p>
        </w:tc>
      </w:tr>
      <w:tr w14:paraId="53B23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5" w:hRule="atLeast"/>
          <w:jc w:val="center"/>
        </w:trPr>
        <w:tc>
          <w:tcPr>
            <w:tcW w:w="1293" w:type="pct"/>
            <w:vAlign w:val="center"/>
          </w:tcPr>
          <w:p w14:paraId="669F6ED7">
            <w:pPr>
              <w:pStyle w:val="25"/>
              <w:kinsoku w:val="0"/>
              <w:overflowPunct w:val="0"/>
              <w:spacing w:line="400" w:lineRule="exact"/>
              <w:ind w:firstLine="0" w:firstLineChars="0"/>
              <w:jc w:val="center"/>
              <w:rPr>
                <w:rFonts w:hAnsi="宋体" w:cs="仿宋"/>
              </w:rPr>
            </w:pPr>
            <w:r>
              <w:rPr>
                <w:rFonts w:hint="eastAsia" w:hAnsi="宋体" w:cs="仿宋"/>
              </w:rPr>
              <w:t>与本项目采购需求相关的资质或者认证证书</w:t>
            </w:r>
          </w:p>
        </w:tc>
        <w:tc>
          <w:tcPr>
            <w:tcW w:w="3706" w:type="pct"/>
            <w:gridSpan w:val="4"/>
            <w:vAlign w:val="center"/>
          </w:tcPr>
          <w:p w14:paraId="093AE526">
            <w:pPr>
              <w:pStyle w:val="25"/>
              <w:kinsoku w:val="0"/>
              <w:overflowPunct w:val="0"/>
              <w:spacing w:line="400" w:lineRule="exact"/>
              <w:ind w:firstLine="0" w:firstLineChars="0"/>
              <w:rPr>
                <w:rFonts w:hAnsi="宋体" w:cs="仿宋"/>
              </w:rPr>
            </w:pPr>
            <w:r>
              <w:rPr>
                <w:rFonts w:hint="eastAsia" w:hAnsi="宋体" w:cs="仿宋"/>
              </w:rPr>
              <w:t>如有请罗列证书名称：</w:t>
            </w:r>
          </w:p>
        </w:tc>
      </w:tr>
      <w:tr w14:paraId="26F85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6" w:hRule="atLeast"/>
          <w:jc w:val="center"/>
        </w:trPr>
        <w:tc>
          <w:tcPr>
            <w:tcW w:w="1293" w:type="pct"/>
            <w:vAlign w:val="center"/>
          </w:tcPr>
          <w:p w14:paraId="215E4AF1">
            <w:pPr>
              <w:pStyle w:val="25"/>
              <w:kinsoku w:val="0"/>
              <w:overflowPunct w:val="0"/>
              <w:spacing w:line="400" w:lineRule="exact"/>
              <w:ind w:firstLine="0" w:firstLineChars="0"/>
              <w:jc w:val="center"/>
              <w:rPr>
                <w:rFonts w:hAnsi="宋体" w:cs="仿宋"/>
              </w:rPr>
            </w:pPr>
            <w:r>
              <w:rPr>
                <w:rFonts w:hint="eastAsia" w:hAnsi="宋体" w:cs="仿宋"/>
              </w:rPr>
              <w:t>人员情况</w:t>
            </w:r>
          </w:p>
        </w:tc>
        <w:tc>
          <w:tcPr>
            <w:tcW w:w="3706" w:type="pct"/>
            <w:gridSpan w:val="4"/>
            <w:vAlign w:val="center"/>
          </w:tcPr>
          <w:p w14:paraId="4D8F52A8">
            <w:pPr>
              <w:pStyle w:val="25"/>
              <w:kinsoku w:val="0"/>
              <w:overflowPunct w:val="0"/>
              <w:spacing w:line="400" w:lineRule="exact"/>
              <w:ind w:firstLine="0" w:firstLineChars="0"/>
              <w:rPr>
                <w:rFonts w:hAnsi="宋体" w:cs="仿宋"/>
              </w:rPr>
            </w:pPr>
            <w:r>
              <w:rPr>
                <w:rFonts w:hint="eastAsia" w:hAnsi="宋体" w:cs="仿宋"/>
              </w:rPr>
              <w:t>公司实有人员情况：</w:t>
            </w:r>
          </w:p>
          <w:p w14:paraId="46ECE9A8">
            <w:pPr>
              <w:pStyle w:val="25"/>
              <w:kinsoku w:val="0"/>
              <w:overflowPunct w:val="0"/>
              <w:spacing w:line="400" w:lineRule="exact"/>
              <w:ind w:firstLine="0" w:firstLineChars="0"/>
              <w:rPr>
                <w:rFonts w:hAnsi="宋体" w:cs="仿宋"/>
              </w:rPr>
            </w:pPr>
            <w:r>
              <w:rPr>
                <w:rFonts w:hint="eastAsia" w:hAnsi="宋体" w:cs="仿宋"/>
              </w:rPr>
              <w:t>广州地区人员情况：</w:t>
            </w:r>
          </w:p>
        </w:tc>
      </w:tr>
      <w:tr w14:paraId="0E9D7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5" w:hRule="atLeast"/>
          <w:jc w:val="center"/>
        </w:trPr>
        <w:tc>
          <w:tcPr>
            <w:tcW w:w="1293" w:type="pct"/>
            <w:vAlign w:val="center"/>
          </w:tcPr>
          <w:p w14:paraId="4B923A08">
            <w:pPr>
              <w:pStyle w:val="25"/>
              <w:kinsoku w:val="0"/>
              <w:overflowPunct w:val="0"/>
              <w:spacing w:line="440" w:lineRule="exact"/>
              <w:ind w:firstLine="0" w:firstLineChars="0"/>
              <w:jc w:val="center"/>
              <w:rPr>
                <w:rFonts w:hAnsi="宋体" w:cs="仿宋"/>
              </w:rPr>
            </w:pPr>
            <w:r>
              <w:rPr>
                <w:rFonts w:hint="eastAsia" w:hAnsi="宋体" w:cs="仿宋"/>
              </w:rPr>
              <w:t>备注</w:t>
            </w:r>
          </w:p>
        </w:tc>
        <w:tc>
          <w:tcPr>
            <w:tcW w:w="3706" w:type="pct"/>
            <w:gridSpan w:val="4"/>
            <w:vAlign w:val="center"/>
          </w:tcPr>
          <w:p w14:paraId="41343DBC">
            <w:pPr>
              <w:spacing w:line="440" w:lineRule="exact"/>
              <w:jc w:val="center"/>
              <w:rPr>
                <w:rFonts w:ascii="宋体" w:hAnsi="宋体" w:eastAsia="宋体" w:cs="仿宋"/>
                <w:sz w:val="24"/>
                <w:szCs w:val="24"/>
              </w:rPr>
            </w:pPr>
          </w:p>
        </w:tc>
      </w:tr>
      <w:bookmarkEnd w:id="0"/>
    </w:tbl>
    <w:p w14:paraId="35BB54BD">
      <w:pPr>
        <w:pStyle w:val="13"/>
        <w:ind w:firstLine="0" w:firstLineChars="0"/>
      </w:pPr>
    </w:p>
    <w:p w14:paraId="7DD39093">
      <w:pPr>
        <w:spacing w:after="209" w:afterLines="67"/>
        <w:rPr>
          <w:rFonts w:asciiTheme="minorEastAsia" w:hAnsiTheme="minorEastAsia" w:cstheme="minorEastAsia"/>
          <w:b/>
          <w:bCs/>
          <w:sz w:val="24"/>
          <w:szCs w:val="24"/>
        </w:rPr>
      </w:pPr>
      <w:r>
        <w:rPr>
          <w:rFonts w:hint="eastAsia" w:asciiTheme="minorEastAsia" w:hAnsiTheme="minorEastAsia" w:cstheme="minorEastAsia"/>
          <w:b/>
          <w:bCs/>
          <w:sz w:val="24"/>
          <w:szCs w:val="24"/>
        </w:rPr>
        <w:t>二、企业证明材料列表</w:t>
      </w:r>
    </w:p>
    <w:p w14:paraId="3DDD0C5A">
      <w:pPr>
        <w:spacing w:after="209" w:afterLines="67"/>
        <w:rPr>
          <w:rFonts w:asciiTheme="minorEastAsia" w:hAnsiTheme="minorEastAsia" w:cstheme="minorEastAsia"/>
          <w:sz w:val="24"/>
          <w:szCs w:val="24"/>
        </w:rPr>
      </w:pPr>
      <w:r>
        <w:rPr>
          <w:rFonts w:hint="eastAsia" w:asciiTheme="minorEastAsia" w:hAnsiTheme="minorEastAsia" w:cstheme="minorEastAsia"/>
          <w:sz w:val="24"/>
          <w:szCs w:val="24"/>
        </w:rPr>
        <w:t>1、营业执照（加盖公章）</w:t>
      </w:r>
    </w:p>
    <w:p w14:paraId="4AC6F279">
      <w:pPr>
        <w:spacing w:after="209" w:afterLines="67"/>
        <w:rPr>
          <w:rFonts w:asciiTheme="minorEastAsia" w:hAnsiTheme="minorEastAsia" w:cstheme="minorEastAsia"/>
          <w:sz w:val="24"/>
          <w:szCs w:val="24"/>
        </w:rPr>
      </w:pPr>
      <w:r>
        <w:rPr>
          <w:rFonts w:hint="eastAsia" w:asciiTheme="minorEastAsia" w:hAnsiTheme="minorEastAsia" w:cstheme="minorEastAsia"/>
          <w:sz w:val="24"/>
          <w:szCs w:val="24"/>
        </w:rPr>
        <w:t>2、法定代表人证明书和法定代表人授权委托书（加盖公章）</w:t>
      </w:r>
    </w:p>
    <w:p w14:paraId="75ECC987">
      <w:pPr>
        <w:spacing w:after="209" w:afterLines="67"/>
        <w:rPr>
          <w:rFonts w:asciiTheme="minorEastAsia" w:hAnsiTheme="minorEastAsia" w:cstheme="minorEastAsia"/>
          <w:sz w:val="24"/>
          <w:szCs w:val="24"/>
        </w:rPr>
      </w:pPr>
      <w:r>
        <w:rPr>
          <w:rFonts w:hint="eastAsia" w:asciiTheme="minorEastAsia" w:hAnsiTheme="minorEastAsia" w:cstheme="minorEastAsia"/>
          <w:sz w:val="24"/>
          <w:szCs w:val="24"/>
        </w:rPr>
        <w:t>3、其他（公司简介、近5年类似项目业绩、企业荣誉、团队人员等）</w:t>
      </w:r>
    </w:p>
    <w:p w14:paraId="15394885">
      <w:pPr>
        <w:spacing w:after="209" w:afterLines="67" w:line="360" w:lineRule="auto"/>
        <w:rPr>
          <w:rFonts w:asciiTheme="minorEastAsia" w:hAnsiTheme="minorEastAsia" w:cstheme="minorEastAsia"/>
          <w:sz w:val="24"/>
          <w:szCs w:val="24"/>
        </w:rPr>
        <w:sectPr>
          <w:footerReference r:id="rId3" w:type="default"/>
          <w:pgSz w:w="11906" w:h="16838"/>
          <w:pgMar w:top="1440" w:right="1800" w:bottom="1440" w:left="1800" w:header="851" w:footer="992" w:gutter="0"/>
          <w:cols w:space="425" w:num="1"/>
          <w:docGrid w:type="lines" w:linePitch="312" w:charSpace="0"/>
        </w:sectPr>
      </w:pPr>
      <w:r>
        <w:rPr>
          <w:rFonts w:hint="eastAsia" w:asciiTheme="minorEastAsia" w:hAnsiTheme="minorEastAsia" w:cstheme="minorEastAsia"/>
          <w:sz w:val="24"/>
          <w:szCs w:val="24"/>
        </w:rPr>
        <w:t>4、对项目采购需求的建议。</w:t>
      </w:r>
    </w:p>
    <w:p w14:paraId="4D684F63">
      <w:pPr>
        <w:spacing w:after="209" w:afterLines="67"/>
        <w:rPr>
          <w:rFonts w:asciiTheme="minorEastAsia" w:hAnsiTheme="minorEastAsia" w:cstheme="minorEastAsia"/>
          <w:b/>
          <w:bCs/>
          <w:sz w:val="24"/>
          <w:szCs w:val="24"/>
        </w:rPr>
      </w:pPr>
      <w:r>
        <w:rPr>
          <w:rFonts w:hint="eastAsia" w:asciiTheme="minorEastAsia" w:hAnsiTheme="minorEastAsia" w:cstheme="minorEastAsia"/>
          <w:b/>
          <w:bCs/>
          <w:sz w:val="24"/>
          <w:szCs w:val="24"/>
        </w:rPr>
        <w:t>三、需求响应情况（加盖公章）</w:t>
      </w:r>
    </w:p>
    <w:tbl>
      <w:tblPr>
        <w:tblStyle w:val="14"/>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
        <w:gridCol w:w="796"/>
        <w:gridCol w:w="10854"/>
        <w:gridCol w:w="1198"/>
        <w:gridCol w:w="802"/>
      </w:tblGrid>
      <w:tr w14:paraId="69783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81" w:type="pct"/>
            <w:vAlign w:val="center"/>
          </w:tcPr>
          <w:p w14:paraId="29410E2B">
            <w:pPr>
              <w:keepNext w:val="0"/>
              <w:keepLines w:val="0"/>
              <w:pageBreakBefore w:val="0"/>
              <w:widowControl w:val="0"/>
              <w:kinsoku/>
              <w:wordWrap/>
              <w:overflowPunct/>
              <w:topLinePunct w:val="0"/>
              <w:autoSpaceDE/>
              <w:autoSpaceDN/>
              <w:bidi w:val="0"/>
              <w:adjustRightInd/>
              <w:snapToGrid/>
              <w:spacing w:line="25" w:lineRule="atLeast"/>
              <w:jc w:val="center"/>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4112" w:type="pct"/>
            <w:gridSpan w:val="2"/>
            <w:vAlign w:val="center"/>
          </w:tcPr>
          <w:p w14:paraId="0382AF77">
            <w:pPr>
              <w:keepNext w:val="0"/>
              <w:keepLines w:val="0"/>
              <w:pageBreakBefore w:val="0"/>
              <w:widowControl w:val="0"/>
              <w:kinsoku/>
              <w:wordWrap/>
              <w:overflowPunct/>
              <w:topLinePunct w:val="0"/>
              <w:autoSpaceDE/>
              <w:autoSpaceDN/>
              <w:bidi w:val="0"/>
              <w:adjustRightInd/>
              <w:snapToGrid/>
              <w:spacing w:line="25" w:lineRule="atLeast"/>
              <w:jc w:val="center"/>
              <w:textAlignment w:val="auto"/>
              <w:rPr>
                <w:rFonts w:hint="eastAsia" w:ascii="宋体" w:hAnsi="宋体" w:eastAsia="宋体" w:cs="宋体"/>
                <w:sz w:val="24"/>
                <w:szCs w:val="24"/>
              </w:rPr>
            </w:pPr>
            <w:r>
              <w:rPr>
                <w:rFonts w:hint="eastAsia" w:ascii="宋体" w:hAnsi="宋体" w:eastAsia="宋体" w:cs="宋体"/>
                <w:sz w:val="24"/>
                <w:szCs w:val="24"/>
              </w:rPr>
              <w:t>需求条款</w:t>
            </w:r>
          </w:p>
        </w:tc>
        <w:tc>
          <w:tcPr>
            <w:tcW w:w="423" w:type="pct"/>
            <w:vAlign w:val="center"/>
          </w:tcPr>
          <w:p w14:paraId="3B8A6BD2">
            <w:pPr>
              <w:keepNext w:val="0"/>
              <w:keepLines w:val="0"/>
              <w:pageBreakBefore w:val="0"/>
              <w:widowControl w:val="0"/>
              <w:kinsoku/>
              <w:wordWrap/>
              <w:overflowPunct/>
              <w:topLinePunct w:val="0"/>
              <w:autoSpaceDE/>
              <w:autoSpaceDN/>
              <w:bidi w:val="0"/>
              <w:adjustRightInd/>
              <w:snapToGrid/>
              <w:spacing w:line="25" w:lineRule="atLeast"/>
              <w:jc w:val="center"/>
              <w:textAlignment w:val="auto"/>
              <w:rPr>
                <w:rFonts w:hint="eastAsia" w:ascii="宋体" w:hAnsi="宋体" w:eastAsia="宋体" w:cs="宋体"/>
                <w:sz w:val="24"/>
                <w:szCs w:val="24"/>
              </w:rPr>
            </w:pPr>
            <w:r>
              <w:rPr>
                <w:rFonts w:hint="eastAsia" w:ascii="宋体" w:hAnsi="宋体" w:eastAsia="宋体" w:cs="宋体"/>
                <w:sz w:val="24"/>
                <w:szCs w:val="24"/>
              </w:rPr>
              <w:t>响应情况（完全满足/部分满足/不满足）</w:t>
            </w:r>
          </w:p>
        </w:tc>
        <w:tc>
          <w:tcPr>
            <w:tcW w:w="283" w:type="pct"/>
            <w:vAlign w:val="center"/>
          </w:tcPr>
          <w:p w14:paraId="0977A369">
            <w:pPr>
              <w:keepNext w:val="0"/>
              <w:keepLines w:val="0"/>
              <w:pageBreakBefore w:val="0"/>
              <w:widowControl w:val="0"/>
              <w:kinsoku/>
              <w:wordWrap/>
              <w:overflowPunct/>
              <w:topLinePunct w:val="0"/>
              <w:autoSpaceDE/>
              <w:autoSpaceDN/>
              <w:bidi w:val="0"/>
              <w:adjustRightInd/>
              <w:snapToGrid/>
              <w:spacing w:line="25" w:lineRule="atLeast"/>
              <w:jc w:val="center"/>
              <w:textAlignment w:val="auto"/>
              <w:rPr>
                <w:rFonts w:hint="eastAsia" w:ascii="宋体" w:hAnsi="宋体" w:eastAsia="宋体" w:cs="宋体"/>
                <w:sz w:val="24"/>
                <w:szCs w:val="24"/>
              </w:rPr>
            </w:pPr>
            <w:r>
              <w:rPr>
                <w:rFonts w:hint="eastAsia" w:ascii="宋体" w:hAnsi="宋体" w:eastAsia="宋体" w:cs="宋体"/>
                <w:sz w:val="24"/>
                <w:szCs w:val="24"/>
              </w:rPr>
              <w:t>备注（描述偏离情况）</w:t>
            </w:r>
          </w:p>
        </w:tc>
      </w:tr>
      <w:tr w14:paraId="28EE5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81" w:type="pct"/>
            <w:shd w:val="clear" w:color="auto" w:fill="auto"/>
            <w:vAlign w:val="center"/>
          </w:tcPr>
          <w:p w14:paraId="0D17C45F">
            <w:pPr>
              <w:keepNext w:val="0"/>
              <w:keepLines w:val="0"/>
              <w:pageBreakBefore w:val="0"/>
              <w:widowControl w:val="0"/>
              <w:numPr>
                <w:ilvl w:val="0"/>
                <w:numId w:val="3"/>
              </w:numPr>
              <w:kinsoku/>
              <w:wordWrap/>
              <w:overflowPunct/>
              <w:topLinePunct w:val="0"/>
              <w:autoSpaceDE/>
              <w:autoSpaceDN/>
              <w:bidi w:val="0"/>
              <w:adjustRightInd/>
              <w:snapToGrid/>
              <w:spacing w:line="25" w:lineRule="atLeast"/>
              <w:jc w:val="center"/>
              <w:textAlignment w:val="auto"/>
              <w:rPr>
                <w:rFonts w:hint="eastAsia" w:ascii="宋体" w:hAnsi="宋体" w:eastAsia="宋体" w:cs="宋体"/>
                <w:sz w:val="24"/>
                <w:szCs w:val="24"/>
              </w:rPr>
            </w:pPr>
          </w:p>
        </w:tc>
        <w:tc>
          <w:tcPr>
            <w:tcW w:w="281" w:type="pct"/>
            <w:vAlign w:val="center"/>
          </w:tcPr>
          <w:p w14:paraId="562043BF">
            <w:pPr>
              <w:keepNext w:val="0"/>
              <w:keepLines w:val="0"/>
              <w:pageBreakBefore w:val="0"/>
              <w:widowControl w:val="0"/>
              <w:kinsoku/>
              <w:wordWrap/>
              <w:overflowPunct/>
              <w:topLinePunct w:val="0"/>
              <w:autoSpaceDE/>
              <w:autoSpaceDN/>
              <w:bidi w:val="0"/>
              <w:adjustRightInd/>
              <w:snapToGrid/>
              <w:spacing w:line="25" w:lineRule="atLeast"/>
              <w:jc w:val="left"/>
              <w:textAlignment w:val="auto"/>
              <w:rPr>
                <w:rFonts w:hint="eastAsia" w:ascii="宋体" w:hAnsi="宋体" w:eastAsia="宋体" w:cs="宋体"/>
                <w:sz w:val="24"/>
                <w:szCs w:val="24"/>
              </w:rPr>
            </w:pPr>
            <w:bookmarkStart w:id="1" w:name="_Toc227921671"/>
            <w:r>
              <w:rPr>
                <w:rFonts w:hint="eastAsia" w:ascii="宋体" w:hAnsi="宋体" w:eastAsia="宋体" w:cs="宋体"/>
                <w:sz w:val="24"/>
                <w:szCs w:val="24"/>
              </w:rPr>
              <w:t>一、项目背景</w:t>
            </w:r>
            <w:bookmarkEnd w:id="1"/>
          </w:p>
          <w:p w14:paraId="4A4690AB">
            <w:pPr>
              <w:keepNext w:val="0"/>
              <w:keepLines w:val="0"/>
              <w:pageBreakBefore w:val="0"/>
              <w:widowControl w:val="0"/>
              <w:kinsoku/>
              <w:wordWrap/>
              <w:overflowPunct/>
              <w:topLinePunct w:val="0"/>
              <w:autoSpaceDE/>
              <w:autoSpaceDN/>
              <w:bidi w:val="0"/>
              <w:adjustRightInd/>
              <w:snapToGrid/>
              <w:spacing w:line="25" w:lineRule="atLeast"/>
              <w:jc w:val="left"/>
              <w:textAlignment w:val="auto"/>
              <w:rPr>
                <w:rFonts w:hint="eastAsia" w:ascii="宋体" w:hAnsi="宋体" w:eastAsia="宋体" w:cs="宋体"/>
                <w:sz w:val="24"/>
                <w:szCs w:val="24"/>
              </w:rPr>
            </w:pPr>
          </w:p>
        </w:tc>
        <w:tc>
          <w:tcPr>
            <w:tcW w:w="3831" w:type="pct"/>
            <w:vAlign w:val="center"/>
          </w:tcPr>
          <w:p w14:paraId="4D160F58">
            <w:pPr>
              <w:keepNext w:val="0"/>
              <w:keepLines w:val="0"/>
              <w:pageBreakBefore w:val="0"/>
              <w:widowControl w:val="0"/>
              <w:kinsoku/>
              <w:wordWrap/>
              <w:overflowPunct/>
              <w:topLinePunct w:val="0"/>
              <w:autoSpaceDE/>
              <w:autoSpaceDN/>
              <w:bidi w:val="0"/>
              <w:adjustRightInd/>
              <w:snapToGrid/>
              <w:spacing w:line="25" w:lineRule="atLeast"/>
              <w:jc w:val="left"/>
              <w:textAlignment w:val="auto"/>
              <w:rPr>
                <w:rFonts w:hint="eastAsia" w:ascii="宋体" w:hAnsi="宋体" w:eastAsia="宋体" w:cs="宋体"/>
                <w:sz w:val="24"/>
                <w:szCs w:val="24"/>
              </w:rPr>
            </w:pPr>
            <w:r>
              <w:rPr>
                <w:rFonts w:hint="eastAsia" w:ascii="宋体" w:hAnsi="宋体" w:eastAsia="宋体" w:cs="宋体"/>
                <w:sz w:val="24"/>
                <w:szCs w:val="24"/>
              </w:rPr>
              <w:t>招标人于2022年采购了一套WAF系统，为保障WAF系统的正常运行和持续提供IPTV业务的安全防护，计划采购1年7*24小时维保服务。</w:t>
            </w:r>
          </w:p>
        </w:tc>
        <w:tc>
          <w:tcPr>
            <w:tcW w:w="423" w:type="pct"/>
            <w:vAlign w:val="center"/>
          </w:tcPr>
          <w:p w14:paraId="4B7CDA1F">
            <w:pPr>
              <w:keepNext w:val="0"/>
              <w:keepLines w:val="0"/>
              <w:pageBreakBefore w:val="0"/>
              <w:widowControl w:val="0"/>
              <w:kinsoku/>
              <w:wordWrap/>
              <w:overflowPunct/>
              <w:topLinePunct w:val="0"/>
              <w:autoSpaceDE/>
              <w:autoSpaceDN/>
              <w:bidi w:val="0"/>
              <w:adjustRightInd/>
              <w:snapToGrid/>
              <w:spacing w:line="25" w:lineRule="atLeast"/>
              <w:jc w:val="center"/>
              <w:textAlignment w:val="auto"/>
              <w:rPr>
                <w:rFonts w:hint="eastAsia" w:ascii="宋体" w:hAnsi="宋体" w:eastAsia="宋体" w:cs="宋体"/>
                <w:sz w:val="24"/>
                <w:szCs w:val="24"/>
              </w:rPr>
            </w:pPr>
          </w:p>
        </w:tc>
        <w:tc>
          <w:tcPr>
            <w:tcW w:w="283" w:type="pct"/>
            <w:vAlign w:val="center"/>
          </w:tcPr>
          <w:p w14:paraId="72D53045">
            <w:pPr>
              <w:keepNext w:val="0"/>
              <w:keepLines w:val="0"/>
              <w:pageBreakBefore w:val="0"/>
              <w:widowControl w:val="0"/>
              <w:kinsoku/>
              <w:wordWrap/>
              <w:overflowPunct/>
              <w:topLinePunct w:val="0"/>
              <w:autoSpaceDE/>
              <w:autoSpaceDN/>
              <w:bidi w:val="0"/>
              <w:adjustRightInd/>
              <w:snapToGrid/>
              <w:spacing w:line="25" w:lineRule="atLeast"/>
              <w:jc w:val="center"/>
              <w:textAlignment w:val="auto"/>
              <w:rPr>
                <w:rFonts w:hint="eastAsia" w:ascii="宋体" w:hAnsi="宋体" w:eastAsia="宋体" w:cs="宋体"/>
                <w:sz w:val="24"/>
                <w:szCs w:val="24"/>
              </w:rPr>
            </w:pPr>
          </w:p>
        </w:tc>
      </w:tr>
      <w:tr w14:paraId="7364C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81" w:type="pct"/>
            <w:vAlign w:val="center"/>
          </w:tcPr>
          <w:p w14:paraId="3D506C51">
            <w:pPr>
              <w:keepNext w:val="0"/>
              <w:keepLines w:val="0"/>
              <w:pageBreakBefore w:val="0"/>
              <w:widowControl w:val="0"/>
              <w:numPr>
                <w:ilvl w:val="0"/>
                <w:numId w:val="3"/>
              </w:numPr>
              <w:kinsoku/>
              <w:wordWrap/>
              <w:overflowPunct/>
              <w:topLinePunct w:val="0"/>
              <w:autoSpaceDE/>
              <w:autoSpaceDN/>
              <w:bidi w:val="0"/>
              <w:adjustRightInd/>
              <w:snapToGrid/>
              <w:spacing w:line="25" w:lineRule="atLeast"/>
              <w:jc w:val="center"/>
              <w:textAlignment w:val="auto"/>
              <w:rPr>
                <w:rFonts w:hint="eastAsia" w:ascii="宋体" w:hAnsi="宋体" w:eastAsia="宋体" w:cs="宋体"/>
                <w:sz w:val="24"/>
                <w:szCs w:val="24"/>
              </w:rPr>
            </w:pPr>
          </w:p>
        </w:tc>
        <w:tc>
          <w:tcPr>
            <w:tcW w:w="281" w:type="pct"/>
            <w:vAlign w:val="center"/>
          </w:tcPr>
          <w:p w14:paraId="71C05383">
            <w:pPr>
              <w:keepNext w:val="0"/>
              <w:keepLines w:val="0"/>
              <w:pageBreakBefore w:val="0"/>
              <w:widowControl w:val="0"/>
              <w:kinsoku/>
              <w:wordWrap/>
              <w:overflowPunct/>
              <w:topLinePunct w:val="0"/>
              <w:autoSpaceDE/>
              <w:autoSpaceDN/>
              <w:bidi w:val="0"/>
              <w:adjustRightInd/>
              <w:snapToGrid/>
              <w:spacing w:line="25" w:lineRule="atLeast"/>
              <w:jc w:val="left"/>
              <w:textAlignment w:val="auto"/>
              <w:rPr>
                <w:rFonts w:hint="eastAsia" w:ascii="宋体" w:hAnsi="宋体" w:eastAsia="宋体" w:cs="宋体"/>
                <w:sz w:val="24"/>
                <w:szCs w:val="24"/>
              </w:rPr>
            </w:pPr>
            <w:bookmarkStart w:id="2" w:name="_Toc92295849"/>
            <w:bookmarkStart w:id="3" w:name="_Toc231285895"/>
            <w:r>
              <w:rPr>
                <w:rFonts w:hint="eastAsia" w:ascii="宋体" w:hAnsi="宋体" w:eastAsia="宋体" w:cs="宋体"/>
                <w:sz w:val="24"/>
                <w:szCs w:val="24"/>
              </w:rPr>
              <w:t>二、</w:t>
            </w:r>
            <w:bookmarkEnd w:id="2"/>
            <w:bookmarkEnd w:id="3"/>
            <w:r>
              <w:rPr>
                <w:rFonts w:hint="eastAsia" w:ascii="宋体" w:hAnsi="宋体" w:eastAsia="宋体" w:cs="宋体"/>
                <w:sz w:val="24"/>
                <w:szCs w:val="24"/>
              </w:rPr>
              <w:t>服务时间</w:t>
            </w:r>
          </w:p>
        </w:tc>
        <w:tc>
          <w:tcPr>
            <w:tcW w:w="3831" w:type="pct"/>
            <w:vAlign w:val="center"/>
          </w:tcPr>
          <w:p w14:paraId="77BDE9E0">
            <w:pPr>
              <w:keepNext w:val="0"/>
              <w:keepLines w:val="0"/>
              <w:pageBreakBefore w:val="0"/>
              <w:widowControl w:val="0"/>
              <w:kinsoku/>
              <w:wordWrap/>
              <w:overflowPunct/>
              <w:topLinePunct w:val="0"/>
              <w:autoSpaceDE/>
              <w:autoSpaceDN/>
              <w:bidi w:val="0"/>
              <w:adjustRightInd/>
              <w:snapToGrid/>
              <w:spacing w:line="25" w:lineRule="atLeast"/>
              <w:ind w:firstLine="420" w:firstLineChars="200"/>
              <w:jc w:val="left"/>
              <w:textAlignment w:val="auto"/>
              <w:rPr>
                <w:rFonts w:hint="eastAsia" w:ascii="宋体" w:hAnsi="宋体" w:eastAsia="宋体" w:cs="宋体"/>
                <w:sz w:val="24"/>
                <w:szCs w:val="24"/>
              </w:rPr>
            </w:pPr>
            <w:r>
              <w:rPr>
                <w:rFonts w:hint="eastAsia"/>
              </w:rPr>
              <w:t>服务期：项目维保周期从签订合同起算1年，具体生效时间以WAF系统原维保实际到期日(实际到期日以“维保覆盖说明”表格中“原维保到期日期”为准)次日开始生效，如合同签订日期晚于WAF系统原维保实际到期日期，则以合同签订日期的次日作为WAF系统维保服务的起始日期。</w:t>
            </w:r>
          </w:p>
        </w:tc>
        <w:tc>
          <w:tcPr>
            <w:tcW w:w="423" w:type="pct"/>
            <w:vAlign w:val="center"/>
          </w:tcPr>
          <w:p w14:paraId="79C578B3">
            <w:pPr>
              <w:keepNext w:val="0"/>
              <w:keepLines w:val="0"/>
              <w:pageBreakBefore w:val="0"/>
              <w:widowControl w:val="0"/>
              <w:kinsoku/>
              <w:wordWrap/>
              <w:overflowPunct/>
              <w:topLinePunct w:val="0"/>
              <w:autoSpaceDE/>
              <w:autoSpaceDN/>
              <w:bidi w:val="0"/>
              <w:adjustRightInd/>
              <w:snapToGrid/>
              <w:spacing w:line="25" w:lineRule="atLeast"/>
              <w:jc w:val="center"/>
              <w:textAlignment w:val="auto"/>
              <w:rPr>
                <w:rFonts w:hint="eastAsia" w:ascii="宋体" w:hAnsi="宋体" w:eastAsia="宋体" w:cs="宋体"/>
                <w:sz w:val="24"/>
                <w:szCs w:val="24"/>
              </w:rPr>
            </w:pPr>
          </w:p>
        </w:tc>
        <w:tc>
          <w:tcPr>
            <w:tcW w:w="283" w:type="pct"/>
            <w:vAlign w:val="center"/>
          </w:tcPr>
          <w:p w14:paraId="258B7707">
            <w:pPr>
              <w:keepNext w:val="0"/>
              <w:keepLines w:val="0"/>
              <w:pageBreakBefore w:val="0"/>
              <w:widowControl w:val="0"/>
              <w:kinsoku/>
              <w:wordWrap/>
              <w:overflowPunct/>
              <w:topLinePunct w:val="0"/>
              <w:autoSpaceDE/>
              <w:autoSpaceDN/>
              <w:bidi w:val="0"/>
              <w:adjustRightInd/>
              <w:snapToGrid/>
              <w:spacing w:line="25" w:lineRule="atLeast"/>
              <w:jc w:val="center"/>
              <w:textAlignment w:val="auto"/>
              <w:rPr>
                <w:rFonts w:hint="eastAsia" w:ascii="宋体" w:hAnsi="宋体" w:eastAsia="宋体" w:cs="宋体"/>
                <w:sz w:val="24"/>
                <w:szCs w:val="24"/>
              </w:rPr>
            </w:pPr>
          </w:p>
        </w:tc>
      </w:tr>
      <w:tr w14:paraId="46569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81" w:type="pct"/>
            <w:vAlign w:val="center"/>
          </w:tcPr>
          <w:p w14:paraId="0C3326D0">
            <w:pPr>
              <w:keepNext w:val="0"/>
              <w:keepLines w:val="0"/>
              <w:pageBreakBefore w:val="0"/>
              <w:widowControl w:val="0"/>
              <w:numPr>
                <w:ilvl w:val="0"/>
                <w:numId w:val="3"/>
              </w:numPr>
              <w:kinsoku/>
              <w:wordWrap/>
              <w:overflowPunct/>
              <w:topLinePunct w:val="0"/>
              <w:autoSpaceDE/>
              <w:autoSpaceDN/>
              <w:bidi w:val="0"/>
              <w:adjustRightInd/>
              <w:snapToGrid/>
              <w:spacing w:line="25" w:lineRule="atLeast"/>
              <w:jc w:val="center"/>
              <w:textAlignment w:val="auto"/>
              <w:rPr>
                <w:rFonts w:hint="eastAsia" w:ascii="宋体" w:hAnsi="宋体" w:eastAsia="宋体" w:cs="宋体"/>
                <w:sz w:val="24"/>
                <w:szCs w:val="24"/>
              </w:rPr>
            </w:pPr>
          </w:p>
        </w:tc>
        <w:tc>
          <w:tcPr>
            <w:tcW w:w="281" w:type="pct"/>
            <w:vAlign w:val="center"/>
          </w:tcPr>
          <w:p w14:paraId="2DE49857">
            <w:pPr>
              <w:keepNext w:val="0"/>
              <w:keepLines w:val="0"/>
              <w:pageBreakBefore w:val="0"/>
              <w:widowControl w:val="0"/>
              <w:kinsoku/>
              <w:wordWrap/>
              <w:overflowPunct/>
              <w:topLinePunct w:val="0"/>
              <w:autoSpaceDE/>
              <w:autoSpaceDN/>
              <w:bidi w:val="0"/>
              <w:adjustRightInd/>
              <w:snapToGrid/>
              <w:spacing w:line="25" w:lineRule="atLeast"/>
              <w:jc w:val="left"/>
              <w:textAlignment w:val="auto"/>
              <w:rPr>
                <w:rFonts w:hint="eastAsia" w:ascii="宋体" w:hAnsi="宋体" w:eastAsia="宋体" w:cs="宋体"/>
                <w:sz w:val="24"/>
                <w:szCs w:val="24"/>
              </w:rPr>
            </w:pPr>
            <w:r>
              <w:rPr>
                <w:rFonts w:hint="eastAsia" w:ascii="宋体" w:hAnsi="宋体" w:eastAsia="宋体" w:cs="宋体"/>
                <w:sz w:val="24"/>
                <w:szCs w:val="24"/>
              </w:rPr>
              <w:t>三、维保覆盖说明</w:t>
            </w:r>
          </w:p>
        </w:tc>
        <w:tc>
          <w:tcPr>
            <w:tcW w:w="3831" w:type="pct"/>
            <w:vAlign w:val="center"/>
          </w:tcPr>
          <w:p w14:paraId="4D8AFB7F">
            <w:pPr>
              <w:keepNext w:val="0"/>
              <w:keepLines w:val="0"/>
              <w:pageBreakBefore w:val="0"/>
              <w:widowControl w:val="0"/>
              <w:kinsoku/>
              <w:wordWrap/>
              <w:overflowPunct/>
              <w:topLinePunct w:val="0"/>
              <w:autoSpaceDE/>
              <w:autoSpaceDN/>
              <w:bidi w:val="0"/>
              <w:adjustRightInd/>
              <w:snapToGrid/>
              <w:ind w:firstLine="420" w:firstLineChars="200"/>
              <w:textAlignment w:val="auto"/>
            </w:pPr>
            <w:r>
              <w:rPr>
                <w:rFonts w:hint="eastAsia"/>
              </w:rPr>
              <w:t>本次维保采购覆盖的清单如下：</w:t>
            </w:r>
          </w:p>
          <w:tbl>
            <w:tblPr>
              <w:tblStyle w:val="1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4"/>
              <w:gridCol w:w="899"/>
              <w:gridCol w:w="685"/>
              <w:gridCol w:w="681"/>
              <w:gridCol w:w="6546"/>
              <w:gridCol w:w="1089"/>
            </w:tblGrid>
            <w:tr w14:paraId="48603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341" w:type="pct"/>
                  <w:vAlign w:val="center"/>
                </w:tcPr>
                <w:p w14:paraId="570B6280">
                  <w:pPr>
                    <w:spacing w:after="156" w:afterLines="50"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序号</w:t>
                  </w:r>
                </w:p>
              </w:tc>
              <w:tc>
                <w:tcPr>
                  <w:tcW w:w="423" w:type="pct"/>
                  <w:vAlign w:val="center"/>
                </w:tcPr>
                <w:p w14:paraId="3F458DBF">
                  <w:pPr>
                    <w:spacing w:after="156" w:afterLines="50"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名称</w:t>
                  </w:r>
                </w:p>
              </w:tc>
              <w:tc>
                <w:tcPr>
                  <w:tcW w:w="322" w:type="pct"/>
                  <w:vAlign w:val="center"/>
                </w:tcPr>
                <w:p w14:paraId="30271278">
                  <w:pPr>
                    <w:spacing w:after="156" w:afterLines="50"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数量</w:t>
                  </w:r>
                </w:p>
              </w:tc>
              <w:tc>
                <w:tcPr>
                  <w:tcW w:w="320" w:type="pct"/>
                  <w:vAlign w:val="center"/>
                </w:tcPr>
                <w:p w14:paraId="1842E2B4">
                  <w:pPr>
                    <w:spacing w:after="156" w:afterLines="50"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单位</w:t>
                  </w:r>
                </w:p>
              </w:tc>
              <w:tc>
                <w:tcPr>
                  <w:tcW w:w="3078" w:type="pct"/>
                  <w:vAlign w:val="center"/>
                </w:tcPr>
                <w:p w14:paraId="0115A827">
                  <w:pPr>
                    <w:spacing w:after="156" w:afterLines="50"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维保服务内容</w:t>
                  </w:r>
                </w:p>
              </w:tc>
              <w:tc>
                <w:tcPr>
                  <w:tcW w:w="512" w:type="pct"/>
                  <w:vAlign w:val="center"/>
                </w:tcPr>
                <w:p w14:paraId="2C794E5F">
                  <w:pPr>
                    <w:spacing w:after="156" w:afterLines="50"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原维保到期日期</w:t>
                  </w:r>
                </w:p>
              </w:tc>
            </w:tr>
            <w:tr w14:paraId="30BDD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1" w:type="pct"/>
                  <w:vAlign w:val="center"/>
                </w:tcPr>
                <w:p w14:paraId="0EAF036F">
                  <w:pPr>
                    <w:spacing w:after="156" w:afterLines="50"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423" w:type="pct"/>
                  <w:vAlign w:val="center"/>
                </w:tcPr>
                <w:p w14:paraId="79CE71EA">
                  <w:pPr>
                    <w:spacing w:after="156" w:afterLines="50" w:line="360" w:lineRule="auto"/>
                    <w:rPr>
                      <w:rFonts w:hint="eastAsia" w:ascii="宋体" w:hAnsi="宋体" w:eastAsia="宋体" w:cs="宋体"/>
                      <w:sz w:val="21"/>
                      <w:szCs w:val="21"/>
                    </w:rPr>
                  </w:pPr>
                  <w:r>
                    <w:rPr>
                      <w:rFonts w:hint="eastAsia" w:ascii="宋体" w:hAnsi="宋体" w:eastAsia="宋体" w:cs="宋体"/>
                      <w:sz w:val="21"/>
                      <w:szCs w:val="21"/>
                    </w:rPr>
                    <w:t>长亭雷池WAF系统维保服务</w:t>
                  </w:r>
                </w:p>
              </w:tc>
              <w:tc>
                <w:tcPr>
                  <w:tcW w:w="322" w:type="pct"/>
                  <w:vAlign w:val="center"/>
                </w:tcPr>
                <w:p w14:paraId="6BDCE217">
                  <w:pPr>
                    <w:spacing w:after="156" w:afterLines="50"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320" w:type="pct"/>
                  <w:vAlign w:val="center"/>
                </w:tcPr>
                <w:p w14:paraId="7ADC5A8F">
                  <w:pPr>
                    <w:spacing w:after="156" w:afterLines="50" w:line="360" w:lineRule="auto"/>
                    <w:jc w:val="center"/>
                    <w:rPr>
                      <w:rFonts w:hint="eastAsia" w:ascii="宋体" w:hAnsi="宋体" w:eastAsia="宋体" w:cs="宋体"/>
                      <w:sz w:val="21"/>
                      <w:szCs w:val="21"/>
                    </w:rPr>
                  </w:pPr>
                  <w:r>
                    <w:rPr>
                      <w:rFonts w:hint="eastAsia" w:ascii="宋体" w:hAnsi="宋体" w:eastAsia="宋体" w:cs="宋体"/>
                      <w:sz w:val="21"/>
                      <w:szCs w:val="21"/>
                    </w:rPr>
                    <w:t>年</w:t>
                  </w:r>
                </w:p>
              </w:tc>
              <w:tc>
                <w:tcPr>
                  <w:tcW w:w="3078" w:type="pct"/>
                  <w:vAlign w:val="center"/>
                </w:tcPr>
                <w:tbl>
                  <w:tblPr>
                    <w:tblStyle w:val="26"/>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70"/>
                    <w:gridCol w:w="4660"/>
                  </w:tblGrid>
                  <w:tr w14:paraId="0D88AC8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27" w:type="dxa"/>
                        <w:tcBorders>
                          <w:left w:val="single" w:color="auto" w:sz="0" w:space="0"/>
                        </w:tcBorders>
                        <w:vAlign w:val="center"/>
                      </w:tcPr>
                      <w:p w14:paraId="64F1BF70">
                        <w:pPr>
                          <w:spacing w:after="156" w:line="360" w:lineRule="auto"/>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WAF系统升级服务</w:t>
                        </w:r>
                      </w:p>
                    </w:tc>
                    <w:tc>
                      <w:tcPr>
                        <w:tcW w:w="4851" w:type="dxa"/>
                        <w:tcBorders>
                          <w:right w:val="single" w:color="auto" w:sz="4" w:space="0"/>
                        </w:tcBorders>
                        <w:vAlign w:val="center"/>
                      </w:tcPr>
                      <w:p w14:paraId="046D3AA7">
                        <w:pPr>
                          <w:pStyle w:val="24"/>
                          <w:numPr>
                            <w:ilvl w:val="0"/>
                            <w:numId w:val="4"/>
                          </w:numPr>
                          <w:spacing w:after="156" w:line="360" w:lineRule="auto"/>
                          <w:ind w:firstLineChars="0"/>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维保期内提供长亭雷池WAF软件系统的升级更新，享受同等功能的软件升级，确保业务系统始终处于最佳稳定状态，保障设备运行环境稳定连续。更新内容包括但不限于攻击检测引擎、日志服务引擎、流量转发引擎、数据服务引擎、平台服务引擎、系统版本。</w:t>
                        </w:r>
                      </w:p>
                      <w:p w14:paraId="6BF2BA3C">
                        <w:pPr>
                          <w:pStyle w:val="24"/>
                          <w:numPr>
                            <w:ilvl w:val="0"/>
                            <w:numId w:val="4"/>
                          </w:numPr>
                          <w:spacing w:after="156" w:line="360" w:lineRule="auto"/>
                          <w:ind w:firstLineChars="0"/>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维保期内提供升级更新通知、作业指导、升级变更操作保障等服务，帮助</w:t>
                        </w:r>
                        <w:r>
                          <w:rPr>
                            <w:rFonts w:hint="eastAsia" w:ascii="宋体" w:hAnsi="宋体" w:eastAsia="宋体" w:cs="宋体"/>
                            <w:bCs/>
                            <w:snapToGrid w:val="0"/>
                            <w:kern w:val="0"/>
                            <w:sz w:val="21"/>
                            <w:szCs w:val="21"/>
                            <w:lang w:eastAsia="zh-CN"/>
                          </w:rPr>
                          <w:t>招标人</w:t>
                        </w:r>
                        <w:r>
                          <w:rPr>
                            <w:rFonts w:hint="eastAsia" w:ascii="宋体" w:hAnsi="宋体" w:eastAsia="宋体" w:cs="宋体"/>
                            <w:bCs/>
                            <w:snapToGrid w:val="0"/>
                            <w:kern w:val="0"/>
                            <w:sz w:val="21"/>
                            <w:szCs w:val="21"/>
                          </w:rPr>
                          <w:t>快速、规范地完成产品升级变更。</w:t>
                        </w:r>
                      </w:p>
                      <w:p w14:paraId="253EE808">
                        <w:pPr>
                          <w:pStyle w:val="24"/>
                          <w:numPr>
                            <w:ilvl w:val="0"/>
                            <w:numId w:val="4"/>
                          </w:numPr>
                          <w:spacing w:after="156" w:line="360" w:lineRule="auto"/>
                          <w:ind w:firstLineChars="0"/>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无论是否在维保期内，</w:t>
                        </w:r>
                        <w:r>
                          <w:rPr>
                            <w:rFonts w:hint="eastAsia" w:ascii="宋体" w:hAnsi="宋体" w:eastAsia="宋体" w:cs="宋体"/>
                            <w:bCs/>
                            <w:snapToGrid w:val="0"/>
                            <w:kern w:val="0"/>
                            <w:sz w:val="21"/>
                            <w:szCs w:val="21"/>
                            <w:lang w:eastAsia="zh-CN"/>
                          </w:rPr>
                          <w:t>中标人</w:t>
                        </w:r>
                        <w:r>
                          <w:rPr>
                            <w:rFonts w:hint="eastAsia" w:ascii="宋体" w:hAnsi="宋体" w:eastAsia="宋体" w:cs="宋体"/>
                            <w:bCs/>
                            <w:snapToGrid w:val="0"/>
                            <w:kern w:val="0"/>
                            <w:sz w:val="21"/>
                            <w:szCs w:val="21"/>
                          </w:rPr>
                          <w:t>都应及时消除系统软件设计和实施上的缺陷。</w:t>
                        </w:r>
                      </w:p>
                    </w:tc>
                  </w:tr>
                  <w:tr w14:paraId="207873D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27" w:type="dxa"/>
                        <w:tcBorders>
                          <w:left w:val="single" w:color="auto" w:sz="4" w:space="0"/>
                        </w:tcBorders>
                        <w:vAlign w:val="center"/>
                      </w:tcPr>
                      <w:p w14:paraId="462A6DB1">
                        <w:pPr>
                          <w:spacing w:after="156" w:line="360" w:lineRule="auto"/>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故障排除服务</w:t>
                        </w:r>
                      </w:p>
                    </w:tc>
                    <w:tc>
                      <w:tcPr>
                        <w:tcW w:w="4851" w:type="dxa"/>
                        <w:tcBorders>
                          <w:right w:val="single" w:color="auto" w:sz="4" w:space="0"/>
                        </w:tcBorders>
                        <w:vAlign w:val="center"/>
                      </w:tcPr>
                      <w:p w14:paraId="1C9B9BFD">
                        <w:pPr>
                          <w:spacing w:after="156" w:line="360" w:lineRule="auto"/>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在WAF系统出现故障后，</w:t>
                        </w:r>
                        <w:r>
                          <w:rPr>
                            <w:rFonts w:hint="eastAsia" w:ascii="宋体" w:hAnsi="宋体" w:eastAsia="宋体" w:cs="宋体"/>
                            <w:bCs/>
                            <w:snapToGrid w:val="0"/>
                            <w:kern w:val="0"/>
                            <w:sz w:val="21"/>
                            <w:szCs w:val="21"/>
                            <w:lang w:eastAsia="zh-CN"/>
                          </w:rPr>
                          <w:t>中标人</w:t>
                        </w:r>
                        <w:r>
                          <w:rPr>
                            <w:rFonts w:hint="eastAsia" w:ascii="宋体" w:hAnsi="宋体" w:eastAsia="宋体" w:cs="宋体"/>
                            <w:bCs/>
                            <w:snapToGrid w:val="0"/>
                            <w:kern w:val="0"/>
                            <w:sz w:val="21"/>
                            <w:szCs w:val="21"/>
                          </w:rPr>
                          <w:t>工程师需在30分钟内响应，及时提供解决方案。对于影响重大，棘手的故障，由</w:t>
                        </w:r>
                        <w:r>
                          <w:rPr>
                            <w:rFonts w:hint="eastAsia" w:ascii="宋体" w:hAnsi="宋体" w:eastAsia="宋体" w:cs="宋体"/>
                            <w:bCs/>
                            <w:snapToGrid w:val="0"/>
                            <w:kern w:val="0"/>
                            <w:sz w:val="21"/>
                            <w:szCs w:val="21"/>
                            <w:lang w:eastAsia="zh-CN"/>
                          </w:rPr>
                          <w:t>中标人</w:t>
                        </w:r>
                        <w:r>
                          <w:rPr>
                            <w:rFonts w:hint="eastAsia" w:ascii="宋体" w:hAnsi="宋体" w:eastAsia="宋体" w:cs="宋体"/>
                            <w:bCs/>
                            <w:snapToGrid w:val="0"/>
                            <w:kern w:val="0"/>
                            <w:sz w:val="21"/>
                            <w:szCs w:val="21"/>
                          </w:rPr>
                          <w:t>资深工程师远程处理。如果必须由</w:t>
                        </w:r>
                        <w:r>
                          <w:rPr>
                            <w:rFonts w:hint="eastAsia" w:ascii="宋体" w:hAnsi="宋体" w:eastAsia="宋体" w:cs="宋体"/>
                            <w:bCs/>
                            <w:snapToGrid w:val="0"/>
                            <w:kern w:val="0"/>
                            <w:sz w:val="21"/>
                            <w:szCs w:val="21"/>
                            <w:lang w:eastAsia="zh-CN"/>
                          </w:rPr>
                          <w:t>中标人</w:t>
                        </w:r>
                        <w:r>
                          <w:rPr>
                            <w:rFonts w:hint="eastAsia" w:ascii="宋体" w:hAnsi="宋体" w:eastAsia="宋体" w:cs="宋体"/>
                            <w:bCs/>
                            <w:snapToGrid w:val="0"/>
                            <w:kern w:val="0"/>
                            <w:sz w:val="21"/>
                            <w:szCs w:val="21"/>
                          </w:rPr>
                          <w:t>进行现场故障处理才能恢复系统正常的，</w:t>
                        </w:r>
                        <w:r>
                          <w:rPr>
                            <w:rFonts w:hint="eastAsia" w:ascii="宋体" w:hAnsi="宋体" w:eastAsia="宋体" w:cs="宋体"/>
                            <w:bCs/>
                            <w:snapToGrid w:val="0"/>
                            <w:kern w:val="0"/>
                            <w:sz w:val="21"/>
                            <w:szCs w:val="21"/>
                            <w:lang w:eastAsia="zh-CN"/>
                          </w:rPr>
                          <w:t>中标人</w:t>
                        </w:r>
                        <w:r>
                          <w:rPr>
                            <w:rFonts w:hint="eastAsia" w:ascii="宋体" w:hAnsi="宋体" w:eastAsia="宋体" w:cs="宋体"/>
                            <w:bCs/>
                            <w:snapToGrid w:val="0"/>
                            <w:kern w:val="0"/>
                            <w:sz w:val="21"/>
                            <w:szCs w:val="21"/>
                          </w:rPr>
                          <w:t>须立即派遣项目技术人员用最快捷的交通工具前往现场。</w:t>
                        </w:r>
                      </w:p>
                      <w:p w14:paraId="22E64697">
                        <w:pPr>
                          <w:spacing w:after="156" w:line="360" w:lineRule="auto"/>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一般故障在8小时内解决，严重故障和重大故障在12小时内解决，恢复系统正常。</w:t>
                        </w:r>
                      </w:p>
                      <w:p w14:paraId="0447052B">
                        <w:pPr>
                          <w:spacing w:after="156" w:line="360" w:lineRule="auto"/>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在解决问题后，</w:t>
                        </w:r>
                        <w:r>
                          <w:rPr>
                            <w:rFonts w:hint="eastAsia" w:ascii="宋体" w:hAnsi="宋体" w:eastAsia="宋体" w:cs="宋体"/>
                            <w:bCs/>
                            <w:snapToGrid w:val="0"/>
                            <w:kern w:val="0"/>
                            <w:sz w:val="21"/>
                            <w:szCs w:val="21"/>
                            <w:lang w:eastAsia="zh-CN"/>
                          </w:rPr>
                          <w:t>中标人</w:t>
                        </w:r>
                        <w:r>
                          <w:rPr>
                            <w:rFonts w:hint="eastAsia" w:ascii="宋体" w:hAnsi="宋体" w:eastAsia="宋体" w:cs="宋体"/>
                            <w:bCs/>
                            <w:snapToGrid w:val="0"/>
                            <w:kern w:val="0"/>
                            <w:sz w:val="21"/>
                            <w:szCs w:val="21"/>
                          </w:rPr>
                          <w:t>应以书面方式详细说明导致故障的原由及解决问题时所要采取的措施。</w:t>
                        </w:r>
                      </w:p>
                    </w:tc>
                  </w:tr>
                  <w:tr w14:paraId="67FE610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27" w:type="dxa"/>
                        <w:tcBorders>
                          <w:left w:val="single" w:color="auto" w:sz="4" w:space="0"/>
                        </w:tcBorders>
                        <w:vAlign w:val="center"/>
                      </w:tcPr>
                      <w:p w14:paraId="6D77B260">
                        <w:pPr>
                          <w:spacing w:after="156" w:line="360" w:lineRule="auto"/>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巡检服务</w:t>
                        </w:r>
                      </w:p>
                    </w:tc>
                    <w:tc>
                      <w:tcPr>
                        <w:tcW w:w="4851" w:type="dxa"/>
                        <w:tcBorders>
                          <w:right w:val="single" w:color="auto" w:sz="4" w:space="0"/>
                        </w:tcBorders>
                        <w:vAlign w:val="center"/>
                      </w:tcPr>
                      <w:p w14:paraId="1BB89FA4">
                        <w:pPr>
                          <w:spacing w:after="156" w:line="360" w:lineRule="auto"/>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提供巡检服务不少于4次/年。</w:t>
                        </w:r>
                      </w:p>
                    </w:tc>
                  </w:tr>
                  <w:tr w14:paraId="2DE1EEC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727" w:type="dxa"/>
                        <w:tcBorders>
                          <w:left w:val="single" w:color="auto" w:sz="4" w:space="0"/>
                        </w:tcBorders>
                        <w:vAlign w:val="center"/>
                      </w:tcPr>
                      <w:p w14:paraId="5DEFF8EC">
                        <w:pPr>
                          <w:spacing w:after="156" w:line="360" w:lineRule="auto"/>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重要节日保障支撑服务</w:t>
                        </w:r>
                      </w:p>
                    </w:tc>
                    <w:tc>
                      <w:tcPr>
                        <w:tcW w:w="4851" w:type="dxa"/>
                        <w:tcBorders>
                          <w:right w:val="single" w:color="auto" w:sz="4" w:space="0"/>
                        </w:tcBorders>
                        <w:vAlign w:val="center"/>
                      </w:tcPr>
                      <w:p w14:paraId="29244EEC">
                        <w:pPr>
                          <w:spacing w:after="156" w:line="360" w:lineRule="auto"/>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提供特殊时段（如：两会期间、春节、劳动节、国庆节、年终、系统停机维护及用户认为必须的重要时段）的专人远程技术保障。</w:t>
                        </w:r>
                      </w:p>
                    </w:tc>
                  </w:tr>
                </w:tbl>
                <w:p w14:paraId="142AEB51">
                  <w:pPr>
                    <w:spacing w:after="156" w:line="360" w:lineRule="auto"/>
                    <w:rPr>
                      <w:rFonts w:hint="eastAsia" w:ascii="宋体" w:hAnsi="宋体" w:eastAsia="宋体" w:cs="宋体"/>
                      <w:bCs/>
                      <w:snapToGrid w:val="0"/>
                      <w:kern w:val="0"/>
                      <w:sz w:val="21"/>
                      <w:szCs w:val="21"/>
                    </w:rPr>
                  </w:pPr>
                </w:p>
              </w:tc>
              <w:tc>
                <w:tcPr>
                  <w:tcW w:w="512" w:type="pct"/>
                  <w:vAlign w:val="center"/>
                </w:tcPr>
                <w:p w14:paraId="6D1F1AF1">
                  <w:pPr>
                    <w:spacing w:after="156" w:line="360" w:lineRule="auto"/>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2027年1月18日</w:t>
                  </w:r>
                </w:p>
              </w:tc>
            </w:tr>
          </w:tbl>
          <w:p w14:paraId="061A4DB3">
            <w:pPr>
              <w:keepNext w:val="0"/>
              <w:keepLines w:val="0"/>
              <w:pageBreakBefore w:val="0"/>
              <w:widowControl w:val="0"/>
              <w:kinsoku/>
              <w:wordWrap/>
              <w:overflowPunct/>
              <w:topLinePunct w:val="0"/>
              <w:autoSpaceDE/>
              <w:autoSpaceDN/>
              <w:bidi w:val="0"/>
              <w:adjustRightInd/>
              <w:snapToGrid/>
              <w:spacing w:after="156" w:line="25" w:lineRule="atLeast"/>
              <w:ind w:firstLine="420"/>
              <w:textAlignment w:val="auto"/>
              <w:rPr>
                <w:rFonts w:hint="eastAsia" w:ascii="宋体" w:hAnsi="宋体" w:eastAsia="宋体" w:cs="宋体"/>
                <w:sz w:val="24"/>
                <w:szCs w:val="24"/>
              </w:rPr>
            </w:pPr>
          </w:p>
        </w:tc>
        <w:tc>
          <w:tcPr>
            <w:tcW w:w="423" w:type="pct"/>
            <w:vAlign w:val="center"/>
          </w:tcPr>
          <w:p w14:paraId="746626AB">
            <w:pPr>
              <w:keepNext w:val="0"/>
              <w:keepLines w:val="0"/>
              <w:pageBreakBefore w:val="0"/>
              <w:widowControl w:val="0"/>
              <w:kinsoku/>
              <w:wordWrap/>
              <w:overflowPunct/>
              <w:topLinePunct w:val="0"/>
              <w:autoSpaceDE/>
              <w:autoSpaceDN/>
              <w:bidi w:val="0"/>
              <w:adjustRightInd/>
              <w:snapToGrid/>
              <w:spacing w:line="25" w:lineRule="atLeast"/>
              <w:jc w:val="center"/>
              <w:textAlignment w:val="auto"/>
              <w:rPr>
                <w:rFonts w:hint="eastAsia" w:ascii="宋体" w:hAnsi="宋体" w:eastAsia="宋体" w:cs="宋体"/>
                <w:sz w:val="24"/>
                <w:szCs w:val="24"/>
              </w:rPr>
            </w:pPr>
          </w:p>
        </w:tc>
        <w:tc>
          <w:tcPr>
            <w:tcW w:w="283" w:type="pct"/>
            <w:vAlign w:val="center"/>
          </w:tcPr>
          <w:p w14:paraId="2AB470C2">
            <w:pPr>
              <w:keepNext w:val="0"/>
              <w:keepLines w:val="0"/>
              <w:pageBreakBefore w:val="0"/>
              <w:widowControl w:val="0"/>
              <w:kinsoku/>
              <w:wordWrap/>
              <w:overflowPunct/>
              <w:topLinePunct w:val="0"/>
              <w:autoSpaceDE/>
              <w:autoSpaceDN/>
              <w:bidi w:val="0"/>
              <w:adjustRightInd/>
              <w:snapToGrid/>
              <w:spacing w:line="25" w:lineRule="atLeast"/>
              <w:jc w:val="center"/>
              <w:textAlignment w:val="auto"/>
              <w:rPr>
                <w:rFonts w:hint="eastAsia" w:ascii="宋体" w:hAnsi="宋体" w:eastAsia="宋体" w:cs="宋体"/>
                <w:sz w:val="24"/>
                <w:szCs w:val="24"/>
              </w:rPr>
            </w:pPr>
          </w:p>
        </w:tc>
      </w:tr>
      <w:tr w14:paraId="52122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181" w:type="pct"/>
            <w:vAlign w:val="center"/>
          </w:tcPr>
          <w:p w14:paraId="3F0F5117">
            <w:pPr>
              <w:keepNext w:val="0"/>
              <w:keepLines w:val="0"/>
              <w:pageBreakBefore w:val="0"/>
              <w:widowControl w:val="0"/>
              <w:numPr>
                <w:ilvl w:val="0"/>
                <w:numId w:val="3"/>
              </w:numPr>
              <w:kinsoku/>
              <w:wordWrap/>
              <w:overflowPunct/>
              <w:topLinePunct w:val="0"/>
              <w:autoSpaceDE/>
              <w:autoSpaceDN/>
              <w:bidi w:val="0"/>
              <w:adjustRightInd/>
              <w:snapToGrid/>
              <w:spacing w:line="25" w:lineRule="atLeast"/>
              <w:jc w:val="center"/>
              <w:textAlignment w:val="auto"/>
              <w:rPr>
                <w:rFonts w:hint="eastAsia" w:ascii="宋体" w:hAnsi="宋体" w:eastAsia="宋体" w:cs="宋体"/>
                <w:sz w:val="24"/>
                <w:szCs w:val="24"/>
              </w:rPr>
            </w:pPr>
          </w:p>
        </w:tc>
        <w:tc>
          <w:tcPr>
            <w:tcW w:w="281" w:type="pct"/>
            <w:vAlign w:val="center"/>
          </w:tcPr>
          <w:p w14:paraId="7C2F2193">
            <w:pPr>
              <w:keepNext w:val="0"/>
              <w:keepLines w:val="0"/>
              <w:pageBreakBefore w:val="0"/>
              <w:widowControl w:val="0"/>
              <w:kinsoku/>
              <w:wordWrap/>
              <w:overflowPunct/>
              <w:topLinePunct w:val="0"/>
              <w:autoSpaceDE/>
              <w:autoSpaceDN/>
              <w:bidi w:val="0"/>
              <w:adjustRightInd/>
              <w:snapToGrid/>
              <w:spacing w:line="25" w:lineRule="atLeast"/>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四</w:t>
            </w:r>
            <w:bookmarkStart w:id="4" w:name="_GoBack"/>
            <w:bookmarkEnd w:id="4"/>
            <w:r>
              <w:rPr>
                <w:rFonts w:hint="eastAsia" w:ascii="宋体" w:hAnsi="宋体" w:eastAsia="宋体" w:cs="宋体"/>
                <w:sz w:val="24"/>
                <w:szCs w:val="24"/>
              </w:rPr>
              <w:t>、付款方式</w:t>
            </w:r>
          </w:p>
        </w:tc>
        <w:tc>
          <w:tcPr>
            <w:tcW w:w="3831" w:type="pct"/>
            <w:vAlign w:val="center"/>
          </w:tcPr>
          <w:p w14:paraId="0CE8B3EF">
            <w:pPr>
              <w:keepNext w:val="0"/>
              <w:keepLines w:val="0"/>
              <w:pageBreakBefore w:val="0"/>
              <w:widowControl w:val="0"/>
              <w:kinsoku/>
              <w:wordWrap/>
              <w:overflowPunct/>
              <w:topLinePunct w:val="0"/>
              <w:autoSpaceDE/>
              <w:autoSpaceDN/>
              <w:bidi w:val="0"/>
              <w:adjustRightInd/>
              <w:snapToGrid/>
              <w:spacing w:after="156" w:line="25" w:lineRule="atLeast"/>
              <w:textAlignment w:val="auto"/>
              <w:rPr>
                <w:rFonts w:hint="eastAsia" w:ascii="宋体" w:hAnsi="宋体" w:eastAsia="宋体" w:cs="宋体"/>
                <w:sz w:val="24"/>
                <w:szCs w:val="24"/>
              </w:rPr>
            </w:pPr>
            <w:r>
              <w:rPr>
                <w:rFonts w:hint="eastAsia" w:ascii="宋体" w:hAnsi="宋体" w:eastAsia="宋体" w:cs="宋体"/>
                <w:sz w:val="24"/>
                <w:szCs w:val="24"/>
              </w:rPr>
              <w:t>按月/季度/年/指定周期，通过项目阶段验收或提供证明材料并根据考核评分结果，在完成该周期服务后，分期平均支付。</w:t>
            </w:r>
          </w:p>
        </w:tc>
        <w:tc>
          <w:tcPr>
            <w:tcW w:w="423" w:type="pct"/>
            <w:vAlign w:val="center"/>
          </w:tcPr>
          <w:p w14:paraId="2C5BBC53">
            <w:pPr>
              <w:keepNext w:val="0"/>
              <w:keepLines w:val="0"/>
              <w:pageBreakBefore w:val="0"/>
              <w:widowControl w:val="0"/>
              <w:kinsoku/>
              <w:wordWrap/>
              <w:overflowPunct/>
              <w:topLinePunct w:val="0"/>
              <w:autoSpaceDE/>
              <w:autoSpaceDN/>
              <w:bidi w:val="0"/>
              <w:adjustRightInd/>
              <w:snapToGrid/>
              <w:spacing w:line="25" w:lineRule="atLeast"/>
              <w:jc w:val="center"/>
              <w:textAlignment w:val="auto"/>
              <w:rPr>
                <w:rFonts w:hint="eastAsia" w:ascii="宋体" w:hAnsi="宋体" w:eastAsia="宋体" w:cs="宋体"/>
                <w:sz w:val="24"/>
                <w:szCs w:val="24"/>
              </w:rPr>
            </w:pPr>
          </w:p>
        </w:tc>
        <w:tc>
          <w:tcPr>
            <w:tcW w:w="283" w:type="pct"/>
            <w:vAlign w:val="center"/>
          </w:tcPr>
          <w:p w14:paraId="7BA617D9">
            <w:pPr>
              <w:keepNext w:val="0"/>
              <w:keepLines w:val="0"/>
              <w:pageBreakBefore w:val="0"/>
              <w:widowControl w:val="0"/>
              <w:kinsoku/>
              <w:wordWrap/>
              <w:overflowPunct/>
              <w:topLinePunct w:val="0"/>
              <w:autoSpaceDE/>
              <w:autoSpaceDN/>
              <w:bidi w:val="0"/>
              <w:adjustRightInd/>
              <w:snapToGrid/>
              <w:spacing w:line="25" w:lineRule="atLeast"/>
              <w:jc w:val="center"/>
              <w:textAlignment w:val="auto"/>
              <w:rPr>
                <w:rFonts w:hint="eastAsia" w:ascii="宋体" w:hAnsi="宋体" w:eastAsia="宋体" w:cs="宋体"/>
                <w:sz w:val="24"/>
                <w:szCs w:val="24"/>
              </w:rPr>
            </w:pPr>
          </w:p>
        </w:tc>
      </w:tr>
    </w:tbl>
    <w:p w14:paraId="0034E0AC">
      <w:pPr>
        <w:spacing w:after="213" w:afterLines="67"/>
        <w:jc w:val="both"/>
        <w:rPr>
          <w:rFonts w:asciiTheme="minorEastAsia" w:hAnsiTheme="minorEastAsia" w:cstheme="minorEastAsia"/>
          <w:b/>
          <w:bCs/>
          <w:sz w:val="24"/>
          <w:szCs w:val="24"/>
        </w:rPr>
      </w:pPr>
    </w:p>
    <w:sectPr>
      <w:pgSz w:w="16838" w:h="11906" w:orient="landscape"/>
      <w:pgMar w:top="1803" w:right="1440" w:bottom="1803" w:left="1440"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09354303"/>
    </w:sdtPr>
    <w:sdtEndPr>
      <w:rPr>
        <w:rFonts w:asciiTheme="minorEastAsia" w:hAnsiTheme="minorEastAsia"/>
        <w:sz w:val="24"/>
        <w:szCs w:val="24"/>
      </w:rPr>
    </w:sdtEndPr>
    <w:sdtContent>
      <w:p w14:paraId="74DC1B63">
        <w:pPr>
          <w:pStyle w:val="10"/>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PAGE   \* MERGEFORMAT</w:instrText>
        </w:r>
        <w:r>
          <w:rPr>
            <w:rFonts w:asciiTheme="minorEastAsia" w:hAnsiTheme="minorEastAsia"/>
            <w:sz w:val="24"/>
            <w:szCs w:val="24"/>
          </w:rPr>
          <w:fldChar w:fldCharType="separate"/>
        </w:r>
        <w:r>
          <w:rPr>
            <w:rFonts w:asciiTheme="minorEastAsia" w:hAnsiTheme="minorEastAsia"/>
            <w:sz w:val="24"/>
            <w:szCs w:val="24"/>
            <w:lang w:val="zh-CN"/>
          </w:rPr>
          <w:t>16</w:t>
        </w:r>
        <w:r>
          <w:rPr>
            <w:rFonts w:asciiTheme="minorEastAsia" w:hAnsiTheme="minorEastAsia"/>
            <w:sz w:val="24"/>
            <w:szCs w:val="24"/>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7E4C18"/>
    <w:multiLevelType w:val="singleLevel"/>
    <w:tmpl w:val="9A7E4C18"/>
    <w:lvl w:ilvl="0" w:tentative="0">
      <w:start w:val="1"/>
      <w:numFmt w:val="decimal"/>
      <w:lvlText w:val="%1."/>
      <w:lvlJc w:val="left"/>
      <w:pPr>
        <w:ind w:left="425" w:hanging="425"/>
      </w:pPr>
      <w:rPr>
        <w:rFonts w:hint="default"/>
      </w:rPr>
    </w:lvl>
  </w:abstractNum>
  <w:abstractNum w:abstractNumId="1">
    <w:nsid w:val="26007FCA"/>
    <w:multiLevelType w:val="multilevel"/>
    <w:tmpl w:val="26007FCA"/>
    <w:lvl w:ilvl="0" w:tentative="0">
      <w:start w:val="1"/>
      <w:numFmt w:val="chineseCountingThousand"/>
      <w:pStyle w:val="2"/>
      <w:lvlText w:val="%1、"/>
      <w:lvlJc w:val="left"/>
      <w:pPr>
        <w:tabs>
          <w:tab w:val="left" w:pos="432"/>
        </w:tabs>
        <w:ind w:left="432" w:hanging="432"/>
      </w:pPr>
      <w:rPr>
        <w:rFonts w:hint="eastAsia"/>
      </w:rPr>
    </w:lvl>
    <w:lvl w:ilvl="1" w:tentative="0">
      <w:start w:val="1"/>
      <w:numFmt w:val="decimal"/>
      <w:lvlText w:val="3.%2"/>
      <w:lvlJc w:val="left"/>
      <w:pPr>
        <w:tabs>
          <w:tab w:val="left" w:pos="576"/>
        </w:tabs>
        <w:ind w:left="576" w:hanging="576"/>
      </w:pPr>
      <w:rPr>
        <w:rFonts w:hint="eastAsia"/>
      </w:rPr>
    </w:lvl>
    <w:lvl w:ilvl="2" w:tentative="0">
      <w:start w:val="1"/>
      <w:numFmt w:val="decimal"/>
      <w:lvlText w:val="3.5.%3 "/>
      <w:lvlJc w:val="left"/>
      <w:pPr>
        <w:tabs>
          <w:tab w:val="left" w:pos="720"/>
        </w:tabs>
        <w:ind w:left="720" w:hanging="720"/>
      </w:pPr>
      <w:rPr>
        <w:rFonts w:hint="eastAsia"/>
      </w:rPr>
    </w:lvl>
    <w:lvl w:ilvl="3" w:tentative="0">
      <w:start w:val="1"/>
      <w:numFmt w:val="decimal"/>
      <w:lvlText w:val="3.5.1.%4 "/>
      <w:lvlJc w:val="left"/>
      <w:pPr>
        <w:tabs>
          <w:tab w:val="left" w:pos="1440"/>
        </w:tabs>
        <w:ind w:left="1000" w:hanging="1000"/>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2">
    <w:nsid w:val="2BEE12A5"/>
    <w:multiLevelType w:val="multilevel"/>
    <w:tmpl w:val="2BEE12A5"/>
    <w:lvl w:ilvl="0" w:tentative="0">
      <w:start w:val="1"/>
      <w:numFmt w:val="japaneseCounting"/>
      <w:lvlText w:val="%1、"/>
      <w:lvlJc w:val="left"/>
      <w:pPr>
        <w:ind w:left="495" w:hanging="49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1B1887"/>
    <w:multiLevelType w:val="multilevel"/>
    <w:tmpl w:val="771B188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SystemFonts/>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dkNmU4ZTA0YjI0Zjg3NjA5OWQ4ZDUyMWVkYjZkNzIifQ=="/>
  </w:docVars>
  <w:rsids>
    <w:rsidRoot w:val="509C3417"/>
    <w:rsid w:val="001841B4"/>
    <w:rsid w:val="001C59E0"/>
    <w:rsid w:val="00231D84"/>
    <w:rsid w:val="005E15D2"/>
    <w:rsid w:val="00687B51"/>
    <w:rsid w:val="006E3F95"/>
    <w:rsid w:val="00706D87"/>
    <w:rsid w:val="007D69C4"/>
    <w:rsid w:val="00943FEC"/>
    <w:rsid w:val="009A44E3"/>
    <w:rsid w:val="00B419DF"/>
    <w:rsid w:val="00B73413"/>
    <w:rsid w:val="00D60DFD"/>
    <w:rsid w:val="00DF1D82"/>
    <w:rsid w:val="00EC18DF"/>
    <w:rsid w:val="01544C76"/>
    <w:rsid w:val="02AE1145"/>
    <w:rsid w:val="036C34DA"/>
    <w:rsid w:val="03A4265D"/>
    <w:rsid w:val="04B35139"/>
    <w:rsid w:val="050A1AB6"/>
    <w:rsid w:val="069521F9"/>
    <w:rsid w:val="0730481F"/>
    <w:rsid w:val="078D3A1F"/>
    <w:rsid w:val="08601134"/>
    <w:rsid w:val="0AC97464"/>
    <w:rsid w:val="0BBA6DAD"/>
    <w:rsid w:val="101A3C7B"/>
    <w:rsid w:val="10CE4387"/>
    <w:rsid w:val="11A150AB"/>
    <w:rsid w:val="11EA0E33"/>
    <w:rsid w:val="13C857F6"/>
    <w:rsid w:val="18491716"/>
    <w:rsid w:val="186B5062"/>
    <w:rsid w:val="1AD47E27"/>
    <w:rsid w:val="1EF65EF6"/>
    <w:rsid w:val="21FD7606"/>
    <w:rsid w:val="220420C6"/>
    <w:rsid w:val="258B383C"/>
    <w:rsid w:val="25B33FCA"/>
    <w:rsid w:val="25EE55BB"/>
    <w:rsid w:val="27C63FD7"/>
    <w:rsid w:val="2A050591"/>
    <w:rsid w:val="2E2B5035"/>
    <w:rsid w:val="2E9322F5"/>
    <w:rsid w:val="30E12562"/>
    <w:rsid w:val="324A4137"/>
    <w:rsid w:val="33F705B7"/>
    <w:rsid w:val="35750372"/>
    <w:rsid w:val="35F745D6"/>
    <w:rsid w:val="360712B0"/>
    <w:rsid w:val="38B40117"/>
    <w:rsid w:val="3AE838A1"/>
    <w:rsid w:val="3CAB670C"/>
    <w:rsid w:val="3CE32368"/>
    <w:rsid w:val="3FD057F7"/>
    <w:rsid w:val="402B55A8"/>
    <w:rsid w:val="426A1DB3"/>
    <w:rsid w:val="450F36EA"/>
    <w:rsid w:val="45F750AA"/>
    <w:rsid w:val="46384F0C"/>
    <w:rsid w:val="47602763"/>
    <w:rsid w:val="476C2E05"/>
    <w:rsid w:val="4B246E03"/>
    <w:rsid w:val="4CAC5CC3"/>
    <w:rsid w:val="4EAB089F"/>
    <w:rsid w:val="4EE243ED"/>
    <w:rsid w:val="4F1934A7"/>
    <w:rsid w:val="50792C6A"/>
    <w:rsid w:val="509C3417"/>
    <w:rsid w:val="51E87E4E"/>
    <w:rsid w:val="52EE0219"/>
    <w:rsid w:val="5A4B1C58"/>
    <w:rsid w:val="5C975811"/>
    <w:rsid w:val="5EC75FCE"/>
    <w:rsid w:val="5F660EF9"/>
    <w:rsid w:val="61FEF1DB"/>
    <w:rsid w:val="62E745B8"/>
    <w:rsid w:val="62F010AB"/>
    <w:rsid w:val="630B0E65"/>
    <w:rsid w:val="63C27722"/>
    <w:rsid w:val="640B3432"/>
    <w:rsid w:val="671609C5"/>
    <w:rsid w:val="68E83A44"/>
    <w:rsid w:val="69943E5B"/>
    <w:rsid w:val="6AD46028"/>
    <w:rsid w:val="6B590552"/>
    <w:rsid w:val="6CA53D7D"/>
    <w:rsid w:val="6FB46293"/>
    <w:rsid w:val="715156A2"/>
    <w:rsid w:val="76343069"/>
    <w:rsid w:val="77515232"/>
    <w:rsid w:val="779605E4"/>
    <w:rsid w:val="77BB3365"/>
    <w:rsid w:val="7AAF67FA"/>
    <w:rsid w:val="7B117AF2"/>
    <w:rsid w:val="7CB00608"/>
    <w:rsid w:val="F7FFBC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3"/>
    <w:qFormat/>
    <w:uiPriority w:val="0"/>
    <w:pPr>
      <w:keepNext/>
      <w:keepLines/>
      <w:pageBreakBefore/>
      <w:numPr>
        <w:ilvl w:val="0"/>
        <w:numId w:val="1"/>
      </w:numPr>
      <w:spacing w:before="340" w:afterLines="50" w:line="578" w:lineRule="auto"/>
      <w:outlineLvl w:val="0"/>
    </w:pPr>
    <w:rPr>
      <w:rFonts w:eastAsia="黑体" w:cs="Times New Roman"/>
      <w:b/>
      <w:bCs/>
      <w:spacing w:val="20"/>
      <w:kern w:val="44"/>
      <w:sz w:val="36"/>
      <w:szCs w:val="44"/>
    </w:rPr>
  </w:style>
  <w:style w:type="paragraph" w:styleId="4">
    <w:name w:val="heading 2"/>
    <w:basedOn w:val="1"/>
    <w:next w:val="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3"/>
    <w:unhideWhenUsed/>
    <w:qFormat/>
    <w:uiPriority w:val="9"/>
    <w:pPr>
      <w:keepNext/>
      <w:keepLines/>
      <w:spacing w:before="260" w:after="260" w:line="416" w:lineRule="auto"/>
      <w:outlineLvl w:val="2"/>
    </w:pPr>
    <w:rPr>
      <w:b/>
      <w:bCs/>
      <w:sz w:val="32"/>
      <w:szCs w:val="32"/>
    </w:rPr>
  </w:style>
  <w:style w:type="paragraph" w:styleId="6">
    <w:name w:val="heading 4"/>
    <w:basedOn w:val="1"/>
    <w:next w:val="3"/>
    <w:qFormat/>
    <w:uiPriority w:val="9"/>
    <w:pPr>
      <w:keepNext/>
      <w:keepLines/>
      <w:tabs>
        <w:tab w:val="left" w:pos="1079"/>
        <w:tab w:val="left" w:pos="1440"/>
      </w:tabs>
      <w:spacing w:before="280" w:line="377" w:lineRule="auto"/>
      <w:outlineLvl w:val="3"/>
    </w:pPr>
    <w:rPr>
      <w:rFonts w:ascii="Arial" w:hAnsi="Arial" w:eastAsia="黑体"/>
      <w:b/>
      <w:bCs/>
      <w:spacing w:val="10"/>
      <w:sz w:val="28"/>
      <w:szCs w:val="28"/>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spacing w:afterLines="50" w:line="360" w:lineRule="auto"/>
      <w:ind w:firstLine="420" w:firstLineChars="200"/>
    </w:pPr>
    <w:rPr>
      <w:rFonts w:ascii="Times New Roman" w:hAnsi="Times New Roman" w:eastAsia="宋体" w:cs="Times New Roman"/>
      <w:szCs w:val="24"/>
    </w:rPr>
  </w:style>
  <w:style w:type="paragraph" w:styleId="7">
    <w:name w:val="annotation text"/>
    <w:basedOn w:val="1"/>
    <w:semiHidden/>
    <w:qFormat/>
    <w:uiPriority w:val="0"/>
    <w:pPr>
      <w:jc w:val="left"/>
    </w:pPr>
  </w:style>
  <w:style w:type="paragraph" w:styleId="8">
    <w:name w:val="Body Text"/>
    <w:basedOn w:val="1"/>
    <w:qFormat/>
    <w:uiPriority w:val="99"/>
    <w:pPr>
      <w:spacing w:after="120"/>
    </w:pPr>
  </w:style>
  <w:style w:type="paragraph" w:styleId="9">
    <w:name w:val="Balloon Text"/>
    <w:basedOn w:val="1"/>
    <w:link w:val="19"/>
    <w:qFormat/>
    <w:uiPriority w:val="0"/>
    <w:rPr>
      <w:sz w:val="18"/>
      <w:szCs w:val="18"/>
    </w:rPr>
  </w:style>
  <w:style w:type="paragraph" w:styleId="10">
    <w:name w:val="footer"/>
    <w:basedOn w:val="1"/>
    <w:link w:val="18"/>
    <w:qFormat/>
    <w:uiPriority w:val="99"/>
    <w:pPr>
      <w:tabs>
        <w:tab w:val="center" w:pos="4153"/>
        <w:tab w:val="right" w:pos="8306"/>
      </w:tabs>
      <w:snapToGrid w:val="0"/>
      <w:jc w:val="left"/>
    </w:pPr>
    <w:rPr>
      <w:sz w:val="18"/>
      <w:szCs w:val="18"/>
    </w:rPr>
  </w:style>
  <w:style w:type="paragraph" w:styleId="11">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12">
    <w:name w:val="index 1"/>
    <w:basedOn w:val="1"/>
    <w:next w:val="1"/>
    <w:unhideWhenUsed/>
    <w:qFormat/>
    <w:uiPriority w:val="99"/>
    <w:pPr>
      <w:spacing w:line="200" w:lineRule="atLeast"/>
      <w:jc w:val="center"/>
    </w:pPr>
    <w:rPr>
      <w:rFonts w:ascii="宋体" w:hAnsi="宋体"/>
    </w:rPr>
  </w:style>
  <w:style w:type="paragraph" w:styleId="13">
    <w:name w:val="Body Text First Indent"/>
    <w:basedOn w:val="8"/>
    <w:qFormat/>
    <w:uiPriority w:val="0"/>
    <w:pPr>
      <w:ind w:firstLine="420" w:firstLineChars="100"/>
    </w:pPr>
    <w:rPr>
      <w:szCs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
    <w:name w:val="页眉 Char"/>
    <w:basedOn w:val="16"/>
    <w:link w:val="11"/>
    <w:qFormat/>
    <w:uiPriority w:val="0"/>
    <w:rPr>
      <w:kern w:val="2"/>
      <w:sz w:val="18"/>
      <w:szCs w:val="18"/>
    </w:rPr>
  </w:style>
  <w:style w:type="character" w:customStyle="1" w:styleId="18">
    <w:name w:val="页脚 Char"/>
    <w:basedOn w:val="16"/>
    <w:link w:val="10"/>
    <w:qFormat/>
    <w:uiPriority w:val="99"/>
    <w:rPr>
      <w:kern w:val="2"/>
      <w:sz w:val="18"/>
      <w:szCs w:val="18"/>
    </w:rPr>
  </w:style>
  <w:style w:type="character" w:customStyle="1" w:styleId="19">
    <w:name w:val="批注框文本 Char"/>
    <w:basedOn w:val="16"/>
    <w:link w:val="9"/>
    <w:qFormat/>
    <w:uiPriority w:val="0"/>
    <w:rPr>
      <w:kern w:val="2"/>
      <w:sz w:val="18"/>
      <w:szCs w:val="18"/>
    </w:rPr>
  </w:style>
  <w:style w:type="character" w:customStyle="1" w:styleId="20">
    <w:name w:val="font31"/>
    <w:qFormat/>
    <w:uiPriority w:val="0"/>
    <w:rPr>
      <w:rFonts w:hint="eastAsia" w:ascii="宋体" w:hAnsi="宋体" w:eastAsia="宋体" w:cs="宋体"/>
      <w:color w:val="000000"/>
      <w:sz w:val="20"/>
      <w:szCs w:val="20"/>
      <w:u w:val="none"/>
    </w:rPr>
  </w:style>
  <w:style w:type="character" w:customStyle="1" w:styleId="21">
    <w:name w:val="font01"/>
    <w:qFormat/>
    <w:uiPriority w:val="0"/>
    <w:rPr>
      <w:rFonts w:hint="default" w:ascii="Arial" w:hAnsi="Arial" w:cs="Arial"/>
      <w:color w:val="000000"/>
      <w:sz w:val="20"/>
      <w:szCs w:val="20"/>
      <w:u w:val="none"/>
    </w:rPr>
  </w:style>
  <w:style w:type="paragraph" w:customStyle="1" w:styleId="22">
    <w:name w:val="Table Text"/>
    <w:basedOn w:val="1"/>
    <w:semiHidden/>
    <w:qFormat/>
    <w:uiPriority w:val="0"/>
    <w:rPr>
      <w:rFonts w:ascii="宋体" w:hAnsi="宋体" w:eastAsia="宋体" w:cs="宋体"/>
      <w:sz w:val="20"/>
      <w:szCs w:val="20"/>
      <w:lang w:eastAsia="en-US"/>
    </w:rPr>
  </w:style>
  <w:style w:type="table" w:customStyle="1" w:styleId="23">
    <w:name w:val="Table Normal"/>
    <w:semiHidden/>
    <w:unhideWhenUsed/>
    <w:qFormat/>
    <w:uiPriority w:val="0"/>
    <w:tblPr>
      <w:tblCellMar>
        <w:top w:w="0" w:type="dxa"/>
        <w:left w:w="0" w:type="dxa"/>
        <w:bottom w:w="0" w:type="dxa"/>
        <w:right w:w="0" w:type="dxa"/>
      </w:tblCellMar>
    </w:tblPr>
  </w:style>
  <w:style w:type="paragraph" w:styleId="24">
    <w:name w:val="List Paragraph"/>
    <w:basedOn w:val="1"/>
    <w:qFormat/>
    <w:uiPriority w:val="99"/>
    <w:pPr>
      <w:ind w:firstLine="420" w:firstLineChars="200"/>
    </w:pPr>
  </w:style>
  <w:style w:type="paragraph" w:customStyle="1" w:styleId="25">
    <w:name w:val="Table Paragraph"/>
    <w:basedOn w:val="1"/>
    <w:qFormat/>
    <w:uiPriority w:val="1"/>
    <w:pPr>
      <w:autoSpaceDE w:val="0"/>
      <w:autoSpaceDN w:val="0"/>
      <w:adjustRightInd w:val="0"/>
      <w:spacing w:line="360" w:lineRule="auto"/>
      <w:ind w:firstLine="200" w:firstLineChars="200"/>
    </w:pPr>
    <w:rPr>
      <w:rFonts w:ascii="宋体" w:hAnsi="Times New Roman" w:eastAsia="宋体" w:cs="宋体"/>
      <w:kern w:val="0"/>
      <w:sz w:val="24"/>
      <w:szCs w:val="24"/>
    </w:rPr>
  </w:style>
  <w:style w:type="table" w:customStyle="1" w:styleId="26">
    <w:name w:val="网格型1"/>
    <w:basedOn w:val="14"/>
    <w:uiPriority w:val="3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2543</Words>
  <Characters>2595</Characters>
  <Lines>45</Lines>
  <Paragraphs>12</Paragraphs>
  <TotalTime>0</TotalTime>
  <ScaleCrop>false</ScaleCrop>
  <LinksUpToDate>false</LinksUpToDate>
  <CharactersWithSpaces>2609</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2025-05-29T07:26:00Z</dcterms:created>
  <dc:creator>ZFCG</dc:creator>
  <cp:lastModifiedBy>gc</cp:lastModifiedBy>
  <dcterms:modified xsi:type="dcterms:W3CDTF">2026-08-18T01:58:57Z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06A602B205A548D5A6FC3390B4B08F0E_13</vt:lpwstr>
  </property>
  <property fmtid="{D5CDD505-2E9C-101B-9397-08002B2CF9AE}" pid="4" name="KSOTemplateDocerSaveRecord">
    <vt:lpwstr>eyJoZGlkIjoiOWY3NzVhODk5MjBlMWY2OGFmMmY1M2E0MmM2ZTJkYjAiLCJ1c2VySWQiOiI2MjU5ODg1NTIifQ==</vt:lpwstr>
  </property>
</Properties>
</file>